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9489" w14:textId="77777777" w:rsidR="0045533F" w:rsidRDefault="0045533F" w:rsidP="004553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45533F" w14:paraId="4565C86B" w14:textId="77777777" w:rsidTr="000B1431">
        <w:trPr>
          <w:trHeight w:val="503"/>
        </w:trPr>
        <w:tc>
          <w:tcPr>
            <w:tcW w:w="1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A3F9C" w14:textId="77777777" w:rsidR="0045533F" w:rsidRDefault="0045533F" w:rsidP="000B143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Annual Financial Overview</w:t>
            </w:r>
          </w:p>
          <w:p w14:paraId="7D371677" w14:textId="5E3BDCA3" w:rsidR="0045533F" w:rsidRPr="00457AFE" w:rsidRDefault="00755ECA" w:rsidP="00B61670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202</w:t>
            </w:r>
            <w:r w:rsidR="00E91B5A">
              <w:rPr>
                <w:b/>
                <w:sz w:val="32"/>
              </w:rPr>
              <w:t>4</w:t>
            </w:r>
          </w:p>
        </w:tc>
      </w:tr>
      <w:tr w:rsidR="0045533F" w14:paraId="7F91A9D0" w14:textId="77777777" w:rsidTr="000B1431">
        <w:trPr>
          <w:trHeight w:val="78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8E01" w14:textId="77777777" w:rsidR="0045533F" w:rsidRDefault="0045533F" w:rsidP="000B1431">
            <w:pPr>
              <w:jc w:val="center"/>
            </w:pPr>
            <w:r>
              <w:t>Total waterworks revenues (R)</w:t>
            </w:r>
          </w:p>
          <w:p w14:paraId="1842B41A" w14:textId="77777777" w:rsidR="0045533F" w:rsidRPr="00A5157E" w:rsidRDefault="0045533F" w:rsidP="000B1431">
            <w:pPr>
              <w:jc w:val="center"/>
            </w:pP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71C" w14:textId="67E06349" w:rsidR="0045533F" w:rsidRPr="00A5157E" w:rsidRDefault="0045533F" w:rsidP="00B61670">
            <w:pPr>
              <w:jc w:val="center"/>
            </w:pPr>
            <w:r>
              <w:t>$</w:t>
            </w:r>
            <w:r w:rsidR="00E91B5A">
              <w:t>19,078.80</w:t>
            </w:r>
          </w:p>
        </w:tc>
      </w:tr>
      <w:tr w:rsidR="0045533F" w14:paraId="71CC60A7" w14:textId="77777777" w:rsidTr="000B1431">
        <w:trPr>
          <w:trHeight w:val="72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9F4E" w14:textId="77777777" w:rsidR="0045533F" w:rsidRDefault="0045533F" w:rsidP="000B1431">
            <w:pPr>
              <w:jc w:val="center"/>
            </w:pPr>
            <w:r>
              <w:t>Total Waterworks expenditures (E)</w:t>
            </w:r>
          </w:p>
          <w:p w14:paraId="54E827DC" w14:textId="77777777" w:rsidR="0045533F" w:rsidRPr="00A5157E" w:rsidRDefault="0045533F" w:rsidP="000B1431">
            <w:pPr>
              <w:jc w:val="center"/>
            </w:pP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E096C" w14:textId="004EDF1D" w:rsidR="0045533F" w:rsidRPr="00A5157E" w:rsidRDefault="0045533F" w:rsidP="00B61670">
            <w:pPr>
              <w:jc w:val="center"/>
            </w:pPr>
            <w:r>
              <w:t>$</w:t>
            </w:r>
            <w:r w:rsidR="0011251E">
              <w:t>22,462.11</w:t>
            </w:r>
          </w:p>
        </w:tc>
      </w:tr>
      <w:tr w:rsidR="0045533F" w14:paraId="1BC60C00" w14:textId="77777777" w:rsidTr="000B1431">
        <w:trPr>
          <w:trHeight w:val="72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4E080" w14:textId="77777777" w:rsidR="0045533F" w:rsidRPr="00A5157E" w:rsidRDefault="0045533F" w:rsidP="000B1431">
            <w:pPr>
              <w:jc w:val="center"/>
            </w:pPr>
            <w:r>
              <w:t>Total debt payments on waterworks infrastructure loans (D)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575D3" w14:textId="77777777" w:rsidR="0045533F" w:rsidRPr="00A5157E" w:rsidRDefault="0045533F" w:rsidP="000B1431">
            <w:pPr>
              <w:jc w:val="center"/>
            </w:pPr>
            <w:r>
              <w:t>$0</w:t>
            </w:r>
          </w:p>
        </w:tc>
      </w:tr>
      <w:tr w:rsidR="0045533F" w14:paraId="706CB347" w14:textId="77777777" w:rsidTr="000B1431">
        <w:trPr>
          <w:trHeight w:val="72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28A8" w14:textId="77777777" w:rsidR="0045533F" w:rsidRPr="00A5157E" w:rsidRDefault="0045533F" w:rsidP="000B1431">
            <w:pPr>
              <w:jc w:val="center"/>
              <w:rPr>
                <w:u w:val="single"/>
              </w:rPr>
            </w:pPr>
            <w:r>
              <w:t xml:space="preserve">Comparison of waterworks revenues to expenditures plus debt payments, expressed as a ratio - </w:t>
            </w:r>
            <w:r>
              <w:br/>
            </w:r>
            <w:r>
              <w:rPr>
                <w:u w:val="single"/>
              </w:rPr>
              <w:t xml:space="preserve">  </w:t>
            </w:r>
            <w:r w:rsidRPr="00A5157E">
              <w:rPr>
                <w:u w:val="single"/>
              </w:rPr>
              <w:t>(R)</w:t>
            </w:r>
          </w:p>
          <w:p w14:paraId="4E6F618A" w14:textId="77777777" w:rsidR="0045533F" w:rsidRPr="00A5157E" w:rsidRDefault="0045533F" w:rsidP="000B1431">
            <w:pPr>
              <w:jc w:val="center"/>
            </w:pPr>
            <w:r>
              <w:t>(E) + (D)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C0EE" w14:textId="35EB0C9E" w:rsidR="0045533F" w:rsidRPr="00331D69" w:rsidRDefault="0045533F" w:rsidP="000B1431">
            <w:pPr>
              <w:jc w:val="center"/>
              <w:rPr>
                <w:u w:val="single"/>
              </w:rPr>
            </w:pPr>
            <w:r w:rsidRPr="00331D69">
              <w:rPr>
                <w:u w:val="single"/>
              </w:rPr>
              <w:t>$</w:t>
            </w:r>
            <w:r w:rsidR="00755ECA">
              <w:rPr>
                <w:u w:val="single"/>
              </w:rPr>
              <w:t xml:space="preserve"> </w:t>
            </w:r>
            <w:r w:rsidR="00E91B5A">
              <w:rPr>
                <w:u w:val="single"/>
              </w:rPr>
              <w:t>19,078.80</w:t>
            </w:r>
            <w:r>
              <w:t xml:space="preserve">    </w:t>
            </w:r>
            <w:proofErr w:type="gramStart"/>
            <w:r>
              <w:t xml:space="preserve">=  </w:t>
            </w:r>
            <w:r w:rsidR="00E91B5A">
              <w:t>.</w:t>
            </w:r>
            <w:proofErr w:type="gramEnd"/>
            <w:r w:rsidR="0011251E">
              <w:t>85</w:t>
            </w:r>
            <w:r w:rsidR="00E91B5A">
              <w:t xml:space="preserve"> </w:t>
            </w:r>
            <w:r w:rsidR="00254227">
              <w:t>%</w:t>
            </w:r>
          </w:p>
          <w:p w14:paraId="1EDF1D1D" w14:textId="74F63019" w:rsidR="0045533F" w:rsidRPr="00A5157E" w:rsidRDefault="00254227" w:rsidP="00254227">
            <w:r>
              <w:t xml:space="preserve">                                </w:t>
            </w:r>
            <w:r w:rsidR="00E91B5A">
              <w:t>$2</w:t>
            </w:r>
            <w:r w:rsidR="0011251E">
              <w:t>2,462.11</w:t>
            </w:r>
            <w:r w:rsidR="0045533F">
              <w:t xml:space="preserve">         </w:t>
            </w:r>
          </w:p>
        </w:tc>
      </w:tr>
      <w:tr w:rsidR="0045533F" w14:paraId="06A3CE52" w14:textId="77777777" w:rsidTr="000B1431">
        <w:trPr>
          <w:trHeight w:val="413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B184" w14:textId="77777777" w:rsidR="0045533F" w:rsidRPr="00A5157E" w:rsidRDefault="0045533F" w:rsidP="000B1431">
            <w:pPr>
              <w:jc w:val="center"/>
            </w:pPr>
            <w:r>
              <w:t>Explanation of ratio (If needed)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DF36" w14:textId="77777777" w:rsidR="0045533F" w:rsidRPr="00A5157E" w:rsidRDefault="0045533F" w:rsidP="000B1431">
            <w:pPr>
              <w:jc w:val="center"/>
            </w:pPr>
            <w:r>
              <w:t>We are seeking a ratio of 1.00</w:t>
            </w:r>
          </w:p>
        </w:tc>
      </w:tr>
      <w:tr w:rsidR="0045533F" w14:paraId="780FF2AD" w14:textId="77777777" w:rsidTr="000B1431">
        <w:trPr>
          <w:trHeight w:val="72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E000" w14:textId="77777777" w:rsidR="0045533F" w:rsidRPr="00A5157E" w:rsidRDefault="0045533F" w:rsidP="000B1431">
            <w:pPr>
              <w:jc w:val="center"/>
            </w:pPr>
            <w:r>
              <w:t>Amount of waterworks revenues transferred out of the utilities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5365" w14:textId="79924036" w:rsidR="0045533F" w:rsidRPr="00A5157E" w:rsidRDefault="0045533F" w:rsidP="000B1431">
            <w:pPr>
              <w:jc w:val="center"/>
            </w:pPr>
            <w:r>
              <w:t>$</w:t>
            </w:r>
            <w:r w:rsidR="00E91B5A">
              <w:t xml:space="preserve"> </w:t>
            </w:r>
            <w:r w:rsidR="0011251E">
              <w:t>3,383.31</w:t>
            </w:r>
            <w:r w:rsidR="00E91B5A">
              <w:t xml:space="preserve"> from</w:t>
            </w:r>
            <w:r w:rsidR="00254227">
              <w:t xml:space="preserve"> reserves</w:t>
            </w:r>
          </w:p>
        </w:tc>
      </w:tr>
      <w:tr w:rsidR="0045533F" w14:paraId="2032D15E" w14:textId="77777777" w:rsidTr="00D76919">
        <w:trPr>
          <w:trHeight w:val="72"/>
        </w:trPr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BE67" w14:textId="77777777" w:rsidR="0045533F" w:rsidRPr="00A5157E" w:rsidRDefault="0045533F" w:rsidP="000B1431">
            <w:pPr>
              <w:jc w:val="center"/>
            </w:pPr>
            <w:r>
              <w:t xml:space="preserve">Amount of supplementary funding transferred to </w:t>
            </w:r>
            <w:proofErr w:type="gramStart"/>
            <w:r>
              <w:t>the  waterworks</w:t>
            </w:r>
            <w:proofErr w:type="gramEnd"/>
            <w:r>
              <w:t xml:space="preserve"> to cover expenditures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4105" w14:textId="77777777" w:rsidR="00D76919" w:rsidRDefault="00D76919" w:rsidP="000B1431">
            <w:pPr>
              <w:jc w:val="center"/>
            </w:pPr>
          </w:p>
          <w:p w14:paraId="10714139" w14:textId="1C8430A5" w:rsidR="0045533F" w:rsidRDefault="00755ECA" w:rsidP="000B1431">
            <w:pPr>
              <w:jc w:val="center"/>
            </w:pPr>
            <w:r>
              <w:t>$</w:t>
            </w:r>
            <w:r w:rsidR="00254227">
              <w:t>0</w:t>
            </w:r>
          </w:p>
          <w:p w14:paraId="63DFEA77" w14:textId="77777777" w:rsidR="00D76919" w:rsidRPr="00A5157E" w:rsidRDefault="00D76919" w:rsidP="00D76919"/>
        </w:tc>
      </w:tr>
      <w:tr w:rsidR="00D76919" w14:paraId="0EEE7594" w14:textId="77777777" w:rsidTr="000B1431">
        <w:trPr>
          <w:trHeight w:val="72"/>
        </w:trPr>
        <w:tc>
          <w:tcPr>
            <w:tcW w:w="5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B978" w14:textId="780F273E" w:rsidR="00D76919" w:rsidRDefault="00D76919" w:rsidP="000B1431">
            <w:pPr>
              <w:jc w:val="center"/>
            </w:pPr>
            <w:r>
              <w:t xml:space="preserve">Explanation for </w:t>
            </w:r>
            <w:r w:rsidR="00254227">
              <w:t>surplus over</w:t>
            </w:r>
            <w:r>
              <w:t xml:space="preserve"> budget</w:t>
            </w:r>
          </w:p>
          <w:p w14:paraId="295624E2" w14:textId="77777777" w:rsidR="00D76919" w:rsidRDefault="00D76919" w:rsidP="000B1431">
            <w:pPr>
              <w:jc w:val="center"/>
            </w:pPr>
          </w:p>
          <w:p w14:paraId="68D1C858" w14:textId="77777777" w:rsidR="00D76919" w:rsidRDefault="00D76919" w:rsidP="000B1431">
            <w:pPr>
              <w:jc w:val="center"/>
            </w:pPr>
          </w:p>
          <w:p w14:paraId="52FFB46E" w14:textId="77777777" w:rsidR="00D76919" w:rsidRDefault="00D76919" w:rsidP="000B1431">
            <w:pPr>
              <w:jc w:val="center"/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BF58" w14:textId="736A7271" w:rsidR="00254227" w:rsidRDefault="00D76919" w:rsidP="00254227">
            <w:pPr>
              <w:jc w:val="center"/>
            </w:pPr>
            <w:r>
              <w:t>We are seeki</w:t>
            </w:r>
            <w:r w:rsidR="00755ECA">
              <w:t>ng a 1:00 ratio,</w:t>
            </w:r>
            <w:r w:rsidR="00254227">
              <w:t xml:space="preserve"> in 202</w:t>
            </w:r>
            <w:r w:rsidR="00E91B5A">
              <w:t>4</w:t>
            </w:r>
            <w:r w:rsidR="00254227">
              <w:t xml:space="preserve"> we achieved a</w:t>
            </w:r>
            <w:r w:rsidR="00E91B5A">
              <w:t xml:space="preserve"> .</w:t>
            </w:r>
            <w:r w:rsidR="0011251E">
              <w:t>85</w:t>
            </w:r>
            <w:r w:rsidR="00E91B5A">
              <w:t xml:space="preserve"> </w:t>
            </w:r>
            <w:r w:rsidR="00254227">
              <w:t>% ratio.</w:t>
            </w:r>
            <w:r w:rsidR="00E91B5A">
              <w:t xml:space="preserve"> We had to use some of the reserves due to issues with replacing the pump in the well</w:t>
            </w:r>
            <w:r w:rsidR="00254227">
              <w:t>.</w:t>
            </w:r>
          </w:p>
        </w:tc>
      </w:tr>
    </w:tbl>
    <w:p w14:paraId="6D2163BD" w14:textId="77777777" w:rsidR="0045533F" w:rsidRDefault="0045533F" w:rsidP="0045533F"/>
    <w:p w14:paraId="34FC339C" w14:textId="77777777" w:rsidR="0045533F" w:rsidRDefault="0045533F" w:rsidP="0045533F"/>
    <w:p w14:paraId="4A54BB84" w14:textId="77777777" w:rsidR="0045533F" w:rsidRDefault="0045533F" w:rsidP="0045533F"/>
    <w:p w14:paraId="2FAA9A9C" w14:textId="77777777" w:rsidR="0045533F" w:rsidRDefault="0045533F" w:rsidP="0045533F"/>
    <w:p w14:paraId="3EFA1C7A" w14:textId="77777777" w:rsidR="0045533F" w:rsidRDefault="0045533F" w:rsidP="0045533F"/>
    <w:p w14:paraId="1C234AF1" w14:textId="77777777" w:rsidR="0045533F" w:rsidRDefault="0045533F" w:rsidP="0045533F"/>
    <w:p w14:paraId="10FEB221" w14:textId="77777777" w:rsidR="0045533F" w:rsidRDefault="0045533F" w:rsidP="0045533F"/>
    <w:p w14:paraId="160466C5" w14:textId="77777777" w:rsidR="0045533F" w:rsidRDefault="0045533F" w:rsidP="0045533F"/>
    <w:p w14:paraId="41E751AF" w14:textId="77777777" w:rsidR="0045533F" w:rsidRDefault="0045533F" w:rsidP="0045533F"/>
    <w:p w14:paraId="6235704D" w14:textId="77777777" w:rsidR="0045533F" w:rsidRDefault="0045533F" w:rsidP="0045533F"/>
    <w:p w14:paraId="37222FFC" w14:textId="77777777" w:rsidR="0045533F" w:rsidRDefault="0045533F" w:rsidP="0045533F"/>
    <w:p w14:paraId="3597B39C" w14:textId="77777777" w:rsidR="0045533F" w:rsidRDefault="0045533F" w:rsidP="0045533F"/>
    <w:sectPr w:rsidR="0045533F" w:rsidSect="00E10E2A">
      <w:headerReference w:type="default" r:id="rId6"/>
      <w:footerReference w:type="default" r:id="rId7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4251" w14:textId="77777777" w:rsidR="007E502E" w:rsidRDefault="007E502E" w:rsidP="00E74A2C">
      <w:pPr>
        <w:spacing w:after="0" w:line="240" w:lineRule="auto"/>
      </w:pPr>
      <w:r>
        <w:separator/>
      </w:r>
    </w:p>
  </w:endnote>
  <w:endnote w:type="continuationSeparator" w:id="0">
    <w:p w14:paraId="1036FB91" w14:textId="77777777" w:rsidR="007E502E" w:rsidRDefault="007E502E" w:rsidP="00E7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78"/>
      <w:gridCol w:w="2732"/>
      <w:gridCol w:w="2910"/>
      <w:gridCol w:w="2570"/>
    </w:tblGrid>
    <w:tr w:rsidR="0026081C" w14:paraId="1DFF00C4" w14:textId="77777777" w:rsidTr="00DF49C9">
      <w:tc>
        <w:tcPr>
          <w:tcW w:w="2628" w:type="dxa"/>
        </w:tcPr>
        <w:p w14:paraId="62D1B7EB" w14:textId="77777777" w:rsidR="00254227" w:rsidRDefault="00C00F04" w:rsidP="00DF49C9">
          <w:pPr>
            <w:pStyle w:val="Footer"/>
            <w:jc w:val="center"/>
            <w:rPr>
              <w:sz w:val="18"/>
            </w:rPr>
          </w:pPr>
          <w:r>
            <w:rPr>
              <w:sz w:val="18"/>
            </w:rPr>
            <w:t>Approved by</w:t>
          </w:r>
          <w:r w:rsidRPr="00D94062">
            <w:rPr>
              <w:sz w:val="18"/>
            </w:rPr>
            <w:t>:</w:t>
          </w:r>
        </w:p>
        <w:p w14:paraId="228995A7" w14:textId="77777777" w:rsidR="00254227" w:rsidRDefault="00C00F04" w:rsidP="00DF49C9">
          <w:pPr>
            <w:pStyle w:val="Footer"/>
            <w:jc w:val="center"/>
            <w:rPr>
              <w:sz w:val="18"/>
            </w:rPr>
          </w:pPr>
          <w:r w:rsidRPr="00D94062">
            <w:rPr>
              <w:sz w:val="18"/>
            </w:rPr>
            <w:br/>
          </w:r>
        </w:p>
        <w:p w14:paraId="133EF4FF" w14:textId="77777777" w:rsidR="00254227" w:rsidRPr="00DF49C9" w:rsidRDefault="00254227" w:rsidP="00DF49C9">
          <w:pPr>
            <w:pStyle w:val="Footer"/>
            <w:jc w:val="center"/>
            <w:rPr>
              <w:sz w:val="12"/>
            </w:rPr>
          </w:pPr>
        </w:p>
      </w:tc>
      <w:tc>
        <w:tcPr>
          <w:tcW w:w="2790" w:type="dxa"/>
        </w:tcPr>
        <w:p w14:paraId="71499F7E" w14:textId="6EAB615A" w:rsidR="00254227" w:rsidRPr="00D94062" w:rsidRDefault="00C00F04" w:rsidP="00F77BC8">
          <w:pPr>
            <w:pStyle w:val="Footer"/>
            <w:jc w:val="center"/>
            <w:rPr>
              <w:sz w:val="18"/>
            </w:rPr>
          </w:pPr>
          <w:r w:rsidRPr="00D94062">
            <w:rPr>
              <w:sz w:val="18"/>
            </w:rPr>
            <w:t xml:space="preserve">Date Issued:  </w:t>
          </w:r>
          <w:r w:rsidRPr="00D94062">
            <w:rPr>
              <w:sz w:val="18"/>
            </w:rPr>
            <w:br/>
          </w:r>
          <w:r w:rsidR="00E91B5A">
            <w:rPr>
              <w:sz w:val="18"/>
            </w:rPr>
            <w:t>January 20</w:t>
          </w:r>
          <w:r w:rsidR="00E91B5A" w:rsidRPr="00E91B5A">
            <w:rPr>
              <w:sz w:val="18"/>
              <w:vertAlign w:val="superscript"/>
            </w:rPr>
            <w:t>th</w:t>
          </w:r>
          <w:r w:rsidR="00E91B5A">
            <w:rPr>
              <w:sz w:val="18"/>
            </w:rPr>
            <w:t>, 2025</w:t>
          </w:r>
        </w:p>
      </w:tc>
      <w:tc>
        <w:tcPr>
          <w:tcW w:w="2970" w:type="dxa"/>
        </w:tcPr>
        <w:p w14:paraId="3078A234" w14:textId="3E8F5719" w:rsidR="00254227" w:rsidRPr="00D94062" w:rsidRDefault="00C00F04" w:rsidP="00B61670">
          <w:pPr>
            <w:pStyle w:val="Footer"/>
            <w:jc w:val="center"/>
            <w:rPr>
              <w:sz w:val="18"/>
            </w:rPr>
          </w:pPr>
          <w:r w:rsidRPr="00D94062">
            <w:rPr>
              <w:sz w:val="18"/>
            </w:rPr>
            <w:t>Last Updated:</w:t>
          </w:r>
          <w:r w:rsidRPr="00D94062">
            <w:rPr>
              <w:sz w:val="18"/>
            </w:rPr>
            <w:br/>
          </w:r>
          <w:r w:rsidR="00E91B5A">
            <w:rPr>
              <w:sz w:val="18"/>
            </w:rPr>
            <w:t>January 20</w:t>
          </w:r>
          <w:r w:rsidR="00E91B5A" w:rsidRPr="00E91B5A">
            <w:rPr>
              <w:sz w:val="18"/>
              <w:vertAlign w:val="superscript"/>
            </w:rPr>
            <w:t>th</w:t>
          </w:r>
          <w:r w:rsidR="00E91B5A">
            <w:rPr>
              <w:sz w:val="18"/>
            </w:rPr>
            <w:t>, 2025</w:t>
          </w:r>
        </w:p>
      </w:tc>
      <w:tc>
        <w:tcPr>
          <w:tcW w:w="2628" w:type="dxa"/>
        </w:tcPr>
        <w:p w14:paraId="1EF3816E" w14:textId="77777777" w:rsidR="00254227" w:rsidRPr="00D94062" w:rsidRDefault="00C00F04" w:rsidP="00DF49C9">
          <w:pPr>
            <w:pStyle w:val="Footer"/>
            <w:jc w:val="center"/>
            <w:rPr>
              <w:sz w:val="18"/>
            </w:rPr>
          </w:pPr>
          <w:r w:rsidRPr="00D94062">
            <w:rPr>
              <w:sz w:val="18"/>
            </w:rPr>
            <w:t>Page:</w:t>
          </w:r>
        </w:p>
        <w:sdt>
          <w:sdtPr>
            <w:rPr>
              <w:b/>
              <w:sz w:val="18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EB918F2" w14:textId="77777777" w:rsidR="00254227" w:rsidRPr="00D94062" w:rsidRDefault="00C00F04" w:rsidP="00DF49C9">
              <w:pPr>
                <w:jc w:val="center"/>
                <w:rPr>
                  <w:b/>
                  <w:sz w:val="18"/>
                </w:rPr>
              </w:pPr>
              <w:r w:rsidRPr="00D94062">
                <w:rPr>
                  <w:b/>
                  <w:sz w:val="18"/>
                </w:rPr>
                <w:t xml:space="preserve">Page </w:t>
              </w:r>
              <w:r w:rsidR="00F82948" w:rsidRPr="00D94062">
                <w:rPr>
                  <w:b/>
                  <w:sz w:val="18"/>
                </w:rPr>
                <w:fldChar w:fldCharType="begin"/>
              </w:r>
              <w:r w:rsidRPr="00D94062">
                <w:rPr>
                  <w:b/>
                  <w:sz w:val="18"/>
                </w:rPr>
                <w:instrText xml:space="preserve"> PAGE </w:instrText>
              </w:r>
              <w:r w:rsidR="00F82948" w:rsidRPr="00D94062">
                <w:rPr>
                  <w:b/>
                  <w:sz w:val="18"/>
                </w:rPr>
                <w:fldChar w:fldCharType="separate"/>
              </w:r>
              <w:r w:rsidR="00755ECA">
                <w:rPr>
                  <w:b/>
                  <w:noProof/>
                  <w:sz w:val="18"/>
                </w:rPr>
                <w:t>2</w:t>
              </w:r>
              <w:r w:rsidR="00F82948" w:rsidRPr="00D94062">
                <w:rPr>
                  <w:b/>
                  <w:sz w:val="18"/>
                </w:rPr>
                <w:fldChar w:fldCharType="end"/>
              </w:r>
              <w:r w:rsidRPr="00D94062">
                <w:rPr>
                  <w:b/>
                  <w:sz w:val="18"/>
                </w:rPr>
                <w:t xml:space="preserve"> of </w:t>
              </w:r>
              <w:r w:rsidR="00F82948" w:rsidRPr="00D94062">
                <w:rPr>
                  <w:b/>
                  <w:sz w:val="18"/>
                </w:rPr>
                <w:fldChar w:fldCharType="begin"/>
              </w:r>
              <w:r w:rsidRPr="00D94062">
                <w:rPr>
                  <w:b/>
                  <w:sz w:val="18"/>
                </w:rPr>
                <w:instrText xml:space="preserve"> NUMPAGES  </w:instrText>
              </w:r>
              <w:r w:rsidR="00F82948" w:rsidRPr="00D94062">
                <w:rPr>
                  <w:b/>
                  <w:sz w:val="18"/>
                </w:rPr>
                <w:fldChar w:fldCharType="separate"/>
              </w:r>
              <w:r w:rsidR="00755ECA">
                <w:rPr>
                  <w:b/>
                  <w:noProof/>
                  <w:sz w:val="18"/>
                </w:rPr>
                <w:t>2</w:t>
              </w:r>
              <w:r w:rsidR="00F82948" w:rsidRPr="00D94062">
                <w:rPr>
                  <w:b/>
                  <w:sz w:val="18"/>
                </w:rPr>
                <w:fldChar w:fldCharType="end"/>
              </w:r>
            </w:p>
          </w:sdtContent>
        </w:sdt>
      </w:tc>
    </w:tr>
  </w:tbl>
  <w:p w14:paraId="5ACD14A0" w14:textId="77777777" w:rsidR="00254227" w:rsidRDefault="00254227" w:rsidP="00DF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EAE6" w14:textId="77777777" w:rsidR="007E502E" w:rsidRDefault="007E502E" w:rsidP="00E74A2C">
      <w:pPr>
        <w:spacing w:after="0" w:line="240" w:lineRule="auto"/>
      </w:pPr>
      <w:r>
        <w:separator/>
      </w:r>
    </w:p>
  </w:footnote>
  <w:footnote w:type="continuationSeparator" w:id="0">
    <w:p w14:paraId="0C075178" w14:textId="77777777" w:rsidR="007E502E" w:rsidRDefault="007E502E" w:rsidP="00E7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6"/>
      <w:gridCol w:w="3475"/>
      <w:gridCol w:w="896"/>
      <w:gridCol w:w="4433"/>
    </w:tblGrid>
    <w:tr w:rsidR="0026081C" w14:paraId="5601E6E8" w14:textId="77777777" w:rsidTr="00DF49C9">
      <w:trPr>
        <w:trHeight w:val="440"/>
      </w:trPr>
      <w:tc>
        <w:tcPr>
          <w:tcW w:w="1986" w:type="dxa"/>
          <w:vMerge w:val="restart"/>
          <w:vAlign w:val="center"/>
        </w:tcPr>
        <w:p w14:paraId="2D2B92C5" w14:textId="77777777" w:rsidR="00254227" w:rsidRDefault="00C00F04" w:rsidP="00DF49C9">
          <w:pPr>
            <w:pStyle w:val="Header"/>
          </w:pPr>
          <w:r w:rsidRPr="003A0A37">
            <w:rPr>
              <w:noProof/>
              <w:lang w:val="en-CA" w:eastAsia="en-CA"/>
            </w:rPr>
            <w:drawing>
              <wp:inline distT="0" distB="0" distL="0" distR="0" wp14:anchorId="35F0AE45" wp14:editId="6D5A7058">
                <wp:extent cx="1103424" cy="600075"/>
                <wp:effectExtent l="19050" t="0" r="1476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1491" t="33179" r="59670" b="504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621" cy="604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2" w:type="dxa"/>
          <w:vMerge w:val="restart"/>
          <w:vAlign w:val="center"/>
        </w:tcPr>
        <w:p w14:paraId="7BAA5060" w14:textId="77777777" w:rsidR="00254227" w:rsidRDefault="00C00F04" w:rsidP="00DF49C9">
          <w:pPr>
            <w:pStyle w:val="Header"/>
            <w:jc w:val="center"/>
          </w:pPr>
          <w:r w:rsidRPr="003A0A37">
            <w:rPr>
              <w:b/>
            </w:rPr>
            <w:t>Rural Municipality of Calder No. 241</w:t>
          </w:r>
          <w:r>
            <w:br/>
          </w:r>
          <w:r>
            <w:rPr>
              <w:rFonts w:ascii="Times New Roman" w:hAnsi="Times New Roman" w:cs="Times New Roman"/>
              <w:sz w:val="32"/>
            </w:rPr>
            <w:t>Policies &amp; Procedures</w:t>
          </w:r>
        </w:p>
      </w:tc>
      <w:tc>
        <w:tcPr>
          <w:tcW w:w="900" w:type="dxa"/>
          <w:shd w:val="clear" w:color="auto" w:fill="D9D9D9" w:themeFill="background1" w:themeFillShade="D9"/>
          <w:vAlign w:val="center"/>
        </w:tcPr>
        <w:p w14:paraId="4FDA77A6" w14:textId="77777777" w:rsidR="00254227" w:rsidRDefault="00C00F04" w:rsidP="00DF49C9">
          <w:pPr>
            <w:pStyle w:val="Header"/>
            <w:jc w:val="right"/>
          </w:pPr>
          <w:r>
            <w:t>Policy #</w:t>
          </w:r>
        </w:p>
      </w:tc>
      <w:tc>
        <w:tcPr>
          <w:tcW w:w="4500" w:type="dxa"/>
          <w:vAlign w:val="center"/>
        </w:tcPr>
        <w:p w14:paraId="0B2CF00D" w14:textId="77777777" w:rsidR="00254227" w:rsidRPr="008F71F2" w:rsidRDefault="00C00F04" w:rsidP="00DF49C9">
          <w:pPr>
            <w:pStyle w:val="Header"/>
            <w:rPr>
              <w:sz w:val="12"/>
            </w:rPr>
          </w:pPr>
          <w:r>
            <w:t>UT 100</w:t>
          </w:r>
        </w:p>
      </w:tc>
    </w:tr>
    <w:tr w:rsidR="0026081C" w14:paraId="339CC5AC" w14:textId="77777777" w:rsidTr="00DF49C9">
      <w:trPr>
        <w:trHeight w:val="809"/>
      </w:trPr>
      <w:tc>
        <w:tcPr>
          <w:tcW w:w="1986" w:type="dxa"/>
          <w:vMerge/>
        </w:tcPr>
        <w:p w14:paraId="2204375D" w14:textId="77777777" w:rsidR="00254227" w:rsidRDefault="00254227" w:rsidP="00DF49C9">
          <w:pPr>
            <w:pStyle w:val="Header"/>
          </w:pPr>
        </w:p>
      </w:tc>
      <w:tc>
        <w:tcPr>
          <w:tcW w:w="3522" w:type="dxa"/>
          <w:vMerge/>
        </w:tcPr>
        <w:p w14:paraId="16CC9F8A" w14:textId="77777777" w:rsidR="00254227" w:rsidRDefault="00254227" w:rsidP="00DF49C9">
          <w:pPr>
            <w:pStyle w:val="Header"/>
          </w:pPr>
        </w:p>
      </w:tc>
      <w:tc>
        <w:tcPr>
          <w:tcW w:w="900" w:type="dxa"/>
          <w:shd w:val="clear" w:color="auto" w:fill="D9D9D9" w:themeFill="background1" w:themeFillShade="D9"/>
        </w:tcPr>
        <w:p w14:paraId="43111FD0" w14:textId="77777777" w:rsidR="00254227" w:rsidRDefault="00C00F04" w:rsidP="00DF49C9">
          <w:pPr>
            <w:pStyle w:val="Header"/>
            <w:jc w:val="right"/>
          </w:pPr>
          <w:r>
            <w:t xml:space="preserve">Title:  </w:t>
          </w:r>
        </w:p>
      </w:tc>
      <w:tc>
        <w:tcPr>
          <w:tcW w:w="4500" w:type="dxa"/>
        </w:tcPr>
        <w:p w14:paraId="02FE4EA0" w14:textId="77777777" w:rsidR="00254227" w:rsidRDefault="00C00F04" w:rsidP="00DF49C9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Waterworks Rate Policy</w:t>
          </w:r>
        </w:p>
        <w:p w14:paraId="711AFE5A" w14:textId="77777777" w:rsidR="00254227" w:rsidRPr="003A0A37" w:rsidRDefault="00C00F04" w:rsidP="00DF49C9">
          <w:pPr>
            <w:pStyle w:val="Header"/>
            <w:rPr>
              <w:b/>
            </w:rPr>
          </w:pPr>
          <w:r>
            <w:rPr>
              <w:b/>
              <w:sz w:val="32"/>
            </w:rPr>
            <w:t>And Capital Investment Strategy</w:t>
          </w:r>
        </w:p>
      </w:tc>
    </w:tr>
  </w:tbl>
  <w:p w14:paraId="20583586" w14:textId="77777777" w:rsidR="00254227" w:rsidRDefault="00254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3F"/>
    <w:rsid w:val="0011251E"/>
    <w:rsid w:val="0020069D"/>
    <w:rsid w:val="00254227"/>
    <w:rsid w:val="00282E7E"/>
    <w:rsid w:val="002E3BB4"/>
    <w:rsid w:val="0045533F"/>
    <w:rsid w:val="00482995"/>
    <w:rsid w:val="00635D21"/>
    <w:rsid w:val="0070223F"/>
    <w:rsid w:val="00755ECA"/>
    <w:rsid w:val="007E502E"/>
    <w:rsid w:val="007F60B8"/>
    <w:rsid w:val="008E74EE"/>
    <w:rsid w:val="008F0AE9"/>
    <w:rsid w:val="00A656B2"/>
    <w:rsid w:val="00AC53A9"/>
    <w:rsid w:val="00AE2E64"/>
    <w:rsid w:val="00B22861"/>
    <w:rsid w:val="00B61670"/>
    <w:rsid w:val="00B81DD1"/>
    <w:rsid w:val="00C00F04"/>
    <w:rsid w:val="00C97829"/>
    <w:rsid w:val="00CD44C0"/>
    <w:rsid w:val="00D01DFB"/>
    <w:rsid w:val="00D76919"/>
    <w:rsid w:val="00D96B25"/>
    <w:rsid w:val="00DE432D"/>
    <w:rsid w:val="00E40FD6"/>
    <w:rsid w:val="00E74A2C"/>
    <w:rsid w:val="00E91B5A"/>
    <w:rsid w:val="00EF1A68"/>
    <w:rsid w:val="00F77BC8"/>
    <w:rsid w:val="00F82948"/>
    <w:rsid w:val="00F939AF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BF42"/>
  <w15:docId w15:val="{E89B141C-476F-4EEF-AB80-201648C2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3F"/>
  </w:style>
  <w:style w:type="paragraph" w:styleId="Footer">
    <w:name w:val="footer"/>
    <w:basedOn w:val="Normal"/>
    <w:link w:val="FooterChar"/>
    <w:uiPriority w:val="99"/>
    <w:unhideWhenUsed/>
    <w:rsid w:val="004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3F"/>
  </w:style>
  <w:style w:type="paragraph" w:styleId="BalloonText">
    <w:name w:val="Balloon Text"/>
    <w:basedOn w:val="Normal"/>
    <w:link w:val="BalloonTextChar"/>
    <w:uiPriority w:val="99"/>
    <w:semiHidden/>
    <w:unhideWhenUsed/>
    <w:rsid w:val="0045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RM Administrator of Calder 241</cp:lastModifiedBy>
  <cp:revision>2</cp:revision>
  <cp:lastPrinted>2025-01-20T21:15:00Z</cp:lastPrinted>
  <dcterms:created xsi:type="dcterms:W3CDTF">2025-01-20T21:15:00Z</dcterms:created>
  <dcterms:modified xsi:type="dcterms:W3CDTF">2025-01-20T21:15:00Z</dcterms:modified>
</cp:coreProperties>
</file>