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Economica" w:cs="Economica" w:eastAsia="Economica" w:hAnsi="Economica"/>
          <w:b w:val="1"/>
          <w:i w:val="1"/>
          <w:sz w:val="56"/>
          <w:szCs w:val="56"/>
        </w:rPr>
      </w:pPr>
      <w:r w:rsidDel="00000000" w:rsidR="00000000" w:rsidRPr="00000000">
        <w:rPr>
          <w:rFonts w:ascii="Economica" w:cs="Economica" w:eastAsia="Economica" w:hAnsi="Economica"/>
          <w:b w:val="1"/>
          <w:i w:val="1"/>
          <w:sz w:val="56"/>
          <w:szCs w:val="56"/>
        </w:rPr>
        <w:drawing>
          <wp:inline distB="19050" distT="19050" distL="19050" distR="19050">
            <wp:extent cx="4261025" cy="3122525"/>
            <wp:effectExtent b="38100" l="38100" r="38100" t="38100"/>
            <wp:docPr id="1" name="image1.png"/>
            <a:graphic>
              <a:graphicData uri="http://schemas.openxmlformats.org/drawingml/2006/picture">
                <pic:pic>
                  <pic:nvPicPr>
                    <pic:cNvPr id="0" name="image1.png"/>
                    <pic:cNvPicPr preferRelativeResize="0"/>
                  </pic:nvPicPr>
                  <pic:blipFill>
                    <a:blip r:embed="rId6"/>
                    <a:srcRect b="19894" l="9449" r="18690" t="18147"/>
                    <a:stretch>
                      <a:fillRect/>
                    </a:stretch>
                  </pic:blipFill>
                  <pic:spPr>
                    <a:xfrm>
                      <a:off x="0" y="0"/>
                      <a:ext cx="4261025" cy="3122525"/>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Economica" w:cs="Economica" w:eastAsia="Economica" w:hAnsi="Economica"/>
          <w:b w:val="1"/>
          <w:i w:val="1"/>
          <w:sz w:val="56"/>
          <w:szCs w:val="56"/>
        </w:rPr>
      </w:pPr>
      <w:r w:rsidDel="00000000" w:rsidR="00000000" w:rsidRPr="00000000">
        <w:rPr>
          <w:rFonts w:ascii="Economica" w:cs="Economica" w:eastAsia="Economica" w:hAnsi="Economica"/>
          <w:b w:val="1"/>
          <w:i w:val="1"/>
          <w:sz w:val="56"/>
          <w:szCs w:val="56"/>
          <w:rtl w:val="0"/>
        </w:rPr>
        <w:t xml:space="preserve">The STARR Approach 6.5 CEU training for Clinicians:</w:t>
      </w:r>
    </w:p>
    <w:p w:rsidR="00000000" w:rsidDel="00000000" w:rsidP="00000000" w:rsidRDefault="00000000" w:rsidRPr="00000000" w14:paraId="00000003">
      <w:pPr>
        <w:widowControl w:val="0"/>
        <w:spacing w:line="240" w:lineRule="auto"/>
        <w:jc w:val="center"/>
        <w:rPr>
          <w:rFonts w:ascii="Economica" w:cs="Economica" w:eastAsia="Economica" w:hAnsi="Economica"/>
          <w:b w:val="1"/>
          <w:i w:val="1"/>
          <w:sz w:val="48"/>
          <w:szCs w:val="48"/>
        </w:rPr>
      </w:pPr>
      <w:r w:rsidDel="00000000" w:rsidR="00000000" w:rsidRPr="00000000">
        <w:rPr>
          <w:rFonts w:ascii="Economica" w:cs="Economica" w:eastAsia="Economica" w:hAnsi="Economica"/>
          <w:b w:val="1"/>
          <w:i w:val="1"/>
          <w:sz w:val="48"/>
          <w:szCs w:val="48"/>
          <w:rtl w:val="0"/>
        </w:rPr>
        <w:t xml:space="preserve">(Safety, Trauma-informed, Attachment, Relationship, Regulation)</w:t>
      </w:r>
    </w:p>
    <w:p w:rsidR="00000000" w:rsidDel="00000000" w:rsidP="00000000" w:rsidRDefault="00000000" w:rsidRPr="00000000" w14:paraId="00000004">
      <w:pPr>
        <w:widowControl w:val="0"/>
        <w:spacing w:line="240" w:lineRule="auto"/>
        <w:jc w:val="center"/>
        <w:rPr>
          <w:rFonts w:ascii="Economica" w:cs="Economica" w:eastAsia="Economica" w:hAnsi="Economica"/>
          <w:b w:val="1"/>
          <w:i w:val="1"/>
          <w:sz w:val="56"/>
          <w:szCs w:val="56"/>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Economica" w:cs="Economica" w:eastAsia="Economica" w:hAnsi="Economica"/>
          <w:b w:val="1"/>
          <w:i w:val="1"/>
          <w:sz w:val="56"/>
          <w:szCs w:val="56"/>
        </w:rPr>
      </w:pPr>
      <w:r w:rsidDel="00000000" w:rsidR="00000000" w:rsidRPr="00000000">
        <w:rPr>
          <w:rFonts w:ascii="Economica" w:cs="Economica" w:eastAsia="Economica" w:hAnsi="Economica"/>
          <w:b w:val="1"/>
          <w:i w:val="1"/>
          <w:sz w:val="56"/>
          <w:szCs w:val="56"/>
          <w:rtl w:val="0"/>
        </w:rPr>
        <w:t xml:space="preserve">The STARR program and approach is based on knowledge of early childhood development, impact of trauma and adversity on the brain and body, the sensory systems, individual differences, social emotional development and the nervous system. STARR is a </w:t>
      </w:r>
      <w:r w:rsidDel="00000000" w:rsidR="00000000" w:rsidRPr="00000000">
        <w:rPr>
          <w:rFonts w:ascii="Economica" w:cs="Economica" w:eastAsia="Economica" w:hAnsi="Economica"/>
          <w:b w:val="1"/>
          <w:i w:val="1"/>
          <w:sz w:val="56"/>
          <w:szCs w:val="56"/>
          <w:u w:val="single"/>
          <w:rtl w:val="0"/>
        </w:rPr>
        <w:t xml:space="preserve">relational based</w:t>
      </w:r>
      <w:r w:rsidDel="00000000" w:rsidR="00000000" w:rsidRPr="00000000">
        <w:rPr>
          <w:rFonts w:ascii="Economica" w:cs="Economica" w:eastAsia="Economica" w:hAnsi="Economica"/>
          <w:b w:val="1"/>
          <w:i w:val="1"/>
          <w:sz w:val="56"/>
          <w:szCs w:val="56"/>
          <w:rtl w:val="0"/>
        </w:rPr>
        <w:t xml:space="preserve"> trauma informed approach utilizing coregulation, bottom up and top down strategies.</w:t>
      </w:r>
    </w:p>
    <w:p w:rsidR="00000000" w:rsidDel="00000000" w:rsidP="00000000" w:rsidRDefault="00000000" w:rsidRPr="00000000" w14:paraId="00000006">
      <w:pPr>
        <w:widowControl w:val="0"/>
        <w:spacing w:line="240" w:lineRule="auto"/>
        <w:jc w:val="center"/>
        <w:rPr>
          <w:rFonts w:ascii="Economica" w:cs="Economica" w:eastAsia="Economica" w:hAnsi="Economica"/>
          <w:b w:val="1"/>
          <w:i w:val="1"/>
          <w:sz w:val="56"/>
          <w:szCs w:val="56"/>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Economica" w:cs="Economica" w:eastAsia="Economica" w:hAnsi="Economica"/>
          <w:b w:val="1"/>
          <w:i w:val="1"/>
          <w:sz w:val="56"/>
          <w:szCs w:val="56"/>
        </w:rPr>
      </w:pPr>
      <w:r w:rsidDel="00000000" w:rsidR="00000000" w:rsidRPr="00000000">
        <w:rPr>
          <w:rFonts w:ascii="Economica" w:cs="Economica" w:eastAsia="Economica" w:hAnsi="Economica"/>
          <w:b w:val="1"/>
          <w:i w:val="1"/>
          <w:sz w:val="56"/>
          <w:szCs w:val="56"/>
          <w:rtl w:val="0"/>
        </w:rPr>
        <w:t xml:space="preserve">The STARR Approach is also offered as a training for schools, support staff, care givers, as well as any programs working with youth who have been impacted by trauma.</w:t>
      </w:r>
    </w:p>
    <w:p w:rsidR="00000000" w:rsidDel="00000000" w:rsidP="00000000" w:rsidRDefault="00000000" w:rsidRPr="00000000" w14:paraId="00000008">
      <w:pPr>
        <w:widowControl w:val="0"/>
        <w:spacing w:line="240" w:lineRule="auto"/>
        <w:jc w:val="center"/>
        <w:rPr>
          <w:rFonts w:ascii="Economica" w:cs="Economica" w:eastAsia="Economica" w:hAnsi="Economica"/>
          <w:b w:val="1"/>
          <w:i w:val="1"/>
          <w:sz w:val="56"/>
          <w:szCs w:val="56"/>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Economica" w:cs="Economica" w:eastAsia="Economica" w:hAnsi="Economica"/>
          <w:b w:val="1"/>
          <w:i w:val="1"/>
          <w:sz w:val="56"/>
          <w:szCs w:val="56"/>
        </w:rPr>
      </w:pPr>
      <w:r w:rsidDel="00000000" w:rsidR="00000000" w:rsidRPr="00000000">
        <w:rPr>
          <w:rFonts w:ascii="Economica" w:cs="Economica" w:eastAsia="Economica" w:hAnsi="Economica"/>
          <w:b w:val="1"/>
          <w:i w:val="1"/>
          <w:sz w:val="56"/>
          <w:szCs w:val="56"/>
          <w:rtl w:val="0"/>
        </w:rPr>
        <w:t xml:space="preserve">Please contact J &amp; H Healing Therapy at 609-636-6440 for further information regarding the STARR approach</w:t>
      </w:r>
    </w:p>
    <w:p w:rsidR="00000000" w:rsidDel="00000000" w:rsidP="00000000" w:rsidRDefault="00000000" w:rsidRPr="00000000" w14:paraId="0000000A">
      <w:pPr>
        <w:widowControl w:val="0"/>
        <w:spacing w:line="240" w:lineRule="auto"/>
        <w:jc w:val="center"/>
        <w:rPr>
          <w:rFonts w:ascii="Economica" w:cs="Economica" w:eastAsia="Economica" w:hAnsi="Economica"/>
          <w:b w:val="1"/>
          <w:i w:val="1"/>
          <w:sz w:val="56"/>
          <w:szCs w:val="56"/>
        </w:rPr>
      </w:pPr>
      <w:r w:rsidDel="00000000" w:rsidR="00000000" w:rsidRPr="00000000">
        <w:rPr>
          <w:rFonts w:ascii="Economica" w:cs="Economica" w:eastAsia="Economica" w:hAnsi="Economica"/>
          <w:b w:val="1"/>
          <w:i w:val="1"/>
          <w:sz w:val="56"/>
          <w:szCs w:val="56"/>
          <w:rtl w:val="0"/>
        </w:rPr>
        <w:t xml:space="preserve"> and trainings.</w:t>
      </w:r>
    </w:p>
    <w:p w:rsidR="00000000" w:rsidDel="00000000" w:rsidP="00000000" w:rsidRDefault="00000000" w:rsidRPr="00000000" w14:paraId="0000000B">
      <w:pPr>
        <w:widowControl w:val="0"/>
        <w:spacing w:line="240"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