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Intensive In Community Services: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What are Intensive In Community Services (IIC)?</w:t>
      </w:r>
    </w:p>
    <w:p w:rsidR="00000000" w:rsidDel="00000000" w:rsidP="00000000" w:rsidRDefault="00000000" w:rsidRPr="00000000" w14:paraId="00000003">
      <w:pPr>
        <w:rPr>
          <w:color w:val="0a2a48"/>
          <w:sz w:val="26"/>
          <w:szCs w:val="26"/>
          <w:highlight w:val="white"/>
        </w:rPr>
      </w:pPr>
      <w:r w:rsidDel="00000000" w:rsidR="00000000" w:rsidRPr="00000000">
        <w:rPr>
          <w:color w:val="0a2a48"/>
          <w:sz w:val="26"/>
          <w:szCs w:val="26"/>
          <w:highlight w:val="white"/>
          <w:rtl w:val="0"/>
        </w:rPr>
        <w:t xml:space="preserve">Individualized, multi-systemic, goal-orientated, and strength-based clinical intervention that addresses the emotional and behavioral needs of youth with moderate to high needs. Services typically occur in the home but can be conducted in the community depending on the treatment needs.</w:t>
      </w:r>
    </w:p>
    <w:p w:rsidR="00000000" w:rsidDel="00000000" w:rsidP="00000000" w:rsidRDefault="00000000" w:rsidRPr="00000000" w14:paraId="00000004">
      <w:pPr>
        <w:rPr>
          <w:b w:val="1"/>
          <w:color w:val="0a2a48"/>
          <w:sz w:val="26"/>
          <w:szCs w:val="26"/>
          <w:highlight w:val="white"/>
        </w:rPr>
      </w:pPr>
      <w:r w:rsidDel="00000000" w:rsidR="00000000" w:rsidRPr="00000000">
        <w:rPr>
          <w:rtl w:val="0"/>
        </w:rPr>
      </w:r>
    </w:p>
    <w:p w:rsidR="00000000" w:rsidDel="00000000" w:rsidP="00000000" w:rsidRDefault="00000000" w:rsidRPr="00000000" w14:paraId="00000005">
      <w:pPr>
        <w:rPr>
          <w:b w:val="1"/>
          <w:color w:val="0a2a48"/>
          <w:sz w:val="26"/>
          <w:szCs w:val="26"/>
          <w:highlight w:val="white"/>
        </w:rPr>
      </w:pPr>
      <w:r w:rsidDel="00000000" w:rsidR="00000000" w:rsidRPr="00000000">
        <w:rPr>
          <w:b w:val="1"/>
          <w:color w:val="0a2a48"/>
          <w:sz w:val="26"/>
          <w:szCs w:val="26"/>
          <w:highlight w:val="white"/>
          <w:rtl w:val="0"/>
        </w:rPr>
        <w:t xml:space="preserve">Who is able to access IIC services?</w:t>
      </w:r>
    </w:p>
    <w:p w:rsidR="00000000" w:rsidDel="00000000" w:rsidP="00000000" w:rsidRDefault="00000000" w:rsidRPr="00000000" w14:paraId="00000006">
      <w:pPr>
        <w:rPr>
          <w:color w:val="0a2a48"/>
          <w:sz w:val="26"/>
          <w:szCs w:val="26"/>
          <w:highlight w:val="white"/>
        </w:rPr>
      </w:pPr>
      <w:r w:rsidDel="00000000" w:rsidR="00000000" w:rsidRPr="00000000">
        <w:rPr>
          <w:color w:val="0a2a48"/>
          <w:sz w:val="26"/>
          <w:szCs w:val="26"/>
          <w:highlight w:val="white"/>
          <w:rtl w:val="0"/>
        </w:rPr>
        <w:t xml:space="preserve">Services are typically provided for Youth ages 20 and younger in New Jersey who have moderate to high emotional and behavioral needs. Typical challenges can include depression, anxiety, school refusal, oppositional behavior, violent behavior, property destruction, hyperactivity, suicidal and homicidal ideation, etc. If your child is going through a difficulty that is affecting their ability to function normally in their daily life, it is worth calling the number below.</w:t>
      </w:r>
    </w:p>
    <w:p w:rsidR="00000000" w:rsidDel="00000000" w:rsidP="00000000" w:rsidRDefault="00000000" w:rsidRPr="00000000" w14:paraId="00000007">
      <w:pPr>
        <w:rPr>
          <w:color w:val="0a2a48"/>
          <w:sz w:val="26"/>
          <w:szCs w:val="26"/>
          <w:highlight w:val="white"/>
        </w:rPr>
      </w:pPr>
      <w:r w:rsidDel="00000000" w:rsidR="00000000" w:rsidRPr="00000000">
        <w:rPr>
          <w:rtl w:val="0"/>
        </w:rPr>
      </w:r>
    </w:p>
    <w:p w:rsidR="00000000" w:rsidDel="00000000" w:rsidP="00000000" w:rsidRDefault="00000000" w:rsidRPr="00000000" w14:paraId="00000008">
      <w:pPr>
        <w:rPr>
          <w:b w:val="1"/>
          <w:color w:val="0a2a48"/>
          <w:sz w:val="26"/>
          <w:szCs w:val="26"/>
          <w:highlight w:val="white"/>
        </w:rPr>
      </w:pPr>
      <w:r w:rsidDel="00000000" w:rsidR="00000000" w:rsidRPr="00000000">
        <w:rPr>
          <w:b w:val="1"/>
          <w:color w:val="0a2a48"/>
          <w:sz w:val="26"/>
          <w:szCs w:val="26"/>
          <w:highlight w:val="white"/>
          <w:rtl w:val="0"/>
        </w:rPr>
        <w:t xml:space="preserve">What services does J &amp; H Healing Provide?</w:t>
      </w:r>
    </w:p>
    <w:p w:rsidR="00000000" w:rsidDel="00000000" w:rsidP="00000000" w:rsidRDefault="00000000" w:rsidRPr="00000000" w14:paraId="00000009">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Individual and Family Therapy </w:t>
      </w:r>
    </w:p>
    <w:p w:rsidR="00000000" w:rsidDel="00000000" w:rsidP="00000000" w:rsidRDefault="00000000" w:rsidRPr="00000000" w14:paraId="0000000A">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CBT </w:t>
      </w:r>
    </w:p>
    <w:p w:rsidR="00000000" w:rsidDel="00000000" w:rsidP="00000000" w:rsidRDefault="00000000" w:rsidRPr="00000000" w14:paraId="0000000B">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Trauma-focused CBT </w:t>
      </w:r>
    </w:p>
    <w:p w:rsidR="00000000" w:rsidDel="00000000" w:rsidP="00000000" w:rsidRDefault="00000000" w:rsidRPr="00000000" w14:paraId="0000000C">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ARC/GROW </w:t>
      </w:r>
    </w:p>
    <w:p w:rsidR="00000000" w:rsidDel="00000000" w:rsidP="00000000" w:rsidRDefault="00000000" w:rsidRPr="00000000" w14:paraId="0000000D">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Nurtured Heart Approach  </w:t>
      </w:r>
    </w:p>
    <w:p w:rsidR="00000000" w:rsidDel="00000000" w:rsidP="00000000" w:rsidRDefault="00000000" w:rsidRPr="00000000" w14:paraId="0000000E">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STARR Approach</w:t>
      </w:r>
    </w:p>
    <w:p w:rsidR="00000000" w:rsidDel="00000000" w:rsidP="00000000" w:rsidRDefault="00000000" w:rsidRPr="00000000" w14:paraId="0000000F">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A variety of other evidenced-based treatment models</w:t>
      </w:r>
    </w:p>
    <w:p w:rsidR="00000000" w:rsidDel="00000000" w:rsidP="00000000" w:rsidRDefault="00000000" w:rsidRPr="00000000" w14:paraId="00000010">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Child Parent Psychotherapy</w:t>
      </w:r>
    </w:p>
    <w:p w:rsidR="00000000" w:rsidDel="00000000" w:rsidP="00000000" w:rsidRDefault="00000000" w:rsidRPr="00000000" w14:paraId="00000011">
      <w:pPr>
        <w:numPr>
          <w:ilvl w:val="0"/>
          <w:numId w:val="1"/>
        </w:numPr>
        <w:shd w:fill="ffffff" w:val="clear"/>
        <w:ind w:left="720" w:hanging="360"/>
        <w:rPr>
          <w:color w:val="0a2a48"/>
          <w:sz w:val="24"/>
          <w:szCs w:val="24"/>
          <w:highlight w:val="white"/>
        </w:rPr>
      </w:pPr>
      <w:r w:rsidDel="00000000" w:rsidR="00000000" w:rsidRPr="00000000">
        <w:rPr>
          <w:color w:val="0a2a48"/>
          <w:sz w:val="24"/>
          <w:szCs w:val="24"/>
          <w:highlight w:val="white"/>
          <w:rtl w:val="0"/>
        </w:rPr>
        <w:t xml:space="preserve">Internal Family Systems informed treatment</w:t>
      </w:r>
    </w:p>
    <w:p w:rsidR="00000000" w:rsidDel="00000000" w:rsidP="00000000" w:rsidRDefault="00000000" w:rsidRPr="00000000" w14:paraId="00000012">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Focus on strength-based skill building to increase desired outcomes </w:t>
      </w:r>
    </w:p>
    <w:p w:rsidR="00000000" w:rsidDel="00000000" w:rsidP="00000000" w:rsidRDefault="00000000" w:rsidRPr="00000000" w14:paraId="00000013">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Assessments </w:t>
      </w:r>
    </w:p>
    <w:p w:rsidR="00000000" w:rsidDel="00000000" w:rsidP="00000000" w:rsidRDefault="00000000" w:rsidRPr="00000000" w14:paraId="00000014">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Biopsychosocial (BPS) </w:t>
      </w:r>
    </w:p>
    <w:p w:rsidR="00000000" w:rsidDel="00000000" w:rsidP="00000000" w:rsidRDefault="00000000" w:rsidRPr="00000000" w14:paraId="00000015">
      <w:pPr>
        <w:numPr>
          <w:ilvl w:val="0"/>
          <w:numId w:val="1"/>
        </w:numPr>
        <w:shd w:fill="ffffff" w:val="clear"/>
        <w:ind w:left="720" w:hanging="360"/>
        <w:rPr>
          <w:sz w:val="24"/>
          <w:szCs w:val="24"/>
          <w:highlight w:val="white"/>
        </w:rPr>
      </w:pPr>
      <w:r w:rsidDel="00000000" w:rsidR="00000000" w:rsidRPr="00000000">
        <w:rPr>
          <w:color w:val="0a2a48"/>
          <w:sz w:val="24"/>
          <w:szCs w:val="24"/>
          <w:highlight w:val="white"/>
          <w:rtl w:val="0"/>
        </w:rPr>
        <w:t xml:space="preserve">Clinical Supervision </w:t>
      </w:r>
    </w:p>
    <w:p w:rsidR="00000000" w:rsidDel="00000000" w:rsidP="00000000" w:rsidRDefault="00000000" w:rsidRPr="00000000" w14:paraId="00000016">
      <w:pPr>
        <w:shd w:fill="ffffff" w:val="clear"/>
        <w:ind w:left="0" w:firstLine="0"/>
        <w:rPr>
          <w:color w:val="0a2a48"/>
          <w:sz w:val="24"/>
          <w:szCs w:val="24"/>
          <w:highlight w:val="white"/>
        </w:rPr>
      </w:pPr>
      <w:r w:rsidDel="00000000" w:rsidR="00000000" w:rsidRPr="00000000">
        <w:rPr>
          <w:rtl w:val="0"/>
        </w:rPr>
      </w:r>
    </w:p>
    <w:p w:rsidR="00000000" w:rsidDel="00000000" w:rsidP="00000000" w:rsidRDefault="00000000" w:rsidRPr="00000000" w14:paraId="00000017">
      <w:pPr>
        <w:shd w:fill="ffffff" w:val="clear"/>
        <w:ind w:left="0" w:firstLine="0"/>
        <w:rPr>
          <w:b w:val="1"/>
          <w:color w:val="0a2a48"/>
          <w:sz w:val="26"/>
          <w:szCs w:val="26"/>
          <w:highlight w:val="white"/>
        </w:rPr>
      </w:pPr>
      <w:r w:rsidDel="00000000" w:rsidR="00000000" w:rsidRPr="00000000">
        <w:rPr>
          <w:b w:val="1"/>
          <w:color w:val="0a2a48"/>
          <w:sz w:val="26"/>
          <w:szCs w:val="26"/>
          <w:highlight w:val="white"/>
          <w:rtl w:val="0"/>
        </w:rPr>
        <w:t xml:space="preserve">How much do IIC services cost?</w:t>
      </w:r>
    </w:p>
    <w:p w:rsidR="00000000" w:rsidDel="00000000" w:rsidP="00000000" w:rsidRDefault="00000000" w:rsidRPr="00000000" w14:paraId="00000018">
      <w:pPr>
        <w:shd w:fill="ffffff" w:val="clear"/>
        <w:ind w:left="0" w:firstLine="0"/>
        <w:rPr>
          <w:color w:val="0a2a48"/>
          <w:sz w:val="26"/>
          <w:szCs w:val="26"/>
          <w:highlight w:val="white"/>
        </w:rPr>
      </w:pPr>
      <w:r w:rsidDel="00000000" w:rsidR="00000000" w:rsidRPr="00000000">
        <w:rPr>
          <w:color w:val="0a2a48"/>
          <w:sz w:val="26"/>
          <w:szCs w:val="26"/>
          <w:highlight w:val="white"/>
          <w:rtl w:val="0"/>
        </w:rPr>
        <w:t xml:space="preserve">Zero! IIC services are covered by Medicaid, even if you have private or no insurance.</w:t>
      </w:r>
    </w:p>
    <w:p w:rsidR="00000000" w:rsidDel="00000000" w:rsidP="00000000" w:rsidRDefault="00000000" w:rsidRPr="00000000" w14:paraId="00000019">
      <w:pPr>
        <w:rPr>
          <w:b w:val="1"/>
          <w:color w:val="0a2a48"/>
          <w:sz w:val="26"/>
          <w:szCs w:val="26"/>
          <w:highlight w:val="white"/>
        </w:rPr>
      </w:pPr>
      <w:r w:rsidDel="00000000" w:rsidR="00000000" w:rsidRPr="00000000">
        <w:rPr>
          <w:rtl w:val="0"/>
        </w:rPr>
      </w:r>
    </w:p>
    <w:p w:rsidR="00000000" w:rsidDel="00000000" w:rsidP="00000000" w:rsidRDefault="00000000" w:rsidRPr="00000000" w14:paraId="0000001A">
      <w:pPr>
        <w:rPr>
          <w:b w:val="1"/>
          <w:color w:val="0a2a48"/>
          <w:sz w:val="26"/>
          <w:szCs w:val="26"/>
          <w:highlight w:val="white"/>
        </w:rPr>
      </w:pPr>
      <w:r w:rsidDel="00000000" w:rsidR="00000000" w:rsidRPr="00000000">
        <w:rPr>
          <w:b w:val="1"/>
          <w:color w:val="0a2a48"/>
          <w:sz w:val="26"/>
          <w:szCs w:val="26"/>
          <w:highlight w:val="white"/>
          <w:rtl w:val="0"/>
        </w:rPr>
        <w:t xml:space="preserve">How do I access services?</w:t>
      </w:r>
    </w:p>
    <w:p w:rsidR="00000000" w:rsidDel="00000000" w:rsidP="00000000" w:rsidRDefault="00000000" w:rsidRPr="00000000" w14:paraId="0000001B">
      <w:pPr>
        <w:rPr>
          <w:color w:val="0a2a48"/>
          <w:sz w:val="26"/>
          <w:szCs w:val="26"/>
          <w:highlight w:val="white"/>
        </w:rPr>
      </w:pPr>
      <w:r w:rsidDel="00000000" w:rsidR="00000000" w:rsidRPr="00000000">
        <w:rPr>
          <w:color w:val="0a2a48"/>
          <w:sz w:val="26"/>
          <w:szCs w:val="26"/>
          <w:highlight w:val="white"/>
          <w:rtl w:val="0"/>
        </w:rPr>
        <w:t xml:space="preserve">Contact the Contracted Systems Administrator (CSA) PerformCare open 24 hours a day/7 days a week to apply for services and request treatment from FTxCS/UFS at 877-652-7624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a2a48"/>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