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CCB" w14:textId="77777777" w:rsidR="00674B56" w:rsidRDefault="00B668AD">
      <w:pPr>
        <w:rPr>
          <w:rFonts w:cstheme="minorHAnsi"/>
          <w:sz w:val="24"/>
          <w:szCs w:val="24"/>
        </w:rPr>
      </w:pPr>
      <w:r w:rsidRPr="00B668AD">
        <w:rPr>
          <w:rFonts w:cstheme="minorHAnsi"/>
          <w:sz w:val="24"/>
          <w:szCs w:val="24"/>
        </w:rPr>
        <w:t xml:space="preserve">Last week’s session, </w:t>
      </w:r>
      <w:r w:rsidRPr="00EC62C8">
        <w:rPr>
          <w:rFonts w:cstheme="minorHAnsi"/>
          <w:i/>
          <w:iCs/>
          <w:sz w:val="24"/>
          <w:szCs w:val="24"/>
          <w:u w:val="single"/>
        </w:rPr>
        <w:t>“It’s All About the Relationship: How to Enhance Your Professional Interactions”</w:t>
      </w:r>
      <w:r w:rsidRPr="00B668AD">
        <w:rPr>
          <w:rFonts w:cstheme="minorHAnsi"/>
          <w:sz w:val="24"/>
          <w:szCs w:val="24"/>
        </w:rPr>
        <w:t xml:space="preserve"> added to a very successful 2023 New York Cash Exchange Conference at the Javits Center in New York City.  </w:t>
      </w:r>
    </w:p>
    <w:p w14:paraId="6F83E5CA" w14:textId="570C4DE8" w:rsidR="00B15BF8" w:rsidRDefault="00B668AD">
      <w:pPr>
        <w:rPr>
          <w:rFonts w:cstheme="minorHAnsi"/>
          <w:b/>
          <w:bCs/>
          <w:i/>
          <w:iCs/>
          <w:sz w:val="24"/>
          <w:szCs w:val="24"/>
        </w:rPr>
      </w:pPr>
      <w:r w:rsidRPr="000E0ECF">
        <w:rPr>
          <w:rFonts w:cstheme="minorHAnsi"/>
          <w:b/>
          <w:bCs/>
          <w:sz w:val="24"/>
          <w:szCs w:val="24"/>
        </w:rPr>
        <w:t>Jeff Horowitz</w:t>
      </w:r>
      <w:r w:rsidRPr="00B668AD">
        <w:rPr>
          <w:rFonts w:cstheme="minorHAnsi"/>
          <w:sz w:val="24"/>
          <w:szCs w:val="24"/>
        </w:rPr>
        <w:t xml:space="preserve"> representing Treasury Sources moderated an executive panel that included </w:t>
      </w:r>
      <w:r w:rsidRPr="00B126A8">
        <w:rPr>
          <w:rFonts w:cstheme="minorHAnsi"/>
          <w:b/>
          <w:bCs/>
          <w:sz w:val="24"/>
          <w:szCs w:val="24"/>
        </w:rPr>
        <w:t>Scott Lambert</w:t>
      </w:r>
      <w:r w:rsidRPr="00B668AD">
        <w:rPr>
          <w:rFonts w:cstheme="minorHAnsi"/>
          <w:sz w:val="24"/>
          <w:szCs w:val="24"/>
        </w:rPr>
        <w:t xml:space="preserve">, Treasury Managing Director at Cigna, </w:t>
      </w:r>
      <w:r w:rsidRPr="00B126A8">
        <w:rPr>
          <w:rFonts w:cstheme="minorHAnsi"/>
          <w:b/>
          <w:bCs/>
          <w:sz w:val="24"/>
          <w:szCs w:val="24"/>
        </w:rPr>
        <w:t xml:space="preserve">Frank </w:t>
      </w:r>
      <w:proofErr w:type="spellStart"/>
      <w:r w:rsidRPr="00B126A8">
        <w:rPr>
          <w:rFonts w:cstheme="minorHAnsi"/>
          <w:b/>
          <w:bCs/>
          <w:sz w:val="24"/>
          <w:szCs w:val="24"/>
        </w:rPr>
        <w:t>D’Amadeo</w:t>
      </w:r>
      <w:proofErr w:type="spellEnd"/>
      <w:r w:rsidRPr="00B668AD">
        <w:rPr>
          <w:rFonts w:cstheme="minorHAnsi"/>
          <w:sz w:val="24"/>
          <w:szCs w:val="24"/>
        </w:rPr>
        <w:t xml:space="preserve">, Head of Treasury Operations at Con Edison, and </w:t>
      </w:r>
      <w:proofErr w:type="spellStart"/>
      <w:r w:rsidRPr="00B126A8">
        <w:rPr>
          <w:rFonts w:cstheme="minorHAnsi"/>
          <w:b/>
          <w:bCs/>
          <w:sz w:val="24"/>
          <w:szCs w:val="24"/>
        </w:rPr>
        <w:t>Timanto</w:t>
      </w:r>
      <w:proofErr w:type="spellEnd"/>
      <w:r w:rsidRPr="00B126A8">
        <w:rPr>
          <w:rFonts w:cstheme="minorHAnsi"/>
          <w:b/>
          <w:bCs/>
          <w:sz w:val="24"/>
          <w:szCs w:val="24"/>
        </w:rPr>
        <w:t xml:space="preserve"> Marima</w:t>
      </w:r>
      <w:r w:rsidRPr="00B668AD">
        <w:rPr>
          <w:rFonts w:cstheme="minorHAnsi"/>
          <w:sz w:val="24"/>
          <w:szCs w:val="24"/>
        </w:rPr>
        <w:t>, Director, Treasury Services at BNY Mellon.</w:t>
      </w:r>
      <w:r w:rsidR="00674B56">
        <w:rPr>
          <w:rFonts w:cstheme="minorHAnsi"/>
          <w:sz w:val="24"/>
          <w:szCs w:val="24"/>
        </w:rPr>
        <w:br/>
      </w:r>
    </w:p>
    <w:p w14:paraId="68D09C5B" w14:textId="1E098D71" w:rsidR="00B668AD" w:rsidRPr="009D70F2" w:rsidRDefault="00B668AD">
      <w:pPr>
        <w:rPr>
          <w:rFonts w:cstheme="minorHAnsi"/>
          <w:b/>
          <w:bCs/>
          <w:i/>
          <w:iCs/>
          <w:sz w:val="24"/>
          <w:szCs w:val="24"/>
        </w:rPr>
      </w:pPr>
      <w:r w:rsidRPr="009D70F2">
        <w:rPr>
          <w:rFonts w:cstheme="minorHAnsi"/>
          <w:b/>
          <w:bCs/>
          <w:i/>
          <w:iCs/>
          <w:sz w:val="24"/>
          <w:szCs w:val="24"/>
        </w:rPr>
        <w:t>The session focused on topics that included:</w:t>
      </w:r>
    </w:p>
    <w:p w14:paraId="76A73CE8" w14:textId="6476F9C9" w:rsidR="00B15BF8" w:rsidRDefault="00B668AD" w:rsidP="00B668A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>Why strong and sustained business relationships are more important now than ever</w:t>
      </w:r>
      <w:r w:rsidR="00B15BF8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10E2B644" w14:textId="43597EDE" w:rsidR="00B15BF8" w:rsidRDefault="00B668AD" w:rsidP="00B668A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>Successful experiences in working with key internal constituents</w:t>
      </w:r>
      <w:r w:rsidR="00B15BF8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6FE58577" w14:textId="5B64E53C" w:rsidR="00B668AD" w:rsidRPr="00AA70B1" w:rsidRDefault="00B668AD" w:rsidP="00B668A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>Expectations to think of when working with financial services and technology providers and other external business partners</w:t>
      </w:r>
      <w:r w:rsidR="00B15BF8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533E24A2" w14:textId="48BB1FCA" w:rsidR="00B668AD" w:rsidRPr="00B668AD" w:rsidRDefault="00B668AD" w:rsidP="00B668A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68AD">
        <w:rPr>
          <w:rFonts w:eastAsia="Times New Roman" w:cstheme="minorHAnsi"/>
          <w:kern w:val="0"/>
          <w:sz w:val="24"/>
          <w:szCs w:val="24"/>
          <w14:ligatures w14:val="none"/>
        </w:rPr>
        <w:t>The importance of diversity and inclusion</w:t>
      </w:r>
      <w:r w:rsidR="00B15BF8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7529CE72" w14:textId="77777777" w:rsidR="00B668AD" w:rsidRDefault="00B668AD" w:rsidP="00B668AD">
      <w:pPr>
        <w:numPr>
          <w:ilvl w:val="0"/>
          <w:numId w:val="1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68AD">
        <w:rPr>
          <w:rFonts w:eastAsia="Times New Roman" w:cstheme="minorHAnsi"/>
          <w:kern w:val="0"/>
          <w:sz w:val="24"/>
          <w:szCs w:val="24"/>
          <w14:ligatures w14:val="none"/>
        </w:rPr>
        <w:t>Balancing the need for face-to-face interaction while leveraging existing and new technology as effective communications tools</w:t>
      </w:r>
    </w:p>
    <w:p w14:paraId="41A97C12" w14:textId="77777777" w:rsidR="00B15BF8" w:rsidRDefault="00B15BF8" w:rsidP="00B668AD">
      <w:pPr>
        <w:spacing w:after="75" w:line="240" w:lineRule="auto"/>
        <w:textAlignment w:val="center"/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</w:pPr>
    </w:p>
    <w:p w14:paraId="08C2D0B3" w14:textId="2E6C6CA9" w:rsidR="00B668AD" w:rsidRPr="009D70F2" w:rsidRDefault="00B668AD" w:rsidP="00B668AD">
      <w:pPr>
        <w:spacing w:after="75" w:line="240" w:lineRule="auto"/>
        <w:textAlignment w:val="center"/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</w:pPr>
      <w:r w:rsidRPr="009D70F2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t>Best practices shared by the panel included:</w:t>
      </w:r>
      <w:r w:rsidR="000040AB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br/>
      </w:r>
    </w:p>
    <w:p w14:paraId="31FE5F49" w14:textId="6C2FE026" w:rsidR="00B668AD" w:rsidRPr="002654E6" w:rsidRDefault="00987A2D" w:rsidP="00987A2D">
      <w:pPr>
        <w:spacing w:after="75" w:line="240" w:lineRule="auto"/>
        <w:textAlignment w:val="center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2654E6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Overall perspectives</w:t>
      </w:r>
      <w:r w:rsidR="00AA70B1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br/>
      </w:r>
    </w:p>
    <w:p w14:paraId="4A16C7E1" w14:textId="03B6FAC9" w:rsidR="00B668AD" w:rsidRDefault="00B668AD" w:rsidP="00B668AD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Forward thinking companies will often bring employees together for networking opportunities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75D0D709" w14:textId="1DBF9091" w:rsidR="003A4F7F" w:rsidRDefault="003A4F7F" w:rsidP="00B668AD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Business leaders are not always aware of the value Treasury provides – set up meetings with key stakeholders to go over how Treasury can help with their goals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7B124E2F" w14:textId="5919D035" w:rsidR="007D4F93" w:rsidRDefault="001F6235" w:rsidP="00B668AD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When building professional relationships </w:t>
      </w:r>
      <w:r w:rsidR="00B14010">
        <w:rPr>
          <w:rFonts w:eastAsia="Times New Roman" w:cstheme="minorHAnsi"/>
          <w:kern w:val="0"/>
          <w:sz w:val="24"/>
          <w:szCs w:val="24"/>
          <w14:ligatures w14:val="none"/>
        </w:rPr>
        <w:t>people care more about how much you care before they view how much you know – show those in your professional relationships that you care about them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501BE853" w14:textId="4E5570AC" w:rsidR="00B14010" w:rsidRDefault="00B14010" w:rsidP="00B668AD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Trust </w:t>
      </w:r>
      <w:r w:rsidR="0079163C">
        <w:rPr>
          <w:rFonts w:eastAsia="Times New Roman" w:cstheme="minorHAnsi"/>
          <w:kern w:val="0"/>
          <w:sz w:val="24"/>
          <w:szCs w:val="24"/>
          <w14:ligatures w14:val="none"/>
        </w:rPr>
        <w:t xml:space="preserve">always needs to be at the center of a business (or personal) relationship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26449425" w14:textId="3ED05425" w:rsidR="00987A2D" w:rsidRPr="002654E6" w:rsidRDefault="00987A2D" w:rsidP="00987A2D">
      <w:pPr>
        <w:spacing w:after="75" w:line="240" w:lineRule="auto"/>
        <w:textAlignment w:val="center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2654E6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Face-to-face </w:t>
      </w:r>
      <w:r w:rsidR="00DA3F60" w:rsidRPr="002654E6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interactions vs. leveraging technology</w:t>
      </w:r>
      <w:r w:rsidR="00AA70B1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br/>
      </w:r>
    </w:p>
    <w:p w14:paraId="0B17EE3B" w14:textId="5938EB3A" w:rsidR="008D1471" w:rsidRDefault="008D1471" w:rsidP="008D1471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Leveraging technology is extremely important but nothing beats “face-to-face” interactions, and many Treasury leaders expect their external business partners to meet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with them face-to-face on a regular basis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08F66677" w14:textId="77A4FD76" w:rsidR="003A4F7F" w:rsidRDefault="005E2836" w:rsidP="00B668AD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If you are joining a meeting virtually, whenever possible, “turn on the camera” </w:t>
      </w:r>
      <w:r w:rsidR="007747BE">
        <w:rPr>
          <w:rFonts w:eastAsia="Times New Roman" w:cstheme="minorHAnsi"/>
          <w:kern w:val="0"/>
          <w:sz w:val="24"/>
          <w:szCs w:val="24"/>
          <w14:ligatures w14:val="none"/>
        </w:rPr>
        <w:t xml:space="preserve">to show you are actively participating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63C465BF" w14:textId="302A8446" w:rsidR="007747BE" w:rsidRDefault="007747BE" w:rsidP="00B668AD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When leading meetings, keep in mind those who have joined virtually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77025958" w14:textId="475EF517" w:rsidR="00AA70B1" w:rsidRPr="00AA70B1" w:rsidRDefault="00B1158F" w:rsidP="00AA70B1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 xml:space="preserve">If you work in a hybrid or </w:t>
      </w:r>
      <w:proofErr w:type="spellStart"/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>W</w:t>
      </w:r>
      <w:r w:rsidR="00B149BF">
        <w:rPr>
          <w:rFonts w:eastAsia="Times New Roman" w:cstheme="minorHAnsi"/>
          <w:kern w:val="0"/>
          <w:sz w:val="24"/>
          <w:szCs w:val="24"/>
          <w14:ligatures w14:val="none"/>
        </w:rPr>
        <w:t>f</w:t>
      </w:r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spellEnd"/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 xml:space="preserve"> (Work </w:t>
      </w:r>
      <w:r w:rsidR="00B149BF" w:rsidRPr="00AA70B1">
        <w:rPr>
          <w:rFonts w:eastAsia="Times New Roman" w:cstheme="minorHAnsi"/>
          <w:kern w:val="0"/>
          <w:sz w:val="24"/>
          <w:szCs w:val="24"/>
          <w14:ligatures w14:val="none"/>
        </w:rPr>
        <w:t>from</w:t>
      </w:r>
      <w:r w:rsidRPr="00AA70B1">
        <w:rPr>
          <w:rFonts w:eastAsia="Times New Roman" w:cstheme="minorHAnsi"/>
          <w:kern w:val="0"/>
          <w:sz w:val="24"/>
          <w:szCs w:val="24"/>
          <w14:ligatures w14:val="none"/>
        </w:rPr>
        <w:t xml:space="preserve"> Anywhere) </w:t>
      </w:r>
      <w:r w:rsidR="0031351D" w:rsidRPr="00AA70B1">
        <w:rPr>
          <w:rFonts w:eastAsia="Times New Roman" w:cstheme="minorHAnsi"/>
          <w:kern w:val="0"/>
          <w:sz w:val="24"/>
          <w:szCs w:val="24"/>
          <w14:ligatures w14:val="none"/>
        </w:rPr>
        <w:t xml:space="preserve">structure, take time to ensure you build and maintain relationships by finding ways to </w:t>
      </w:r>
      <w:r w:rsidR="00A62D81">
        <w:rPr>
          <w:rFonts w:eastAsia="Times New Roman" w:cstheme="minorHAnsi"/>
          <w:kern w:val="0"/>
          <w:sz w:val="24"/>
          <w:szCs w:val="24"/>
          <w14:ligatures w14:val="none"/>
        </w:rPr>
        <w:t xml:space="preserve">have “in-person” </w:t>
      </w:r>
      <w:r w:rsidR="0031351D" w:rsidRPr="00AA70B1">
        <w:rPr>
          <w:rFonts w:eastAsia="Times New Roman" w:cstheme="minorHAnsi"/>
          <w:kern w:val="0"/>
          <w:sz w:val="24"/>
          <w:szCs w:val="24"/>
          <w14:ligatures w14:val="none"/>
        </w:rPr>
        <w:t>interact</w:t>
      </w:r>
      <w:r w:rsidR="00A62D81">
        <w:rPr>
          <w:rFonts w:eastAsia="Times New Roman" w:cstheme="minorHAnsi"/>
          <w:kern w:val="0"/>
          <w:sz w:val="24"/>
          <w:szCs w:val="24"/>
          <w14:ligatures w14:val="none"/>
        </w:rPr>
        <w:t>ion</w:t>
      </w:r>
      <w:r w:rsidR="0031351D" w:rsidRPr="00AA70B1">
        <w:rPr>
          <w:rFonts w:eastAsia="Times New Roman" w:cstheme="minorHAnsi"/>
          <w:kern w:val="0"/>
          <w:sz w:val="24"/>
          <w:szCs w:val="24"/>
          <w14:ligatures w14:val="none"/>
        </w:rPr>
        <w:t xml:space="preserve"> with </w:t>
      </w:r>
      <w:r w:rsidR="000C03E8" w:rsidRPr="00AA70B1">
        <w:rPr>
          <w:rFonts w:eastAsia="Times New Roman" w:cstheme="minorHAnsi"/>
          <w:kern w:val="0"/>
          <w:sz w:val="24"/>
          <w:szCs w:val="24"/>
          <w14:ligatures w14:val="none"/>
        </w:rPr>
        <w:t xml:space="preserve">those you work with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649B8500" w14:textId="7B2C8BF6" w:rsidR="00DA3F60" w:rsidRPr="002654E6" w:rsidRDefault="003D3CB8" w:rsidP="00DA3F60">
      <w:pPr>
        <w:spacing w:after="75" w:line="240" w:lineRule="auto"/>
        <w:textAlignment w:val="center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2654E6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The importance of diversity and inclusion </w:t>
      </w:r>
      <w:r w:rsidR="00AA70B1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br/>
      </w:r>
    </w:p>
    <w:p w14:paraId="7196E8FE" w14:textId="191CEC38" w:rsidR="0078629A" w:rsidRDefault="008D1471" w:rsidP="00223DD5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Both diversity AND inclusion are </w:t>
      </w:r>
      <w:r w:rsidR="00F055E2">
        <w:rPr>
          <w:rFonts w:eastAsia="Times New Roman" w:cstheme="minorHAnsi"/>
          <w:kern w:val="0"/>
          <w:sz w:val="24"/>
          <w:szCs w:val="24"/>
          <w14:ligatures w14:val="none"/>
        </w:rPr>
        <w:t xml:space="preserve">incredibly important </w:t>
      </w:r>
      <w:r w:rsidR="00A6218E">
        <w:rPr>
          <w:rFonts w:eastAsia="Times New Roman" w:cstheme="minorHAnsi"/>
          <w:kern w:val="0"/>
          <w:sz w:val="24"/>
          <w:szCs w:val="24"/>
          <w14:ligatures w14:val="none"/>
        </w:rPr>
        <w:t xml:space="preserve">when building and growing high performance teams </w:t>
      </w:r>
      <w:r w:rsidR="00966365">
        <w:rPr>
          <w:rFonts w:eastAsia="Times New Roman" w:cstheme="minorHAnsi"/>
          <w:kern w:val="0"/>
          <w:sz w:val="24"/>
          <w:szCs w:val="24"/>
          <w14:ligatures w14:val="none"/>
        </w:rPr>
        <w:t xml:space="preserve">and treasury and finance teams should work very closely </w:t>
      </w:r>
      <w:r w:rsidR="00F75272">
        <w:rPr>
          <w:rFonts w:eastAsia="Times New Roman" w:cstheme="minorHAnsi"/>
          <w:kern w:val="0"/>
          <w:sz w:val="24"/>
          <w:szCs w:val="24"/>
          <w14:ligatures w14:val="none"/>
        </w:rPr>
        <w:t xml:space="preserve">and in synergy </w:t>
      </w:r>
      <w:r w:rsidR="00966365">
        <w:rPr>
          <w:rFonts w:eastAsia="Times New Roman" w:cstheme="minorHAnsi"/>
          <w:kern w:val="0"/>
          <w:sz w:val="24"/>
          <w:szCs w:val="24"/>
          <w14:ligatures w14:val="none"/>
        </w:rPr>
        <w:t>with HR</w:t>
      </w:r>
      <w:r w:rsidR="00F75272">
        <w:rPr>
          <w:rFonts w:eastAsia="Times New Roman" w:cstheme="minorHAnsi"/>
          <w:kern w:val="0"/>
          <w:sz w:val="24"/>
          <w:szCs w:val="24"/>
          <w14:ligatures w14:val="none"/>
        </w:rPr>
        <w:t xml:space="preserve"> leaders </w:t>
      </w:r>
      <w:r w:rsidR="004A1E90">
        <w:rPr>
          <w:rFonts w:eastAsia="Times New Roman" w:cstheme="minorHAnsi"/>
          <w:kern w:val="0"/>
          <w:sz w:val="24"/>
          <w:szCs w:val="24"/>
          <w14:ligatures w14:val="none"/>
        </w:rPr>
        <w:t>to ensure a diverse AND inclusive working environment</w:t>
      </w:r>
      <w:r w:rsidR="0078629A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106E4694" w14:textId="7DC54A0D" w:rsidR="00BD056A" w:rsidRDefault="0078629A" w:rsidP="00223DD5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Don’t make the mistake of “combining” diversity and inclusion together – they are two separate</w:t>
      </w:r>
      <w:r w:rsidR="00366C4A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yet </w:t>
      </w:r>
      <w:r w:rsidR="00366C4A">
        <w:rPr>
          <w:rFonts w:eastAsia="Times New Roman" w:cstheme="minorHAnsi"/>
          <w:kern w:val="0"/>
          <w:sz w:val="24"/>
          <w:szCs w:val="24"/>
          <w14:ligatures w14:val="none"/>
        </w:rPr>
        <w:t xml:space="preserve">incredibly important components of high performance teams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40D98016" w14:textId="61F6021E" w:rsidR="00806D49" w:rsidRDefault="000D44FE" w:rsidP="00223DD5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Diversity starts with the recruiting process </w:t>
      </w:r>
      <w:r w:rsidR="00483EFA">
        <w:rPr>
          <w:rFonts w:eastAsia="Times New Roman" w:cstheme="minorHAnsi"/>
          <w:kern w:val="0"/>
          <w:sz w:val="24"/>
          <w:szCs w:val="24"/>
          <w14:ligatures w14:val="none"/>
        </w:rPr>
        <w:t xml:space="preserve">– leading companies interview candidates from a wide variety of universities </w:t>
      </w:r>
      <w:r w:rsidR="00EA2EAB">
        <w:rPr>
          <w:rFonts w:eastAsia="Times New Roman" w:cstheme="minorHAnsi"/>
          <w:kern w:val="0"/>
          <w:sz w:val="24"/>
          <w:szCs w:val="24"/>
          <w14:ligatures w14:val="none"/>
        </w:rPr>
        <w:t xml:space="preserve">and </w:t>
      </w:r>
      <w:r w:rsidR="00BF6C2D">
        <w:rPr>
          <w:rFonts w:eastAsia="Times New Roman" w:cstheme="minorHAnsi"/>
          <w:kern w:val="0"/>
          <w:sz w:val="24"/>
          <w:szCs w:val="24"/>
          <w14:ligatures w14:val="none"/>
        </w:rPr>
        <w:t xml:space="preserve">make selection decisions </w:t>
      </w:r>
      <w:r w:rsidR="006E06DC">
        <w:rPr>
          <w:rFonts w:eastAsia="Times New Roman" w:cstheme="minorHAnsi"/>
          <w:kern w:val="0"/>
          <w:sz w:val="24"/>
          <w:szCs w:val="24"/>
          <w14:ligatures w14:val="none"/>
        </w:rPr>
        <w:t xml:space="preserve">that value different backgrounds </w:t>
      </w:r>
      <w:r w:rsidR="0001624D">
        <w:rPr>
          <w:rFonts w:eastAsia="Times New Roman" w:cstheme="minorHAnsi"/>
          <w:kern w:val="0"/>
          <w:sz w:val="24"/>
          <w:szCs w:val="24"/>
          <w14:ligatures w14:val="none"/>
        </w:rPr>
        <w:t>to</w:t>
      </w:r>
      <w:r w:rsidR="006E06D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573839">
        <w:rPr>
          <w:rFonts w:eastAsia="Times New Roman" w:cstheme="minorHAnsi"/>
          <w:kern w:val="0"/>
          <w:sz w:val="24"/>
          <w:szCs w:val="24"/>
          <w14:ligatures w14:val="none"/>
        </w:rPr>
        <w:t xml:space="preserve">ensure teams </w:t>
      </w:r>
      <w:r w:rsidR="00806D49">
        <w:rPr>
          <w:rFonts w:eastAsia="Times New Roman" w:cstheme="minorHAnsi"/>
          <w:kern w:val="0"/>
          <w:sz w:val="24"/>
          <w:szCs w:val="24"/>
          <w14:ligatures w14:val="none"/>
        </w:rPr>
        <w:t xml:space="preserve">have varying perspectives </w:t>
      </w:r>
      <w:r w:rsidR="00AA70B1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122340D3" w14:textId="0B769605" w:rsidR="009E3E36" w:rsidRPr="00AA70B1" w:rsidRDefault="0001624D" w:rsidP="00AA70B1">
      <w:pPr>
        <w:pStyle w:val="ListParagraph"/>
        <w:numPr>
          <w:ilvl w:val="0"/>
          <w:numId w:val="2"/>
        </w:num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Inclusion </w:t>
      </w:r>
      <w:r w:rsidR="001924CF">
        <w:rPr>
          <w:rFonts w:eastAsia="Times New Roman" w:cstheme="minorHAnsi"/>
          <w:kern w:val="0"/>
          <w:sz w:val="24"/>
          <w:szCs w:val="24"/>
          <w14:ligatures w14:val="none"/>
        </w:rPr>
        <w:t xml:space="preserve">includes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creating an environment where ALL team members are </w:t>
      </w:r>
      <w:r w:rsidR="00DF0131">
        <w:rPr>
          <w:rFonts w:eastAsia="Times New Roman" w:cstheme="minorHAnsi"/>
          <w:kern w:val="0"/>
          <w:sz w:val="24"/>
          <w:szCs w:val="24"/>
          <w14:ligatures w14:val="none"/>
        </w:rPr>
        <w:t>comfortable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DF0131">
        <w:rPr>
          <w:rFonts w:eastAsia="Times New Roman" w:cstheme="minorHAnsi"/>
          <w:kern w:val="0"/>
          <w:sz w:val="24"/>
          <w:szCs w:val="24"/>
          <w14:ligatures w14:val="none"/>
        </w:rPr>
        <w:t xml:space="preserve">to contribute </w:t>
      </w:r>
      <w:r w:rsidR="005103BB">
        <w:rPr>
          <w:rFonts w:eastAsia="Times New Roman" w:cstheme="minorHAnsi"/>
          <w:kern w:val="0"/>
          <w:sz w:val="24"/>
          <w:szCs w:val="24"/>
          <w14:ligatures w14:val="none"/>
        </w:rPr>
        <w:t>to</w:t>
      </w:r>
      <w:r w:rsidR="00DF0131">
        <w:rPr>
          <w:rFonts w:eastAsia="Times New Roman" w:cstheme="minorHAnsi"/>
          <w:kern w:val="0"/>
          <w:sz w:val="24"/>
          <w:szCs w:val="24"/>
          <w14:ligatures w14:val="none"/>
        </w:rPr>
        <w:t xml:space="preserve"> meetings and discussions – leaders need to ensure that everyone is comfortable </w:t>
      </w:r>
      <w:r w:rsidR="009E3E36">
        <w:rPr>
          <w:rFonts w:eastAsia="Times New Roman" w:cstheme="minorHAnsi"/>
          <w:kern w:val="0"/>
          <w:sz w:val="24"/>
          <w:szCs w:val="24"/>
          <w14:ligatures w14:val="none"/>
        </w:rPr>
        <w:t xml:space="preserve">contributing and that all ideas are being considered </w:t>
      </w:r>
    </w:p>
    <w:p w14:paraId="0AAD7884" w14:textId="77777777" w:rsidR="00223DD5" w:rsidRDefault="00223DD5" w:rsidP="00223DD5">
      <w:p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DD0EFAF" w14:textId="77777777" w:rsidR="00AA70B1" w:rsidRDefault="00B668AD" w:rsidP="00B668AD">
      <w:p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If you’re looking for improvements in enhancing professional interactions for yourself or members of your team, we’d love to hear from – inquiries can be sent to </w:t>
      </w:r>
    </w:p>
    <w:p w14:paraId="0867A60F" w14:textId="4331D80C" w:rsidR="00B668AD" w:rsidRDefault="00AA70B1" w:rsidP="00B668AD">
      <w:p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5" w:history="1">
        <w:r w:rsidRPr="005A2000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info@treasurysources.com</w:t>
        </w:r>
      </w:hyperlink>
    </w:p>
    <w:p w14:paraId="5548F2BB" w14:textId="77777777" w:rsidR="00186D67" w:rsidRDefault="00186D67" w:rsidP="00B668AD">
      <w:pPr>
        <w:pBdr>
          <w:bottom w:val="single" w:sz="12" w:space="1" w:color="auto"/>
        </w:pBd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AF6AFCB" w14:textId="77777777" w:rsidR="00186D67" w:rsidRDefault="00186D67" w:rsidP="00B668AD">
      <w:p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AD6EF6A" w14:textId="67E9353D" w:rsidR="00186D67" w:rsidRPr="00EC62C8" w:rsidRDefault="005A7884" w:rsidP="00B668AD">
      <w:pPr>
        <w:spacing w:after="75" w:line="240" w:lineRule="auto"/>
        <w:textAlignment w:val="center"/>
        <w:rPr>
          <w:rFonts w:eastAsia="Times New Roman" w:cstheme="minorHAnsi"/>
          <w:color w:val="7030A0"/>
          <w:kern w:val="0"/>
          <w:sz w:val="28"/>
          <w:szCs w:val="28"/>
          <w14:ligatures w14:val="none"/>
        </w:rPr>
      </w:pPr>
      <w:r w:rsidRPr="00EC62C8">
        <w:rPr>
          <w:rFonts w:eastAsia="Times New Roman" w:cstheme="minorHAnsi"/>
          <w:color w:val="7030A0"/>
          <w:kern w:val="0"/>
          <w:sz w:val="28"/>
          <w:szCs w:val="28"/>
          <w14:ligatures w14:val="none"/>
        </w:rPr>
        <w:t>Treasury Sources</w:t>
      </w:r>
    </w:p>
    <w:p w14:paraId="06D3A851" w14:textId="42911FAE" w:rsidR="005A7884" w:rsidRPr="00EC62C8" w:rsidRDefault="005A7884" w:rsidP="00B668AD">
      <w:pPr>
        <w:spacing w:after="75" w:line="240" w:lineRule="auto"/>
        <w:textAlignment w:val="center"/>
        <w:rPr>
          <w:rFonts w:eastAsia="Times New Roman" w:cstheme="minorHAnsi"/>
          <w:color w:val="7030A0"/>
          <w:kern w:val="0"/>
          <w:sz w:val="28"/>
          <w:szCs w:val="28"/>
          <w14:ligatures w14:val="none"/>
        </w:rPr>
      </w:pPr>
      <w:r w:rsidRPr="00EC62C8">
        <w:rPr>
          <w:rFonts w:eastAsia="Times New Roman" w:cstheme="minorHAnsi"/>
          <w:color w:val="7030A0"/>
          <w:kern w:val="0"/>
          <w:sz w:val="28"/>
          <w:szCs w:val="28"/>
          <w14:ligatures w14:val="none"/>
        </w:rPr>
        <w:t>https://treasurysources.com/</w:t>
      </w:r>
    </w:p>
    <w:p w14:paraId="72868E37" w14:textId="77777777" w:rsidR="00B668AD" w:rsidRDefault="00B668AD" w:rsidP="00B668AD">
      <w:p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210452E" w14:textId="41D3B9AA" w:rsidR="00B668AD" w:rsidRPr="00B668AD" w:rsidRDefault="00B668AD" w:rsidP="00B668AD">
      <w:pPr>
        <w:spacing w:after="75" w:line="240" w:lineRule="auto"/>
        <w:textAlignment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668AD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14:paraId="12DA351A" w14:textId="77777777" w:rsidR="00B668AD" w:rsidRDefault="00B668AD">
      <w:pPr>
        <w:rPr>
          <w:sz w:val="24"/>
          <w:szCs w:val="24"/>
        </w:rPr>
      </w:pPr>
    </w:p>
    <w:p w14:paraId="22330EEF" w14:textId="77777777" w:rsidR="00B668AD" w:rsidRPr="00B668AD" w:rsidRDefault="00B668AD">
      <w:pPr>
        <w:rPr>
          <w:sz w:val="24"/>
          <w:szCs w:val="24"/>
        </w:rPr>
      </w:pPr>
    </w:p>
    <w:sectPr w:rsidR="00B668AD" w:rsidRPr="00B6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E4A"/>
    <w:multiLevelType w:val="multilevel"/>
    <w:tmpl w:val="108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D1A64"/>
    <w:multiLevelType w:val="hybridMultilevel"/>
    <w:tmpl w:val="E690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23910">
    <w:abstractNumId w:val="0"/>
  </w:num>
  <w:num w:numId="2" w16cid:durableId="44408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D"/>
    <w:rsid w:val="000040AB"/>
    <w:rsid w:val="0001624D"/>
    <w:rsid w:val="000C03E8"/>
    <w:rsid w:val="000D44FE"/>
    <w:rsid w:val="000E0ECF"/>
    <w:rsid w:val="00186D67"/>
    <w:rsid w:val="001924CF"/>
    <w:rsid w:val="001F6235"/>
    <w:rsid w:val="00211F1B"/>
    <w:rsid w:val="00223DD5"/>
    <w:rsid w:val="002654E6"/>
    <w:rsid w:val="00275E9C"/>
    <w:rsid w:val="0031351D"/>
    <w:rsid w:val="00366C4A"/>
    <w:rsid w:val="00377EA4"/>
    <w:rsid w:val="003A4F7F"/>
    <w:rsid w:val="003D3CB8"/>
    <w:rsid w:val="00483EFA"/>
    <w:rsid w:val="004A1E90"/>
    <w:rsid w:val="005103BB"/>
    <w:rsid w:val="00573839"/>
    <w:rsid w:val="005A7884"/>
    <w:rsid w:val="005E2836"/>
    <w:rsid w:val="006562B0"/>
    <w:rsid w:val="00674B56"/>
    <w:rsid w:val="006E06DC"/>
    <w:rsid w:val="007747BE"/>
    <w:rsid w:val="0078629A"/>
    <w:rsid w:val="0079163C"/>
    <w:rsid w:val="007D4F93"/>
    <w:rsid w:val="00806D49"/>
    <w:rsid w:val="008D1471"/>
    <w:rsid w:val="00966365"/>
    <w:rsid w:val="00987A2D"/>
    <w:rsid w:val="009D70F2"/>
    <w:rsid w:val="009E3E36"/>
    <w:rsid w:val="00A6218E"/>
    <w:rsid w:val="00A62D81"/>
    <w:rsid w:val="00AA70B1"/>
    <w:rsid w:val="00B1158F"/>
    <w:rsid w:val="00B126A8"/>
    <w:rsid w:val="00B14010"/>
    <w:rsid w:val="00B149BF"/>
    <w:rsid w:val="00B15BF8"/>
    <w:rsid w:val="00B668AD"/>
    <w:rsid w:val="00BD056A"/>
    <w:rsid w:val="00BF6C2D"/>
    <w:rsid w:val="00DA3F60"/>
    <w:rsid w:val="00DF0131"/>
    <w:rsid w:val="00EA2EAB"/>
    <w:rsid w:val="00EC62C8"/>
    <w:rsid w:val="00F055E2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C9A1"/>
  <w15:chartTrackingRefBased/>
  <w15:docId w15:val="{6D8F3571-2EB0-4728-AE7A-8C56D35D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easurysour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Horowitz</dc:creator>
  <cp:keywords/>
  <dc:description/>
  <cp:lastModifiedBy>Jeff Horowitz</cp:lastModifiedBy>
  <cp:revision>49</cp:revision>
  <dcterms:created xsi:type="dcterms:W3CDTF">2023-09-17T14:47:00Z</dcterms:created>
  <dcterms:modified xsi:type="dcterms:W3CDTF">2023-09-19T14:46:00Z</dcterms:modified>
</cp:coreProperties>
</file>