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16839" w14:textId="405180E2" w:rsidR="002612B0" w:rsidRPr="002612B0" w:rsidRDefault="002612B0">
      <w:pPr>
        <w:rPr>
          <w:b/>
          <w:bCs/>
          <w:sz w:val="36"/>
          <w:szCs w:val="24"/>
        </w:rPr>
      </w:pPr>
      <w:r w:rsidRPr="002612B0">
        <w:rPr>
          <w:b/>
          <w:bCs/>
          <w:sz w:val="36"/>
          <w:szCs w:val="24"/>
        </w:rPr>
        <w:t>I’m turning 65 – I’m not sure what to do!</w:t>
      </w:r>
    </w:p>
    <w:p w14:paraId="6B8D8E7A" w14:textId="77777777" w:rsidR="002612B0" w:rsidRDefault="002612B0">
      <w:pPr>
        <w:rPr>
          <w:sz w:val="24"/>
          <w:szCs w:val="24"/>
        </w:rPr>
      </w:pPr>
    </w:p>
    <w:p w14:paraId="353CD8DC" w14:textId="689CF6B4" w:rsidR="00282CA2" w:rsidRDefault="002612B0">
      <w:pPr>
        <w:rPr>
          <w:b/>
          <w:bCs/>
          <w:sz w:val="24"/>
          <w:szCs w:val="24"/>
          <w:u w:val="single"/>
        </w:rPr>
      </w:pPr>
      <w:r w:rsidRPr="007C2A4D">
        <w:rPr>
          <w:b/>
          <w:bCs/>
          <w:sz w:val="24"/>
          <w:szCs w:val="24"/>
          <w:u w:val="single"/>
        </w:rPr>
        <w:t>What you need to know</w:t>
      </w:r>
      <w:r w:rsidR="007C2A4D" w:rsidRPr="007C2A4D">
        <w:rPr>
          <w:b/>
          <w:bCs/>
          <w:sz w:val="24"/>
          <w:szCs w:val="24"/>
          <w:u w:val="single"/>
        </w:rPr>
        <w:t>.</w:t>
      </w:r>
    </w:p>
    <w:p w14:paraId="7D4E6138" w14:textId="4E80C451" w:rsidR="00282CA2" w:rsidRDefault="00282CA2" w:rsidP="00282CA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2CA2">
        <w:rPr>
          <w:b/>
          <w:bCs/>
          <w:sz w:val="24"/>
          <w:szCs w:val="24"/>
        </w:rPr>
        <w:t>PART A: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 xml:space="preserve">You will </w:t>
      </w:r>
      <w:r w:rsidRPr="00282CA2">
        <w:rPr>
          <w:b/>
          <w:bCs/>
          <w:i/>
          <w:iCs/>
          <w:sz w:val="24"/>
          <w:szCs w:val="24"/>
        </w:rPr>
        <w:t>automatically</w:t>
      </w:r>
      <w:r w:rsidRPr="000678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be </w:t>
      </w:r>
      <w:r w:rsidRPr="00067852">
        <w:rPr>
          <w:sz w:val="24"/>
          <w:szCs w:val="24"/>
        </w:rPr>
        <w:t>enrolled in Medicare Part A- No Cost</w:t>
      </w:r>
      <w:r>
        <w:rPr>
          <w:sz w:val="24"/>
          <w:szCs w:val="24"/>
        </w:rPr>
        <w:t>.  You do not need to apply or do anything to get it.</w:t>
      </w:r>
    </w:p>
    <w:p w14:paraId="09CDD7DC" w14:textId="3FA1B9DB" w:rsidR="00F63859" w:rsidRPr="00982A8F" w:rsidRDefault="00282CA2" w:rsidP="00982A8F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DC79E8">
        <w:rPr>
          <w:b/>
          <w:bCs/>
          <w:sz w:val="24"/>
          <w:szCs w:val="24"/>
        </w:rPr>
        <w:t>PART B:</w:t>
      </w:r>
      <w:r w:rsidRPr="00DC79E8">
        <w:rPr>
          <w:sz w:val="24"/>
          <w:szCs w:val="24"/>
        </w:rPr>
        <w:t xml:space="preserve">  Part B enrollment is </w:t>
      </w:r>
      <w:r w:rsidRPr="00DC79E8">
        <w:rPr>
          <w:b/>
          <w:bCs/>
          <w:i/>
          <w:iCs/>
          <w:sz w:val="24"/>
          <w:szCs w:val="24"/>
        </w:rPr>
        <w:t>optional</w:t>
      </w:r>
      <w:r w:rsidR="007C3971">
        <w:rPr>
          <w:b/>
          <w:bCs/>
          <w:i/>
          <w:iCs/>
          <w:sz w:val="24"/>
          <w:szCs w:val="24"/>
        </w:rPr>
        <w:t xml:space="preserve"> </w:t>
      </w:r>
      <w:r w:rsidR="007C3971">
        <w:rPr>
          <w:i/>
          <w:iCs/>
          <w:sz w:val="24"/>
          <w:szCs w:val="24"/>
        </w:rPr>
        <w:t>under certain circumstances</w:t>
      </w:r>
      <w:r w:rsidR="008C7D56">
        <w:rPr>
          <w:sz w:val="24"/>
          <w:szCs w:val="24"/>
        </w:rPr>
        <w:t>, but there is a penalty if you do not sign up when you initially qualify.</w:t>
      </w:r>
      <w:r w:rsidRPr="00DC79E8">
        <w:rPr>
          <w:sz w:val="24"/>
          <w:szCs w:val="24"/>
        </w:rPr>
        <w:t xml:space="preserve">  The best way to enroll and ensure timely enrollment is to go to the Social Security office</w:t>
      </w:r>
      <w:r w:rsidR="00DC79E8" w:rsidRPr="00DC79E8">
        <w:rPr>
          <w:sz w:val="24"/>
          <w:szCs w:val="24"/>
        </w:rPr>
        <w:t>, and do it in person.</w:t>
      </w:r>
      <w:r w:rsidR="00982A8F">
        <w:rPr>
          <w:sz w:val="24"/>
          <w:szCs w:val="24"/>
        </w:rPr>
        <w:t xml:space="preserve">  Find the office closest to you:  </w:t>
      </w:r>
      <w:hyperlink r:id="rId5" w:history="1">
        <w:r w:rsidR="00982A8F">
          <w:rPr>
            <w:rStyle w:val="Hyperlink"/>
          </w:rPr>
          <w:t>Field Office Locator | SSA</w:t>
        </w:r>
      </w:hyperlink>
      <w:r w:rsidR="00982A8F">
        <w:tab/>
      </w:r>
    </w:p>
    <w:p w14:paraId="5CAC3382" w14:textId="77777777" w:rsidR="00982A8F" w:rsidRPr="00982A8F" w:rsidRDefault="00982A8F" w:rsidP="00982A8F">
      <w:pPr>
        <w:rPr>
          <w:b/>
          <w:bCs/>
          <w:sz w:val="24"/>
          <w:szCs w:val="24"/>
          <w:u w:val="single"/>
        </w:rPr>
      </w:pPr>
    </w:p>
    <w:p w14:paraId="4CE28CD5" w14:textId="25DF7D12" w:rsidR="00067852" w:rsidRDefault="00067852">
      <w:pPr>
        <w:rPr>
          <w:b/>
          <w:bCs/>
          <w:i/>
          <w:iCs/>
          <w:sz w:val="24"/>
          <w:szCs w:val="24"/>
        </w:rPr>
      </w:pPr>
      <w:r w:rsidRPr="008C7D56">
        <w:rPr>
          <w:b/>
          <w:bCs/>
          <w:i/>
          <w:iCs/>
          <w:sz w:val="24"/>
          <w:szCs w:val="24"/>
        </w:rPr>
        <w:t xml:space="preserve">You can </w:t>
      </w:r>
      <w:r w:rsidR="00DC79E8" w:rsidRPr="008C7D56">
        <w:rPr>
          <w:b/>
          <w:bCs/>
          <w:i/>
          <w:iCs/>
          <w:sz w:val="24"/>
          <w:szCs w:val="24"/>
        </w:rPr>
        <w:t>sign up</w:t>
      </w:r>
      <w:r w:rsidRPr="008C7D56">
        <w:rPr>
          <w:b/>
          <w:bCs/>
          <w:i/>
          <w:iCs/>
          <w:sz w:val="24"/>
          <w:szCs w:val="24"/>
        </w:rPr>
        <w:t xml:space="preserve"> for Medicare 3 months before your 65</w:t>
      </w:r>
      <w:r w:rsidRPr="008C7D56">
        <w:rPr>
          <w:b/>
          <w:bCs/>
          <w:i/>
          <w:iCs/>
          <w:sz w:val="24"/>
          <w:szCs w:val="24"/>
          <w:vertAlign w:val="superscript"/>
        </w:rPr>
        <w:t>th</w:t>
      </w:r>
      <w:r w:rsidRPr="008C7D56">
        <w:rPr>
          <w:b/>
          <w:bCs/>
          <w:i/>
          <w:iCs/>
          <w:sz w:val="24"/>
          <w:szCs w:val="24"/>
        </w:rPr>
        <w:t xml:space="preserve"> birthday. Your Medicare will be effective on the 1</w:t>
      </w:r>
      <w:r w:rsidRPr="008C7D56">
        <w:rPr>
          <w:b/>
          <w:bCs/>
          <w:i/>
          <w:iCs/>
          <w:sz w:val="24"/>
          <w:szCs w:val="24"/>
          <w:vertAlign w:val="superscript"/>
        </w:rPr>
        <w:t>st</w:t>
      </w:r>
      <w:r w:rsidRPr="008C7D56">
        <w:rPr>
          <w:b/>
          <w:bCs/>
          <w:i/>
          <w:iCs/>
          <w:sz w:val="24"/>
          <w:szCs w:val="24"/>
        </w:rPr>
        <w:t xml:space="preserve"> of the month</w:t>
      </w:r>
      <w:r w:rsidR="007C2A4D" w:rsidRPr="008C7D56">
        <w:rPr>
          <w:b/>
          <w:bCs/>
          <w:i/>
          <w:iCs/>
          <w:sz w:val="24"/>
          <w:szCs w:val="24"/>
        </w:rPr>
        <w:t>,</w:t>
      </w:r>
      <w:r w:rsidRPr="008C7D56">
        <w:rPr>
          <w:b/>
          <w:bCs/>
          <w:i/>
          <w:iCs/>
          <w:sz w:val="24"/>
          <w:szCs w:val="24"/>
        </w:rPr>
        <w:t xml:space="preserve"> on the month of your birthday.</w:t>
      </w:r>
    </w:p>
    <w:p w14:paraId="0503237E" w14:textId="77777777" w:rsidR="008C7D56" w:rsidRDefault="008C7D56">
      <w:pPr>
        <w:rPr>
          <w:b/>
          <w:bCs/>
          <w:i/>
          <w:iCs/>
          <w:sz w:val="24"/>
          <w:szCs w:val="24"/>
        </w:rPr>
      </w:pPr>
    </w:p>
    <w:p w14:paraId="0598C6CB" w14:textId="28219422" w:rsidR="008C7D56" w:rsidRDefault="008C7D56" w:rsidP="008C7D5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C7D56">
        <w:rPr>
          <w:b/>
          <w:bCs/>
          <w:sz w:val="24"/>
          <w:szCs w:val="24"/>
        </w:rPr>
        <w:t>Medicare Supplement</w:t>
      </w:r>
      <w:r w:rsidR="00F63859">
        <w:rPr>
          <w:b/>
          <w:bCs/>
          <w:sz w:val="24"/>
          <w:szCs w:val="24"/>
        </w:rPr>
        <w:t xml:space="preserve"> Plans</w:t>
      </w:r>
      <w:r w:rsidRPr="008C7D56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 </w:t>
      </w:r>
      <w:r w:rsidR="00F63859" w:rsidRPr="00F63859">
        <w:rPr>
          <w:sz w:val="24"/>
          <w:szCs w:val="24"/>
        </w:rPr>
        <w:t>Usually</w:t>
      </w:r>
      <w:r w:rsidR="00F63859">
        <w:rPr>
          <w:sz w:val="24"/>
          <w:szCs w:val="24"/>
        </w:rPr>
        <w:t xml:space="preserve"> Medicare isn’t enough coverage for most people.  Supplement plans are obtained to help with those costs not covered by Medicare Parts A&amp;B.</w:t>
      </w:r>
      <w:r w:rsidR="00982A8F">
        <w:rPr>
          <w:sz w:val="24"/>
          <w:szCs w:val="24"/>
        </w:rPr>
        <w:t xml:space="preserve">  </w:t>
      </w:r>
      <w:r w:rsidR="00982A8F" w:rsidRPr="00982A8F">
        <w:rPr>
          <w:b/>
          <w:bCs/>
          <w:color w:val="C00000"/>
          <w:sz w:val="24"/>
          <w:szCs w:val="24"/>
        </w:rPr>
        <w:t>To enroll on a Medicare Supplement plan, you will need your Medicare Part A &amp; Part B effective date, and Medicare number.</w:t>
      </w:r>
    </w:p>
    <w:p w14:paraId="065EE28A" w14:textId="31CE4BCF" w:rsidR="00F63859" w:rsidRDefault="00F63859" w:rsidP="008C7D5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Part D:</w:t>
      </w:r>
      <w:r>
        <w:rPr>
          <w:sz w:val="24"/>
          <w:szCs w:val="24"/>
        </w:rPr>
        <w:t xml:space="preserve">  Is Drug Coverage, purchased with a Supplement Plan</w:t>
      </w:r>
      <w:r w:rsidR="007C3971">
        <w:rPr>
          <w:sz w:val="24"/>
          <w:szCs w:val="24"/>
        </w:rPr>
        <w:t>.</w:t>
      </w:r>
    </w:p>
    <w:p w14:paraId="3D07BA13" w14:textId="77777777" w:rsidR="00F63859" w:rsidRDefault="00F63859" w:rsidP="00F63859">
      <w:pPr>
        <w:rPr>
          <w:sz w:val="24"/>
          <w:szCs w:val="24"/>
        </w:rPr>
      </w:pPr>
    </w:p>
    <w:p w14:paraId="41E15CAD" w14:textId="2FC64E51" w:rsidR="00067852" w:rsidRDefault="00F63859" w:rsidP="00982A8F">
      <w:pPr>
        <w:rPr>
          <w:b/>
          <w:bCs/>
          <w:i/>
          <w:iCs/>
          <w:sz w:val="32"/>
          <w:szCs w:val="32"/>
        </w:rPr>
      </w:pPr>
      <w:r w:rsidRPr="00173AE7">
        <w:rPr>
          <w:b/>
          <w:bCs/>
          <w:i/>
          <w:iCs/>
          <w:sz w:val="32"/>
          <w:szCs w:val="32"/>
        </w:rPr>
        <w:t>Give us a call to discuss what is best for your situation.  We can help you navigate this transition.</w:t>
      </w:r>
      <w:r w:rsidR="00173AE7">
        <w:rPr>
          <w:b/>
          <w:bCs/>
          <w:i/>
          <w:iCs/>
          <w:sz w:val="32"/>
          <w:szCs w:val="32"/>
        </w:rPr>
        <w:t xml:space="preserve"> </w:t>
      </w:r>
    </w:p>
    <w:p w14:paraId="6193E2C5" w14:textId="76610902" w:rsidR="00173AE7" w:rsidRDefault="0055096D" w:rsidP="0055096D">
      <w:pPr>
        <w:jc w:val="center"/>
        <w:rPr>
          <w:b/>
          <w:bCs/>
          <w:i/>
          <w:iCs/>
          <w:sz w:val="32"/>
          <w:szCs w:val="32"/>
        </w:rPr>
      </w:pPr>
      <w:r>
        <w:rPr>
          <w:noProof/>
        </w:rPr>
        <w:drawing>
          <wp:inline distT="0" distB="0" distL="0" distR="0" wp14:anchorId="03A377B5" wp14:editId="31341679">
            <wp:extent cx="2400300" cy="1388122"/>
            <wp:effectExtent l="0" t="0" r="0" b="2540"/>
            <wp:docPr id="3355614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56148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8617" cy="139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25D6F" w14:textId="13B3E701" w:rsidR="00173AE7" w:rsidRPr="00173AE7" w:rsidRDefault="00173AE7" w:rsidP="0055096D">
      <w:pPr>
        <w:jc w:val="center"/>
        <w:rPr>
          <w:b/>
          <w:bCs/>
          <w:i/>
          <w:iCs/>
          <w:color w:val="2F5496" w:themeColor="accent1" w:themeShade="BF"/>
          <w:sz w:val="32"/>
          <w:szCs w:val="32"/>
        </w:rPr>
      </w:pPr>
      <w:r w:rsidRPr="00173AE7">
        <w:rPr>
          <w:b/>
          <w:bCs/>
          <w:i/>
          <w:iCs/>
          <w:color w:val="2F5496" w:themeColor="accent1" w:themeShade="BF"/>
          <w:sz w:val="32"/>
          <w:szCs w:val="32"/>
        </w:rPr>
        <w:t>508-748-9900</w:t>
      </w:r>
    </w:p>
    <w:p w14:paraId="7B2C6E83" w14:textId="3B24355F" w:rsidR="00173AE7" w:rsidRPr="00173AE7" w:rsidRDefault="00173AE7" w:rsidP="0055096D">
      <w:pPr>
        <w:jc w:val="center"/>
        <w:rPr>
          <w:b/>
          <w:bCs/>
          <w:i/>
          <w:iCs/>
          <w:color w:val="2F5496" w:themeColor="accent1" w:themeShade="BF"/>
          <w:sz w:val="32"/>
          <w:szCs w:val="32"/>
        </w:rPr>
      </w:pPr>
      <w:r w:rsidRPr="00173AE7">
        <w:rPr>
          <w:b/>
          <w:bCs/>
          <w:i/>
          <w:iCs/>
          <w:color w:val="2F5496" w:themeColor="accent1" w:themeShade="BF"/>
          <w:sz w:val="32"/>
          <w:szCs w:val="32"/>
        </w:rPr>
        <w:t>benefitpartner@siabenefit.com</w:t>
      </w:r>
    </w:p>
    <w:sectPr w:rsidR="00173AE7" w:rsidRPr="00173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A4DD7"/>
    <w:multiLevelType w:val="hybridMultilevel"/>
    <w:tmpl w:val="0A2A31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017F7"/>
    <w:multiLevelType w:val="hybridMultilevel"/>
    <w:tmpl w:val="283CCD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E5864"/>
    <w:multiLevelType w:val="hybridMultilevel"/>
    <w:tmpl w:val="69487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841554">
    <w:abstractNumId w:val="0"/>
  </w:num>
  <w:num w:numId="2" w16cid:durableId="1793591198">
    <w:abstractNumId w:val="2"/>
  </w:num>
  <w:num w:numId="3" w16cid:durableId="1722636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52"/>
    <w:rsid w:val="00067852"/>
    <w:rsid w:val="000862F5"/>
    <w:rsid w:val="000F742B"/>
    <w:rsid w:val="00173AE7"/>
    <w:rsid w:val="002612B0"/>
    <w:rsid w:val="00282CA2"/>
    <w:rsid w:val="00366C96"/>
    <w:rsid w:val="0055096D"/>
    <w:rsid w:val="00582188"/>
    <w:rsid w:val="007C2A4D"/>
    <w:rsid w:val="007C3971"/>
    <w:rsid w:val="008C7D56"/>
    <w:rsid w:val="00982A8F"/>
    <w:rsid w:val="00BC41F1"/>
    <w:rsid w:val="00DC79E8"/>
    <w:rsid w:val="00E50E1C"/>
    <w:rsid w:val="00F63859"/>
    <w:rsid w:val="00FB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7E533"/>
  <w15:chartTrackingRefBased/>
  <w15:docId w15:val="{6FF1BAD5-59EA-41F3-BCAF-5086ABE0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678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85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67852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82A8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39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ssa.gov/locat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Stickles</cp:lastModifiedBy>
  <cp:revision>2</cp:revision>
  <dcterms:created xsi:type="dcterms:W3CDTF">2023-09-15T14:46:00Z</dcterms:created>
  <dcterms:modified xsi:type="dcterms:W3CDTF">2023-09-15T14:46:00Z</dcterms:modified>
</cp:coreProperties>
</file>