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4C92" w14:textId="77777777" w:rsidR="00B4669C" w:rsidRDefault="00000000">
      <w:pPr>
        <w:pStyle w:val="Heading3"/>
      </w:pPr>
      <w:r>
        <w:t>ARTICLE V. MOBILE FOOD SERVICE ESTABLISHMENTS</w:t>
      </w:r>
      <w:r>
        <w:rPr>
          <w:rStyle w:val="FootnoteReference"/>
        </w:rPr>
        <w:footnoteReference w:id="1"/>
      </w:r>
    </w:p>
    <w:p w14:paraId="7AEE3D8D" w14:textId="77777777" w:rsidR="00B4669C" w:rsidRDefault="00B4669C">
      <w:pPr>
        <w:spacing w:before="0" w:after="0"/>
        <w:sectPr w:rsidR="00B4669C">
          <w:headerReference w:type="default" r:id="rId7"/>
          <w:footerReference w:type="default" r:id="rId8"/>
          <w:type w:val="continuous"/>
          <w:pgSz w:w="12240" w:h="15840"/>
          <w:pgMar w:top="1440" w:right="1440" w:bottom="1440" w:left="1440" w:header="720" w:footer="720" w:gutter="0"/>
          <w:cols w:space="720"/>
        </w:sectPr>
      </w:pPr>
    </w:p>
    <w:p w14:paraId="20BC3320" w14:textId="77777777" w:rsidR="00B4669C" w:rsidRDefault="00000000">
      <w:pPr>
        <w:pStyle w:val="Section"/>
      </w:pPr>
      <w:r>
        <w:t>Sec. 15-121. Definitions.</w:t>
      </w:r>
    </w:p>
    <w:p w14:paraId="6F02117D" w14:textId="77777777" w:rsidR="00B4669C" w:rsidRDefault="00000000">
      <w:pPr>
        <w:pStyle w:val="Paragraph1"/>
      </w:pPr>
      <w:r>
        <w:t xml:space="preserve">The following words, terms and phrases, when used in this article, shall have the meanings ascribed to them in this section, except where the context clearly indicates a different meaning: </w:t>
      </w:r>
    </w:p>
    <w:p w14:paraId="3D65D176" w14:textId="77777777" w:rsidR="00B4669C" w:rsidRDefault="00000000">
      <w:pPr>
        <w:pStyle w:val="Paragraph1"/>
      </w:pPr>
      <w:r>
        <w:rPr>
          <w:i/>
        </w:rPr>
        <w:t>Mobile food service establishment</w:t>
      </w:r>
      <w:r>
        <w:t xml:space="preserve"> shall mean a self-contained food service operation, located in a readily movable, motorized, wheeled or towed vehicle or other unit, used to store, prepare, display or serve food intended for individual portion service. </w:t>
      </w:r>
    </w:p>
    <w:p w14:paraId="062168D3" w14:textId="77777777" w:rsidR="00B4669C" w:rsidRDefault="00000000">
      <w:pPr>
        <w:pStyle w:val="Paragraph1"/>
      </w:pPr>
      <w:r>
        <w:rPr>
          <w:i/>
        </w:rPr>
        <w:t>Person</w:t>
      </w:r>
      <w:r>
        <w:t xml:space="preserve"> shall mean any natural person, firm, partnership, joint venture, club, company, association, syndicate, society, business trust, organization, institution, agency, government corporation, municipal corporation, district or other political subdivision, corporation, limited liability company, proprietorship, contractor, supplier, vendor, vendee, operator, or other legal entity. It shall also include an executor, administrator, trustee, receiver or other representative appointed according to law. Whenever the word "person" appears in any section of this article prescribing a penalty or fine, as to partnerships or associations, the word shall include the partners o members thereof, and as to corporations or limited liability company, shall include the officers, agents or members thereof who are responsible for any violation of this article. </w:t>
      </w:r>
    </w:p>
    <w:p w14:paraId="4ABF08AB" w14:textId="77777777" w:rsidR="00B4669C" w:rsidRDefault="00000000">
      <w:pPr>
        <w:pStyle w:val="HistoryNote"/>
      </w:pPr>
      <w:r>
        <w:t>(Ord. No. 15-2018 , § 2, 3-6-2018)</w:t>
      </w:r>
    </w:p>
    <w:p w14:paraId="1DBC73CC" w14:textId="77777777" w:rsidR="00B4669C" w:rsidRDefault="00B4669C">
      <w:pPr>
        <w:spacing w:before="0" w:after="0"/>
        <w:sectPr w:rsidR="00B4669C">
          <w:headerReference w:type="default" r:id="rId9"/>
          <w:footerReference w:type="default" r:id="rId10"/>
          <w:type w:val="continuous"/>
          <w:pgSz w:w="12240" w:h="15840"/>
          <w:pgMar w:top="1440" w:right="1440" w:bottom="1440" w:left="1440" w:header="720" w:footer="720" w:gutter="0"/>
          <w:cols w:space="720"/>
        </w:sectPr>
      </w:pPr>
    </w:p>
    <w:p w14:paraId="61B30D42" w14:textId="77777777" w:rsidR="00B4669C" w:rsidRDefault="00000000">
      <w:pPr>
        <w:pStyle w:val="Section"/>
      </w:pPr>
      <w:r>
        <w:t>Sec. 15-122. Permit required.</w:t>
      </w:r>
    </w:p>
    <w:p w14:paraId="2D108700" w14:textId="77777777" w:rsidR="00B4669C" w:rsidRDefault="00000000">
      <w:pPr>
        <w:pStyle w:val="List1"/>
      </w:pPr>
      <w:r>
        <w:t>(a)</w:t>
      </w:r>
      <w:r>
        <w:tab/>
      </w:r>
      <w:r>
        <w:rPr>
          <w:i/>
        </w:rPr>
        <w:t>Requirement:</w:t>
      </w:r>
      <w:r>
        <w:t xml:space="preserve"> No person shall operate, conduct, or maintain a mobile food service establishment within the corporate limits of the City of Effingham, Illinois, unless such person, shall have first obtained a duly issued and authorized permit issued by the City of Effingham, Illinois, authorizing such mobile food service establishment (hereinafter referred to as the "mobile food service vendor permit"). </w:t>
      </w:r>
    </w:p>
    <w:p w14:paraId="6E17E5A9" w14:textId="77777777" w:rsidR="00B4669C" w:rsidRDefault="00000000">
      <w:pPr>
        <w:pStyle w:val="List1"/>
      </w:pPr>
      <w:r>
        <w:t>(b)</w:t>
      </w:r>
      <w:r>
        <w:tab/>
      </w:r>
      <w:r>
        <w:rPr>
          <w:i/>
        </w:rPr>
        <w:t>Application for permit:</w:t>
      </w:r>
      <w:r>
        <w:t xml:space="preserve"> Any person desiring to secure a mobile food service vendor permit from the City of Effingham, Illinois, shall complete and file with the City Clerk an application for a mobile food service vendor permit on such forms as prescribed by the city clerk (hereinafter referred to as the "mobile food service vendor permit application"). A mobile food service vendor permit application shall include at least the following information: </w:t>
      </w:r>
    </w:p>
    <w:p w14:paraId="25D27C5B" w14:textId="77777777" w:rsidR="00B4669C" w:rsidRDefault="00000000">
      <w:pPr>
        <w:pStyle w:val="List2"/>
      </w:pPr>
      <w:r>
        <w:t>(1)</w:t>
      </w:r>
      <w:r>
        <w:tab/>
        <w:t xml:space="preserve">Name, business name, permanent business address (which must include a street address), residence address of the principal of the applicant and, if the applicant is a partnership, corporation, or limited liability company, the name and residence address of each officer, shareholder, member, partner, etc.; </w:t>
      </w:r>
    </w:p>
    <w:p w14:paraId="16F9818F" w14:textId="77777777" w:rsidR="00B4669C" w:rsidRDefault="00000000">
      <w:pPr>
        <w:pStyle w:val="List2"/>
      </w:pPr>
      <w:r>
        <w:t>(2)</w:t>
      </w:r>
      <w:r>
        <w:tab/>
        <w:t xml:space="preserve">Copy of current state photo identification or driver's license; </w:t>
      </w:r>
    </w:p>
    <w:p w14:paraId="7CEBFDE6" w14:textId="77777777" w:rsidR="00B4669C" w:rsidRDefault="00000000">
      <w:pPr>
        <w:pStyle w:val="List2"/>
      </w:pPr>
      <w:r>
        <w:t>(3)</w:t>
      </w:r>
      <w:r>
        <w:tab/>
        <w:t xml:space="preserve">Description of the food and beverages to be sold in or through the mobile food service establishment; </w:t>
      </w:r>
    </w:p>
    <w:p w14:paraId="04784E2E" w14:textId="77777777" w:rsidR="00B4669C" w:rsidRDefault="00000000">
      <w:pPr>
        <w:pStyle w:val="List2"/>
      </w:pPr>
      <w:r>
        <w:t>(4)</w:t>
      </w:r>
      <w:r>
        <w:tab/>
        <w:t xml:space="preserve">The location or locations where the mobile food service establishment will operate; </w:t>
      </w:r>
    </w:p>
    <w:p w14:paraId="165BE44D" w14:textId="77777777" w:rsidR="00B4669C" w:rsidRDefault="00000000">
      <w:pPr>
        <w:pStyle w:val="List2"/>
      </w:pPr>
      <w:r>
        <w:lastRenderedPageBreak/>
        <w:t>(5)</w:t>
      </w:r>
      <w:r>
        <w:tab/>
        <w:t xml:space="preserve">The date or dates when the mobile food service establishment will operate; </w:t>
      </w:r>
    </w:p>
    <w:p w14:paraId="5E520A2E" w14:textId="77777777" w:rsidR="00B4669C" w:rsidRDefault="00000000">
      <w:pPr>
        <w:pStyle w:val="List2"/>
      </w:pPr>
      <w:r>
        <w:t>(6)</w:t>
      </w:r>
      <w:r>
        <w:tab/>
        <w:t xml:space="preserve">Whether the applicant seeks an annual permit or a one-day permit; </w:t>
      </w:r>
    </w:p>
    <w:p w14:paraId="0C5D66FF" w14:textId="77777777" w:rsidR="00B4669C" w:rsidRDefault="00000000">
      <w:pPr>
        <w:pStyle w:val="List2"/>
      </w:pPr>
      <w:r>
        <w:t>(7)</w:t>
      </w:r>
      <w:r>
        <w:tab/>
        <w:t xml:space="preserve">The date, or approximate date, of the applicant's latest previous application for a permit under this article, if any; </w:t>
      </w:r>
    </w:p>
    <w:p w14:paraId="764507C5" w14:textId="77777777" w:rsidR="00B4669C" w:rsidRDefault="00000000">
      <w:pPr>
        <w:pStyle w:val="List2"/>
      </w:pPr>
      <w:r>
        <w:t>(8)</w:t>
      </w:r>
      <w:r>
        <w:tab/>
        <w:t xml:space="preserve">Whether the applicant has ever been convicted of a violation of any of the provisions of this article, and whether the applicant's permit has ever been revoked. If the applicant is a partnership, corporation, or limited liability company, whether any officer, shareholder, member, partner of said partnership, corporation, or limited liability company has ever been convicted of a violation of any of the provisions of this article or had a permit revoked; </w:t>
      </w:r>
    </w:p>
    <w:p w14:paraId="5148072D" w14:textId="77777777" w:rsidR="00B4669C" w:rsidRDefault="00000000">
      <w:pPr>
        <w:pStyle w:val="List2"/>
      </w:pPr>
      <w:r>
        <w:t>(9)</w:t>
      </w:r>
      <w:r>
        <w:tab/>
        <w:t xml:space="preserve">Whether the applicant has ever been convicted of the commission of a felony under the laws of the State of Illinois or any other state or federal law of the United States or is a registered sex offender. If the applicant is a partnership, corporation, or limited liability company, whether any officer, shareholder, member, partner of said partnership, corporation, or limited liability company has ever been convicted of the commission of a felony under the laws of the State of Illinois or any other state or federal law of the United States or is a registered sex offender; </w:t>
      </w:r>
    </w:p>
    <w:p w14:paraId="534837DE" w14:textId="77777777" w:rsidR="00B4669C" w:rsidRDefault="00000000">
      <w:pPr>
        <w:pStyle w:val="List2"/>
      </w:pPr>
      <w:r>
        <w:t>(10)</w:t>
      </w:r>
      <w:r>
        <w:tab/>
        <w:t xml:space="preserve">The applicant's registration number under the Retailer's Occupation Tax Act; and, </w:t>
      </w:r>
    </w:p>
    <w:p w14:paraId="1494166B" w14:textId="77777777" w:rsidR="00B4669C" w:rsidRDefault="00000000">
      <w:pPr>
        <w:pStyle w:val="List2"/>
      </w:pPr>
      <w:r>
        <w:t>(11)</w:t>
      </w:r>
      <w:r>
        <w:tab/>
        <w:t xml:space="preserve">In addition to information required above, an application for a permit to operate a mobile food service establishment on city property or a right-of-way shall include: </w:t>
      </w:r>
    </w:p>
    <w:p w14:paraId="102CC763" w14:textId="77777777" w:rsidR="00B4669C" w:rsidRDefault="00000000">
      <w:pPr>
        <w:pStyle w:val="List3"/>
      </w:pPr>
      <w:r>
        <w:t>a.</w:t>
      </w:r>
      <w:r>
        <w:tab/>
        <w:t xml:space="preserve">A signed statement that the applicant shall hold harmless the city, its officers and employees and shall indemnify the city, its officers and employees for any claims for damage to property or injury to persons which may be occasioned by any activity carried on under the terms of the permit. Applicant shall furnish and maintain public liability and property damage insurance as will protect applicant, property owner, and the city from all claims from damage to property or bodily injury, including death, which may arise from operations under the permit or in connection therewith. The insurance shall provide coverage of not less than one hundred thousand dollars ($100,000.00) for bodily injury for each person, three hundred thousand dollars ($300,000.00) for each occurrence and not less than fifty thousand dollars ($50,000.00) for property damage per occurrence. The insurance shall be without prejudice to coverage otherwise existing, and shall have as additional insured the city, its officers and employees, on a primary, non-contributory basis, and shall further provide that the policy shall not terminate or be canceled prior to the expiration of the permit without thirty (30) days' written notice to the city clerk. </w:t>
      </w:r>
    </w:p>
    <w:p w14:paraId="20E9E381" w14:textId="77777777" w:rsidR="00B4669C" w:rsidRDefault="00000000">
      <w:pPr>
        <w:pStyle w:val="List3"/>
      </w:pPr>
      <w:r>
        <w:t>b.</w:t>
      </w:r>
      <w:r>
        <w:tab/>
        <w:t xml:space="preserve">A certificate of insurance as provided in this section; </w:t>
      </w:r>
    </w:p>
    <w:p w14:paraId="47C98ABA" w14:textId="77777777" w:rsidR="00B4669C" w:rsidRDefault="00000000">
      <w:pPr>
        <w:pStyle w:val="List3"/>
      </w:pPr>
      <w:r>
        <w:t>c.</w:t>
      </w:r>
      <w:r>
        <w:tab/>
        <w:t xml:space="preserve">Proof of registration with the county health department and/or proof of a certified food protection management certificate, as applicable; and, </w:t>
      </w:r>
    </w:p>
    <w:p w14:paraId="19DBEA9F" w14:textId="77777777" w:rsidR="00B4669C" w:rsidRDefault="00000000">
      <w:pPr>
        <w:pStyle w:val="List3"/>
      </w:pPr>
      <w:r>
        <w:t>d.</w:t>
      </w:r>
      <w:r>
        <w:tab/>
        <w:t xml:space="preserve">The tax ID number of the applicant. </w:t>
      </w:r>
    </w:p>
    <w:p w14:paraId="24C4A291" w14:textId="77777777" w:rsidR="00B4669C" w:rsidRDefault="00000000">
      <w:pPr>
        <w:pStyle w:val="List1"/>
      </w:pPr>
      <w:r>
        <w:t>(c)</w:t>
      </w:r>
      <w:r>
        <w:tab/>
      </w:r>
      <w:r>
        <w:rPr>
          <w:i/>
        </w:rPr>
        <w:t>Inspection:</w:t>
      </w:r>
      <w:r>
        <w:t xml:space="preserve"> Prior to the issuance and/or renewal of a mobile food service vendor permit, an applicant shall also present the mobile food service establishment to the Fire Prevention Bureau of the City of Effingham, Illinois, or his/her designee, for an inspection to determine whether the mobile food service establishment complies with the provisions of this article and may be operated on the streets under the jurisdiction and control of the City of Effingham, Illinois. </w:t>
      </w:r>
    </w:p>
    <w:p w14:paraId="269D4F1F" w14:textId="77777777" w:rsidR="00B4669C" w:rsidRDefault="00000000">
      <w:pPr>
        <w:pStyle w:val="List1"/>
      </w:pPr>
      <w:r>
        <w:t>(d)</w:t>
      </w:r>
      <w:r>
        <w:tab/>
      </w:r>
      <w:r>
        <w:rPr>
          <w:i/>
        </w:rPr>
        <w:t>Issuance of permit:</w:t>
      </w:r>
      <w:r>
        <w:t xml:space="preserve"> The city fire prevention bureau, or his/her designee, is hereby authorized and directed to issue such mobile food service vendor permit in accordance with this article if the fire prevention bureau, or his/her designee, determines that the applicant and the mobile food service establishment comply with the provisions of this article, and to further collect the required mobile food truck permit fee imposed under subsection (e) of this section. No mobile food service vendor permit shall be issued to any person: </w:t>
      </w:r>
    </w:p>
    <w:p w14:paraId="7BF125CF" w14:textId="77777777" w:rsidR="00B4669C" w:rsidRDefault="00000000">
      <w:pPr>
        <w:pStyle w:val="List2"/>
      </w:pPr>
      <w:r>
        <w:lastRenderedPageBreak/>
        <w:t>(1)</w:t>
      </w:r>
      <w:r>
        <w:tab/>
        <w:t xml:space="preserve">Who has been convicted of a felony under the laws of the State of Illinois or any other state or federal law of the United States, within five (5) years of the date of the application; </w:t>
      </w:r>
    </w:p>
    <w:p w14:paraId="6D447653" w14:textId="77777777" w:rsidR="00B4669C" w:rsidRDefault="00000000">
      <w:pPr>
        <w:pStyle w:val="List2"/>
      </w:pPr>
      <w:r>
        <w:t>(2)</w:t>
      </w:r>
      <w:r>
        <w:tab/>
        <w:t xml:space="preserve">Who is a registered sex offender; </w:t>
      </w:r>
    </w:p>
    <w:p w14:paraId="767C3F5E" w14:textId="77777777" w:rsidR="00B4669C" w:rsidRDefault="00000000">
      <w:pPr>
        <w:pStyle w:val="List2"/>
      </w:pPr>
      <w:r>
        <w:t>(3)</w:t>
      </w:r>
      <w:r>
        <w:tab/>
        <w:t xml:space="preserve">Who has been twice convicted in the previous five (5) years of a violation of any of the provisions of this article; </w:t>
      </w:r>
    </w:p>
    <w:p w14:paraId="1797E4AC" w14:textId="77777777" w:rsidR="00B4669C" w:rsidRDefault="00000000">
      <w:pPr>
        <w:pStyle w:val="List2"/>
      </w:pPr>
      <w:r>
        <w:t>(4)</w:t>
      </w:r>
      <w:r>
        <w:tab/>
        <w:t xml:space="preserve">Whose license pursuant to this subchapter has been revoked in the previous five (5) years; or </w:t>
      </w:r>
    </w:p>
    <w:p w14:paraId="392C6723" w14:textId="77777777" w:rsidR="00B4669C" w:rsidRDefault="00000000">
      <w:pPr>
        <w:pStyle w:val="List2"/>
      </w:pPr>
      <w:r>
        <w:t>(5)</w:t>
      </w:r>
      <w:r>
        <w:tab/>
        <w:t xml:space="preserve">Who is lacking a county health department certificate and/or a certified food protection management certificate, as applicable; or </w:t>
      </w:r>
    </w:p>
    <w:p w14:paraId="777D7C95" w14:textId="77777777" w:rsidR="00B4669C" w:rsidRDefault="00000000">
      <w:pPr>
        <w:pStyle w:val="List2"/>
      </w:pPr>
      <w:r>
        <w:t>(6)</w:t>
      </w:r>
      <w:r>
        <w:tab/>
        <w:t xml:space="preserve">Who is lacking a state department of revenue tax identification number (unless not selling food for profit). </w:t>
      </w:r>
    </w:p>
    <w:p w14:paraId="24215C4A" w14:textId="77777777" w:rsidR="00B4669C" w:rsidRDefault="00000000">
      <w:pPr>
        <w:pStyle w:val="List1"/>
      </w:pPr>
      <w:r>
        <w:t>(e)</w:t>
      </w:r>
      <w:r>
        <w:tab/>
      </w:r>
      <w:r>
        <w:rPr>
          <w:i/>
        </w:rPr>
        <w:t>Permit fee:</w:t>
      </w:r>
      <w:r>
        <w:t xml:space="preserve"> A mobile food service vendor permit application shall be accompanied by the following applicable fee, which shall be deposited with the Office of the City Clerk: </w:t>
      </w:r>
    </w:p>
    <w:p w14:paraId="2EDE359C" w14:textId="77777777" w:rsidR="00B4669C" w:rsidRDefault="00000000">
      <w:pPr>
        <w:pStyle w:val="List2"/>
      </w:pPr>
      <w:r>
        <w:t>(1)</w:t>
      </w:r>
      <w:r>
        <w:tab/>
        <w:t xml:space="preserve">One hundred dollars ($100.00) for an annual license good for one year from the date of issuance; or, </w:t>
      </w:r>
    </w:p>
    <w:p w14:paraId="1DBB7A64" w14:textId="77777777" w:rsidR="00B4669C" w:rsidRDefault="00000000">
      <w:pPr>
        <w:pStyle w:val="List2"/>
      </w:pPr>
      <w:r>
        <w:t>(2)</w:t>
      </w:r>
      <w:r>
        <w:tab/>
        <w:t xml:space="preserve">Forty dollars ($40.00) for a permit good for up to one forty-eight-hour period, (hereinafter referred to as the "mobile food service permit fee"). Should a mobile food service vendor permit application be denied, the mobile food service permit fee shall be refunded to the applicant. </w:t>
      </w:r>
    </w:p>
    <w:p w14:paraId="3C530434" w14:textId="77777777" w:rsidR="00B4669C" w:rsidRDefault="00000000">
      <w:pPr>
        <w:pStyle w:val="List1"/>
      </w:pPr>
      <w:r>
        <w:t>(f)</w:t>
      </w:r>
      <w:r>
        <w:tab/>
      </w:r>
      <w:r>
        <w:rPr>
          <w:i/>
        </w:rPr>
        <w:t>Continuing obligation to supply information:</w:t>
      </w:r>
      <w:r>
        <w:t xml:space="preserve"> The requirement to supply all information required in mobile food service vendor permit application as provided for in subsection (b) of this section is a continuing one. If any supplied information or statements become invalid, it is the duty of the permittee of a mobile food service vendor permit to provide updated information to the City of Effingham, Illinois. </w:t>
      </w:r>
    </w:p>
    <w:p w14:paraId="57D5095E" w14:textId="77777777" w:rsidR="00B4669C" w:rsidRDefault="00000000">
      <w:pPr>
        <w:pStyle w:val="List1"/>
      </w:pPr>
      <w:r>
        <w:t>(g)</w:t>
      </w:r>
      <w:r>
        <w:tab/>
      </w:r>
      <w:r>
        <w:rPr>
          <w:i/>
        </w:rPr>
        <w:t>Renewal:</w:t>
      </w:r>
    </w:p>
    <w:p w14:paraId="22D54A1F" w14:textId="77777777" w:rsidR="00B4669C" w:rsidRDefault="00000000">
      <w:pPr>
        <w:pStyle w:val="List2"/>
      </w:pPr>
      <w:r>
        <w:t>(1)</w:t>
      </w:r>
      <w:r>
        <w:tab/>
        <w:t xml:space="preserve">Any permittee may renew a mobile food service vendor permit at the expiration thereof provided, that the permitee is then qualified to receive a mobile food service vendor permit. The requirements for and the procedures for obtaining a renewal of a mobile food service vendor permit shall be the same as that provided for in case of an original application for a mobile food service vendor permit, however, any application for renewal of an annual mobile food service vendor permit shall be filed with the City Clerk not less than thirty (30) days prior to the expiration of the annual mobile food service vendor permit. </w:t>
      </w:r>
    </w:p>
    <w:p w14:paraId="6B893B1C" w14:textId="77777777" w:rsidR="00B4669C" w:rsidRDefault="00000000">
      <w:pPr>
        <w:pStyle w:val="List2"/>
      </w:pPr>
      <w:r>
        <w:t>(2)</w:t>
      </w:r>
      <w:r>
        <w:tab/>
        <w:t xml:space="preserve">The failure to renew a mobile food service vendor permit as prescribed or to pay the required mobile food service vendor permit fee before the expiration date shown on the mobile food service vendor permit being renewed shall result in the lapse of the mobile food service vendor permit. </w:t>
      </w:r>
    </w:p>
    <w:p w14:paraId="0AAD95B0" w14:textId="77777777" w:rsidR="00B4669C" w:rsidRDefault="00000000">
      <w:pPr>
        <w:pStyle w:val="List1"/>
      </w:pPr>
      <w:r>
        <w:t>(h)</w:t>
      </w:r>
      <w:r>
        <w:tab/>
      </w:r>
      <w:r>
        <w:rPr>
          <w:i/>
        </w:rPr>
        <w:t>Privilege granted by mobile food service vendor permit:</w:t>
      </w:r>
      <w:r>
        <w:t xml:space="preserve"> A mobile food service vendor permit issued under this article shall be purely a personal privilege, good for a period of time listed in the mobile food service vendor permit, provided, in no event shall it exceed one year after issuance, and shall not constitute property, nor shall it be subject to attachment, garnishment or execution, voluntarily or involuntarily, or subject to being encumbered or hypothecated. Such mobile food service vendor permit shall not descend by the laws of testate or intestate devolution, but it shall cease upon the death of the permittee of a mobile food service vendor permit; provided that, the executor of the will or administrator of the estate of any deceased Permittee and the trustee of any insolvent or bankrupt permittee, when such estate consists in part of a mobile food service establishment, may continue the business of the mobile food service Establishment under order of the appropriate court, and may exercise the privileges of the deceased, insolvent, or bankrupt permitee until the expiration of such mobile food service vendor permit or until six (6) months after the death, insolvency or bankruptcy of such permitee, whichever is the shorter period of time. </w:t>
      </w:r>
    </w:p>
    <w:p w14:paraId="405445CC" w14:textId="77777777" w:rsidR="00B4669C" w:rsidRDefault="00000000">
      <w:pPr>
        <w:pStyle w:val="List1"/>
      </w:pPr>
      <w:r>
        <w:lastRenderedPageBreak/>
        <w:t>(i)</w:t>
      </w:r>
      <w:r>
        <w:tab/>
      </w:r>
      <w:r>
        <w:rPr>
          <w:i/>
        </w:rPr>
        <w:t>Transfer:</w:t>
      </w:r>
      <w:r>
        <w:t xml:space="preserve"> All mobile food service vendor permits issued under this article shall be considered personal and may not be transferred to any person. </w:t>
      </w:r>
    </w:p>
    <w:p w14:paraId="7C067A2C" w14:textId="77777777" w:rsidR="00B4669C" w:rsidRDefault="00000000">
      <w:pPr>
        <w:pStyle w:val="List1"/>
      </w:pPr>
      <w:r>
        <w:t>(j)</w:t>
      </w:r>
      <w:r>
        <w:tab/>
      </w:r>
      <w:r>
        <w:rPr>
          <w:i/>
        </w:rPr>
        <w:t>License to be posted:</w:t>
      </w:r>
      <w:r>
        <w:t xml:space="preserve"> Every permitee or holder of a mobile food service vendor permit under the provisions of this article shall cause the mobile food service vendor permit to be hung in plain view in a conspicuous place at or near where the mobile food service establishment is operated. </w:t>
      </w:r>
    </w:p>
    <w:p w14:paraId="1F89ECBD" w14:textId="77777777" w:rsidR="00B4669C" w:rsidRDefault="00000000">
      <w:pPr>
        <w:pStyle w:val="List1"/>
      </w:pPr>
      <w:r>
        <w:t>(k)</w:t>
      </w:r>
      <w:r>
        <w:tab/>
      </w:r>
      <w:r>
        <w:rPr>
          <w:i/>
        </w:rPr>
        <w:t>Exemption:</w:t>
      </w:r>
      <w:r>
        <w:t xml:space="preserve"> Any obligation to obtain a mobile food service vendor permit under this section, shall not apply to any farmers or gardeners selling the produce, including vegetables, fruit, or perishable farm products, of their farms and gardens. </w:t>
      </w:r>
    </w:p>
    <w:p w14:paraId="094BC0CA" w14:textId="77777777" w:rsidR="00B4669C" w:rsidRDefault="00000000">
      <w:pPr>
        <w:pStyle w:val="HistoryNote"/>
      </w:pPr>
      <w:r>
        <w:t>(Ord. No. 15-2018 , § 3, 3-6-2018; Ord. No. 042-2021 , §§ 2, 3, 8-17-2021)</w:t>
      </w:r>
    </w:p>
    <w:p w14:paraId="3A2FCCB7" w14:textId="77777777" w:rsidR="00B4669C" w:rsidRDefault="00B4669C">
      <w:pPr>
        <w:spacing w:before="0" w:after="0"/>
        <w:sectPr w:rsidR="00B4669C">
          <w:headerReference w:type="default" r:id="rId11"/>
          <w:footerReference w:type="default" r:id="rId12"/>
          <w:type w:val="continuous"/>
          <w:pgSz w:w="12240" w:h="15840"/>
          <w:pgMar w:top="1440" w:right="1440" w:bottom="1440" w:left="1440" w:header="720" w:footer="720" w:gutter="0"/>
          <w:cols w:space="720"/>
        </w:sectPr>
      </w:pPr>
    </w:p>
    <w:p w14:paraId="56CD5F52" w14:textId="77777777" w:rsidR="00B4669C" w:rsidRDefault="00000000">
      <w:pPr>
        <w:pStyle w:val="Section"/>
      </w:pPr>
      <w:r>
        <w:t>Sec. 15-123. Operation requirements for mobile food service establishments.</w:t>
      </w:r>
    </w:p>
    <w:p w14:paraId="1FCEBAA3" w14:textId="77777777" w:rsidR="00B4669C" w:rsidRDefault="00000000">
      <w:pPr>
        <w:pStyle w:val="Paragraph1"/>
      </w:pPr>
      <w:r>
        <w:t xml:space="preserve">No person shall operate a mobile food service establishment except in accordance with the following provisions: </w:t>
      </w:r>
    </w:p>
    <w:p w14:paraId="58DABDA1" w14:textId="77777777" w:rsidR="00B4669C" w:rsidRDefault="00000000">
      <w:pPr>
        <w:pStyle w:val="List2"/>
      </w:pPr>
      <w:r>
        <w:t>(1)</w:t>
      </w:r>
      <w:r>
        <w:tab/>
        <w:t xml:space="preserve">Mobile food service establishments are allowed to operate within designated vending areas daily between 6:00 a.m. to 1:00 a.m., except where indicated otherwise. </w:t>
      </w:r>
    </w:p>
    <w:p w14:paraId="5AA9AF17" w14:textId="77777777" w:rsidR="00B4669C" w:rsidRDefault="00000000">
      <w:pPr>
        <w:pStyle w:val="List2"/>
      </w:pPr>
      <w:r>
        <w:t>(2)</w:t>
      </w:r>
      <w:r>
        <w:tab/>
        <w:t xml:space="preserve">Mobile food service establishments are allowed to operate at a designated vending area on a "first come, first served" basis. </w:t>
      </w:r>
    </w:p>
    <w:p w14:paraId="3AAEEAE2" w14:textId="77777777" w:rsidR="00B4669C" w:rsidRDefault="00000000">
      <w:pPr>
        <w:pStyle w:val="List2"/>
      </w:pPr>
      <w:r>
        <w:t>(3)</w:t>
      </w:r>
      <w:r>
        <w:tab/>
        <w:t xml:space="preserve">The mobile food service establishment, as well as the service area for the operation of the mobile food service establishment, shall not block, obstruct, or interfere with vehicular, bicycle or pedestrian flow. </w:t>
      </w:r>
    </w:p>
    <w:p w14:paraId="6375BEA9" w14:textId="77777777" w:rsidR="00B4669C" w:rsidRDefault="00000000">
      <w:pPr>
        <w:pStyle w:val="List2"/>
      </w:pPr>
      <w:r>
        <w:t>(4)</w:t>
      </w:r>
      <w:r>
        <w:tab/>
        <w:t xml:space="preserve">The mobile food service establishment, as well as the service area for the operation of the mobile food service establishment, shall not block obstruct, or interfere with the access of any public or private fire hydrant, or any building's fire department connection (FDC). </w:t>
      </w:r>
    </w:p>
    <w:p w14:paraId="37203C13" w14:textId="77777777" w:rsidR="00B4669C" w:rsidRDefault="00000000">
      <w:pPr>
        <w:pStyle w:val="List2"/>
      </w:pPr>
      <w:r>
        <w:t>(5)</w:t>
      </w:r>
      <w:r>
        <w:tab/>
        <w:t xml:space="preserve">The mobile food service establishment, as well as the service area for the operation of the mobile food service establishment, shall not block, obstruct, or interfere with any ingress or egress from any public or private establishment. </w:t>
      </w:r>
    </w:p>
    <w:p w14:paraId="6AAD8735" w14:textId="77777777" w:rsidR="00B4669C" w:rsidRDefault="00000000">
      <w:pPr>
        <w:pStyle w:val="List2"/>
      </w:pPr>
      <w:r>
        <w:t>(6)</w:t>
      </w:r>
      <w:r>
        <w:tab/>
        <w:t xml:space="preserve">The mobile food service establishment shall be operated in a manner in which to allow access for emergency vehicles, and shall be readily moveable in a timely manner should access to the area be required for such emergency vehicles. </w:t>
      </w:r>
    </w:p>
    <w:p w14:paraId="1E28E215" w14:textId="77777777" w:rsidR="00B4669C" w:rsidRDefault="00000000">
      <w:pPr>
        <w:pStyle w:val="List2"/>
      </w:pPr>
      <w:r>
        <w:t>(7)</w:t>
      </w:r>
      <w:r>
        <w:tab/>
        <w:t xml:space="preserve">There shall be no tents, tables, chairs or other displays placed within the designated vending areas. One portable sign board no greater than six (6) square feet in area may be placed within the designated service area near the mobile food service establishment. </w:t>
      </w:r>
    </w:p>
    <w:p w14:paraId="217613B3" w14:textId="77777777" w:rsidR="00B4669C" w:rsidRDefault="00000000">
      <w:pPr>
        <w:pStyle w:val="List2"/>
      </w:pPr>
      <w:r>
        <w:t>(8)</w:t>
      </w:r>
      <w:r>
        <w:tab/>
        <w:t xml:space="preserve">Noise from mobile food service establishments, including but limited to generators and music, shall not exceed seventy-five (75) decibels as measured from ten (10) feet away. </w:t>
      </w:r>
    </w:p>
    <w:p w14:paraId="49DE8C39" w14:textId="77777777" w:rsidR="00B4669C" w:rsidRDefault="00000000">
      <w:pPr>
        <w:pStyle w:val="List2"/>
      </w:pPr>
      <w:r>
        <w:t>(9)</w:t>
      </w:r>
      <w:r>
        <w:tab/>
        <w:t xml:space="preserve">Mobile food service establishments shall collect all trash and debris resulting from the Mobile Food Service Establishment within one hundred (100) feet of the designated vending area. </w:t>
      </w:r>
    </w:p>
    <w:p w14:paraId="79B64A82" w14:textId="77777777" w:rsidR="00B4669C" w:rsidRDefault="00000000">
      <w:pPr>
        <w:pStyle w:val="List2"/>
      </w:pPr>
      <w:r>
        <w:t>(10)</w:t>
      </w:r>
      <w:r>
        <w:tab/>
        <w:t xml:space="preserve">Permittees shall properly train any and all employees regarding the proper use of equipment, fuel and electrical shut-offs, fire suppression equipment, emergency procedures, and securing the mobile food service establishment for transit. Documentation of all training shall be maintained by the permittee for a period of not less than two (2) years and shall be available for inspection by the Fire Prevention Bureau, or his/her designee. </w:t>
      </w:r>
    </w:p>
    <w:p w14:paraId="61555B54" w14:textId="77777777" w:rsidR="00B4669C" w:rsidRDefault="00000000">
      <w:pPr>
        <w:pStyle w:val="List2"/>
      </w:pPr>
      <w:r>
        <w:t>(11)</w:t>
      </w:r>
      <w:r>
        <w:tab/>
        <w:t xml:space="preserve">All decorations utilized by mobile food service establishments shall be flame resistant. </w:t>
      </w:r>
    </w:p>
    <w:p w14:paraId="229D9A55" w14:textId="77777777" w:rsidR="00B4669C" w:rsidRDefault="00000000">
      <w:pPr>
        <w:pStyle w:val="List2"/>
      </w:pPr>
      <w:r>
        <w:lastRenderedPageBreak/>
        <w:t>(12)</w:t>
      </w:r>
      <w:r>
        <w:tab/>
        <w:t xml:space="preserve">Any hot surfaces from cooking and heating devices contained on or within the mobile food service establishment shall be guarded so that the public is protected from physical contact. </w:t>
      </w:r>
    </w:p>
    <w:p w14:paraId="1336692D" w14:textId="77777777" w:rsidR="00B4669C" w:rsidRDefault="00000000">
      <w:pPr>
        <w:pStyle w:val="List2"/>
      </w:pPr>
      <w:r>
        <w:t>(13)</w:t>
      </w:r>
      <w:r>
        <w:tab/>
        <w:t xml:space="preserve">Fire extinguishers: </w:t>
      </w:r>
    </w:p>
    <w:p w14:paraId="296DA2F7" w14:textId="77777777" w:rsidR="00B4669C" w:rsidRDefault="00000000">
      <w:pPr>
        <w:pStyle w:val="List3"/>
      </w:pPr>
      <w:r>
        <w:t>a.</w:t>
      </w:r>
      <w:r>
        <w:tab/>
        <w:t xml:space="preserve">All mobile food service establishments shall maintain a 4A:60-B:C, (10-pound ABC red extinguisher) portable fire extinguisher, which shall be located in a conspicuous location where it will be readily accessible and immediately available for use near the point of egress. </w:t>
      </w:r>
    </w:p>
    <w:p w14:paraId="6E11995F" w14:textId="77777777" w:rsidR="00B4669C" w:rsidRDefault="00000000">
      <w:pPr>
        <w:pStyle w:val="List3"/>
      </w:pPr>
      <w:r>
        <w:t>b.</w:t>
      </w:r>
      <w:r>
        <w:tab/>
        <w:t xml:space="preserve">If the mobile food service establishment cooking methods create grease laden vapors, the mobile food service establishment shall maintain a 6L Class "K" type portable extinguisher, which shall be located in a conspicuous location where it will be readily accessible and immediately available for use near the point of egress. </w:t>
      </w:r>
    </w:p>
    <w:p w14:paraId="3435C1D5" w14:textId="77777777" w:rsidR="00B4669C" w:rsidRDefault="00000000">
      <w:pPr>
        <w:pStyle w:val="List3"/>
      </w:pPr>
      <w:r>
        <w:t>c.</w:t>
      </w:r>
      <w:r>
        <w:tab/>
        <w:t xml:space="preserve">All required fire extinguishers shall bear a current inspection tag validated within the past twelve (12) months OR a receipt of purchase within the last twelve (12) months shall be available for inspection. Annual inspection shall be performed by a licensed service provider. </w:t>
      </w:r>
    </w:p>
    <w:p w14:paraId="0D59C6A6" w14:textId="77777777" w:rsidR="00B4669C" w:rsidRDefault="00000000">
      <w:pPr>
        <w:pStyle w:val="List3"/>
      </w:pPr>
      <w:r>
        <w:t>d.</w:t>
      </w:r>
      <w:r>
        <w:tab/>
        <w:t xml:space="preserve">All employees working in the mobile food service establishment shall be trained in the proper use of the fire extinguishers. </w:t>
      </w:r>
    </w:p>
    <w:p w14:paraId="48267F9B" w14:textId="77777777" w:rsidR="00B4669C" w:rsidRDefault="00000000">
      <w:pPr>
        <w:pStyle w:val="List2"/>
      </w:pPr>
      <w:r>
        <w:t>(14)</w:t>
      </w:r>
      <w:r>
        <w:tab/>
        <w:t xml:space="preserve">Hoods and suppression systems: </w:t>
      </w:r>
    </w:p>
    <w:p w14:paraId="07FA4B15" w14:textId="77777777" w:rsidR="00B4669C" w:rsidRDefault="00000000">
      <w:pPr>
        <w:pStyle w:val="List3"/>
      </w:pPr>
      <w:r>
        <w:t>a.</w:t>
      </w:r>
      <w:r>
        <w:tab/>
        <w:t xml:space="preserve">All mobile food service establishments, that are enclosed and produce grease laden vapors, shall have a Type 1 hood, as well as a fire suppression system installed with the Type 1 hood. The pull station for the fire suppression system should be accessible, and preferably located near the point of egress. </w:t>
      </w:r>
    </w:p>
    <w:p w14:paraId="281F1C14" w14:textId="77777777" w:rsidR="00B4669C" w:rsidRDefault="00000000">
      <w:pPr>
        <w:pStyle w:val="List3"/>
      </w:pPr>
      <w:r>
        <w:t>b.</w:t>
      </w:r>
      <w:r>
        <w:tab/>
        <w:t xml:space="preserve">Hood fire suppression systems shall bear a current inspection tag validated within the past six (6) months. Semi-annual inspections shall be performed by a licensed service provider. </w:t>
      </w:r>
    </w:p>
    <w:p w14:paraId="4C84EEA0" w14:textId="77777777" w:rsidR="00B4669C" w:rsidRDefault="00000000">
      <w:pPr>
        <w:pStyle w:val="List3"/>
      </w:pPr>
      <w:r>
        <w:t>c.</w:t>
      </w:r>
      <w:r>
        <w:tab/>
        <w:t xml:space="preserve">Fire suppression system shall be UL 300 approved. </w:t>
      </w:r>
    </w:p>
    <w:p w14:paraId="22C35548" w14:textId="77777777" w:rsidR="00B4669C" w:rsidRDefault="00000000">
      <w:pPr>
        <w:pStyle w:val="List3"/>
      </w:pPr>
      <w:r>
        <w:t>d.</w:t>
      </w:r>
      <w:r>
        <w:tab/>
        <w:t xml:space="preserve">Hood and ducts shall be cleaned at regular intervals to prevent grease accumulation and tagged appropriately by a service company. </w:t>
      </w:r>
    </w:p>
    <w:p w14:paraId="3AAB66E0" w14:textId="77777777" w:rsidR="00B4669C" w:rsidRDefault="00000000">
      <w:pPr>
        <w:pStyle w:val="List3"/>
      </w:pPr>
      <w:r>
        <w:t>e.</w:t>
      </w:r>
      <w:r>
        <w:tab/>
        <w:t xml:space="preserve">All hood filters shall be in place during cooking operations. </w:t>
      </w:r>
    </w:p>
    <w:p w14:paraId="5C96704C" w14:textId="77777777" w:rsidR="00B4669C" w:rsidRDefault="00000000">
      <w:pPr>
        <w:pStyle w:val="List3"/>
      </w:pPr>
      <w:r>
        <w:t>f.</w:t>
      </w:r>
      <w:r>
        <w:tab/>
        <w:t xml:space="preserve">Hood filters should be regularly cleaned by employees between hood service appointments. </w:t>
      </w:r>
    </w:p>
    <w:p w14:paraId="125EF40C" w14:textId="77777777" w:rsidR="00B4669C" w:rsidRDefault="00000000">
      <w:pPr>
        <w:pStyle w:val="List3"/>
      </w:pPr>
      <w:r>
        <w:t>g.</w:t>
      </w:r>
      <w:r>
        <w:tab/>
        <w:t xml:space="preserve">Documentation of all inspections, testing, and cleaning, shall be available for inspection by the City Fire Prevention Bureau, or his/her designee, and maintained for a period of not less than two (2) years. </w:t>
      </w:r>
    </w:p>
    <w:p w14:paraId="5FC51B11" w14:textId="77777777" w:rsidR="00B4669C" w:rsidRDefault="00000000">
      <w:pPr>
        <w:pStyle w:val="List2"/>
      </w:pPr>
      <w:r>
        <w:t>(15)</w:t>
      </w:r>
      <w:r>
        <w:tab/>
        <w:t xml:space="preserve">Detection systems: </w:t>
      </w:r>
    </w:p>
    <w:p w14:paraId="27AC498C" w14:textId="77777777" w:rsidR="00B4669C" w:rsidRDefault="00000000">
      <w:pPr>
        <w:pStyle w:val="List3"/>
      </w:pPr>
      <w:r>
        <w:t>1.</w:t>
      </w:r>
      <w:r>
        <w:tab/>
        <w:t xml:space="preserve">Cooking operations shall be equipped with a working carbon monoxide (CO) detector that meets standards set forth in NFPA 1192-6.4.6. </w:t>
      </w:r>
    </w:p>
    <w:p w14:paraId="178E48B1" w14:textId="77777777" w:rsidR="00B4669C" w:rsidRDefault="00000000">
      <w:pPr>
        <w:pStyle w:val="List3"/>
      </w:pPr>
      <w:r>
        <w:t>2.</w:t>
      </w:r>
      <w:r>
        <w:tab/>
        <w:t xml:space="preserve">Mobile food service establishments utilizing liquid propane (LP), shall be equipped with a leak indicator and gas detection device according to NFPA 1192-6.4.8. </w:t>
      </w:r>
    </w:p>
    <w:p w14:paraId="4887770E" w14:textId="77777777" w:rsidR="00B4669C" w:rsidRDefault="00000000">
      <w:pPr>
        <w:pStyle w:val="List2"/>
      </w:pPr>
      <w:r>
        <w:t>(16)</w:t>
      </w:r>
      <w:r>
        <w:tab/>
        <w:t xml:space="preserve">Liquid Propane and Natural Gas: Any mobile food service establishment utilizing liquid propane gas and/or natural gas shall: </w:t>
      </w:r>
    </w:p>
    <w:p w14:paraId="0FEF3C3D" w14:textId="77777777" w:rsidR="00B4669C" w:rsidRDefault="00000000">
      <w:pPr>
        <w:pStyle w:val="List3"/>
      </w:pPr>
      <w:r>
        <w:t>a.</w:t>
      </w:r>
      <w:r>
        <w:tab/>
        <w:t xml:space="preserve">Maintain liquid propane and/or natural gas relief valves, which shall be located within a safe distance away from any ignition source (open flame or generator) NFPA 58-3804.3 (e2) (ie. five (5) feet). </w:t>
      </w:r>
    </w:p>
    <w:p w14:paraId="67E6B611" w14:textId="77777777" w:rsidR="00B4669C" w:rsidRDefault="00000000">
      <w:pPr>
        <w:pStyle w:val="List3"/>
      </w:pPr>
      <w:r>
        <w:lastRenderedPageBreak/>
        <w:t>b.</w:t>
      </w:r>
      <w:r>
        <w:tab/>
        <w:t xml:space="preserve">LP tank relief valves shall be pointed away from the vending side of the vehicle and away from the public. They should also be located as distant from the exiting of the work space as feasibly possible. </w:t>
      </w:r>
    </w:p>
    <w:p w14:paraId="18E39613" w14:textId="77777777" w:rsidR="00B4669C" w:rsidRDefault="00000000">
      <w:pPr>
        <w:pStyle w:val="List3"/>
      </w:pPr>
      <w:r>
        <w:t>c.</w:t>
      </w:r>
      <w:r>
        <w:tab/>
        <w:t xml:space="preserve">Maintain main system shutoff valves, which shall be located on or close to the fuel and/or natural gas tanks, and must be able to stop the supply of fuel from all liquid propane gas tanks. Such shutoff values shall be clearly marked with a reflective decal that includes the words measuring not less than two (2) inches high stating "PROPANE SHUTOFF VALVE" or "NATURAL GAS SHUTOFF VALVE," with said reflective decal being permanently affixed to the outside of the mobile food service establishment. </w:t>
      </w:r>
    </w:p>
    <w:p w14:paraId="6E011FF4" w14:textId="77777777" w:rsidR="00B4669C" w:rsidRDefault="00000000">
      <w:pPr>
        <w:pStyle w:val="List3"/>
      </w:pPr>
      <w:r>
        <w:t>d.</w:t>
      </w:r>
      <w:r>
        <w:tab/>
        <w:t xml:space="preserve">The gas hose shall be designed for a working pressure of 350 psig (2.4MPag). Only a rubber hose stamped "Approved for LP Gas" or "Approved for Natural Gas" may be used to transport gas through the mobile food service establishment to any appliances contained within or a part of said mobile food service establishment. Copper piping shall NOT be used. NFPA 58 - 5.9.6.4 (a). </w:t>
      </w:r>
    </w:p>
    <w:p w14:paraId="3C33D7AA" w14:textId="77777777" w:rsidR="00B4669C" w:rsidRDefault="00000000">
      <w:pPr>
        <w:pStyle w:val="List3"/>
      </w:pPr>
      <w:r>
        <w:t>e.</w:t>
      </w:r>
      <w:r>
        <w:tab/>
        <w:t xml:space="preserve">All tanks, hoses, and fittings shall be free from leaks and are subject to inspection by the City of Effingham, Illinois, Fire Prevention Bureau and/or designee. </w:t>
      </w:r>
    </w:p>
    <w:p w14:paraId="2BE570B2" w14:textId="77777777" w:rsidR="00B4669C" w:rsidRDefault="00000000">
      <w:pPr>
        <w:pStyle w:val="List3"/>
      </w:pPr>
      <w:r>
        <w:t>f.</w:t>
      </w:r>
      <w:r>
        <w:tab/>
        <w:t xml:space="preserve">A "No Smoking" sign shall be maintained next to or directly above the liquid propane and/or natural gas container and visible to the public. Such sign shall be posted with a minimum of two-inch lettering. </w:t>
      </w:r>
    </w:p>
    <w:p w14:paraId="1C2131A3" w14:textId="77777777" w:rsidR="00B4669C" w:rsidRDefault="00000000">
      <w:pPr>
        <w:pStyle w:val="List3"/>
      </w:pPr>
      <w:r>
        <w:t>g.</w:t>
      </w:r>
      <w:r>
        <w:tab/>
        <w:t xml:space="preserve">DOT approved liquid propane and natural gas (49 CFR 178) tanks shall be used. Tanks must be equipped with a regulator as prescribed by NFPA 58 — 6.23.4 and 5.2.15. No quick-connect devices (as defined in NFPA 58- 7.2.2.5) are allowed except on chassis-mounted tanks. Any such quick connect devices on a chassis-mounted tank shall be equipped with a manual shutoff. </w:t>
      </w:r>
    </w:p>
    <w:p w14:paraId="4079ECF1" w14:textId="77777777" w:rsidR="00B4669C" w:rsidRDefault="00000000">
      <w:pPr>
        <w:pStyle w:val="List3"/>
      </w:pPr>
      <w:r>
        <w:t>h.</w:t>
      </w:r>
      <w:r>
        <w:tab/>
        <w:t xml:space="preserve">Tanks shall be properly labeled with prominent safety placards in accordance with the US DOT regulations (49 CFR 178). </w:t>
      </w:r>
    </w:p>
    <w:p w14:paraId="2083B245" w14:textId="77777777" w:rsidR="00B4669C" w:rsidRDefault="00000000">
      <w:pPr>
        <w:pStyle w:val="List3"/>
      </w:pPr>
      <w:r>
        <w:t>i.</w:t>
      </w:r>
      <w:r>
        <w:tab/>
        <w:t xml:space="preserve">Operations may use two (2) size 20-pound tanks or one 40-pound tank. All tanks shall be properly secured to the mobile food service establishment. </w:t>
      </w:r>
    </w:p>
    <w:p w14:paraId="775AB6F0" w14:textId="77777777" w:rsidR="00B4669C" w:rsidRDefault="00000000">
      <w:pPr>
        <w:pStyle w:val="List3"/>
      </w:pPr>
      <w:r>
        <w:t>j.</w:t>
      </w:r>
      <w:r>
        <w:tab/>
        <w:t xml:space="preserve">LP gas shall not be used for the purpose of operating devices or equipment unless such device or equipment is approved for use with LP gas or natural gas. </w:t>
      </w:r>
    </w:p>
    <w:p w14:paraId="6E290607" w14:textId="77777777" w:rsidR="00B4669C" w:rsidRDefault="00000000">
      <w:pPr>
        <w:pStyle w:val="List2"/>
      </w:pPr>
      <w:r>
        <w:t>(17)</w:t>
      </w:r>
      <w:r>
        <w:tab/>
        <w:t xml:space="preserve">Mounting and placement of Liquid Propane and Natural Gas Tanks: </w:t>
      </w:r>
    </w:p>
    <w:p w14:paraId="36D929AA" w14:textId="77777777" w:rsidR="00B4669C" w:rsidRDefault="00000000">
      <w:pPr>
        <w:pStyle w:val="List3"/>
      </w:pPr>
      <w:r>
        <w:t>a.</w:t>
      </w:r>
      <w:r>
        <w:tab/>
        <w:t xml:space="preserve">The mounting of liquid propane and natural gas tanks must withstand impact equal to four (4) times the weight of the filled propane or natural gas container according to NFPA 58 - 6.23.3.4. Tanks must be secure (NFPA 58- 5.2.4) and conform with NFPA standards relating to the safe mounting of tanks as described in NFPA 58-6.23.3.3. Under these guidelines there are three (3) permitted mounting options for propane and natural gas tanks and a fourth for trailers only: </w:t>
      </w:r>
    </w:p>
    <w:p w14:paraId="4420209F" w14:textId="77777777" w:rsidR="00B4669C" w:rsidRDefault="00000000">
      <w:pPr>
        <w:pStyle w:val="List4"/>
      </w:pPr>
      <w:r>
        <w:t>1.</w:t>
      </w:r>
      <w:r>
        <w:tab/>
        <w:t xml:space="preserve">Outside mounted in a semi-enclosed cabinet. All tanks must be properly secured to the mobile food service establishment. Tanks may be in an outside accessible cabinet and if located in a cabinet, the door must have venting both at top and bottom. Any outside accessible cabinet must also be sealed from leakage into the working space. Tank must have a weather protected regulator and a leak indicator as described in NFPA 1192-6.4.8. </w:t>
      </w:r>
    </w:p>
    <w:p w14:paraId="1F9040A4" w14:textId="77777777" w:rsidR="00B4669C" w:rsidRDefault="00000000">
      <w:pPr>
        <w:pStyle w:val="List4"/>
      </w:pPr>
      <w:r>
        <w:t>2.</w:t>
      </w:r>
      <w:r>
        <w:tab/>
        <w:t xml:space="preserve">Outside mounted. LP tanks are located at the rear of the vehicle. The DOT approved LP tanks shall be mounted at a minimum height of forty-six (46) inches above the ground no less than twenty-eight (28) inches above the top of a DOT approved rear bumper with a weather protected regulator. </w:t>
      </w:r>
    </w:p>
    <w:p w14:paraId="7C0C94FD" w14:textId="77777777" w:rsidR="00B4669C" w:rsidRDefault="00000000">
      <w:pPr>
        <w:pStyle w:val="List4"/>
      </w:pPr>
      <w:r>
        <w:t>3.</w:t>
      </w:r>
      <w:r>
        <w:tab/>
        <w:t xml:space="preserve">Chassis mounted, according to NFPA 58-6.23.3.4. </w:t>
      </w:r>
    </w:p>
    <w:p w14:paraId="09BC9DB5" w14:textId="77777777" w:rsidR="00B4669C" w:rsidRDefault="00000000">
      <w:pPr>
        <w:pStyle w:val="List4"/>
      </w:pPr>
      <w:r>
        <w:t>4.</w:t>
      </w:r>
      <w:r>
        <w:tab/>
        <w:t xml:space="preserve">If the mobile food service establishment is an unenclosed trailer, tanks may be mounted on the tong rails of the front of the trailer. </w:t>
      </w:r>
    </w:p>
    <w:p w14:paraId="23FADC88" w14:textId="77777777" w:rsidR="00B4669C" w:rsidRDefault="00000000">
      <w:pPr>
        <w:pStyle w:val="List3"/>
      </w:pPr>
      <w:r>
        <w:t>b.</w:t>
      </w:r>
      <w:r>
        <w:tab/>
        <w:t xml:space="preserve">No liquid propane or natural gas tank shall be installed on the roof of the vehicle under any circumstances. In addition, no flammable liquids should be stored inside any enclosed mobile food service establishment. Such liquids may only be stored in their own separate container in a manner consistent with their type and secured from spilling. No gas shall be stored in the work area of the mobile food service establishment. </w:t>
      </w:r>
    </w:p>
    <w:p w14:paraId="69EB1496" w14:textId="77777777" w:rsidR="00B4669C" w:rsidRDefault="00000000">
      <w:pPr>
        <w:pStyle w:val="List3"/>
      </w:pPr>
      <w:r>
        <w:t>c.</w:t>
      </w:r>
      <w:r>
        <w:tab/>
        <w:t xml:space="preserve">Liquid propane and natural gas tanks shall be shut off while the mobile food service establishment is in motion, unless the tank is equipped with an impact detection shut-off device approved by the U.S. DOT. Propane and natural gas tanks must always be shut off while the mobile food service establishment is unattended and/or in overnight storage. </w:t>
      </w:r>
    </w:p>
    <w:p w14:paraId="7A81ADC2" w14:textId="77777777" w:rsidR="00B4669C" w:rsidRDefault="00000000">
      <w:pPr>
        <w:pStyle w:val="List2"/>
      </w:pPr>
      <w:r>
        <w:t>(18)</w:t>
      </w:r>
      <w:r>
        <w:tab/>
        <w:t xml:space="preserve">Cooking equipment/appliances: </w:t>
      </w:r>
    </w:p>
    <w:p w14:paraId="5BF3E190" w14:textId="77777777" w:rsidR="00B4669C" w:rsidRDefault="00000000">
      <w:pPr>
        <w:pStyle w:val="List3"/>
      </w:pPr>
      <w:r>
        <w:t>a.</w:t>
      </w:r>
      <w:r>
        <w:tab/>
        <w:t xml:space="preserve">All cooking appliances must be listed by Underwriters Laboratories or NSF International for mobile applications for the appropriate fuel and be clearly marked with the appropriate rating sticker. </w:t>
      </w:r>
    </w:p>
    <w:p w14:paraId="36213558" w14:textId="77777777" w:rsidR="00B4669C" w:rsidRDefault="00000000">
      <w:pPr>
        <w:pStyle w:val="List3"/>
      </w:pPr>
      <w:r>
        <w:t>b.</w:t>
      </w:r>
      <w:r>
        <w:tab/>
        <w:t xml:space="preserve">All fat fryers must have a lid over the oil vat that can be secured in order to prevent the spillage of cooking oil during transit. This lid should be secured at all times when the mobile food service establishment is in motion. </w:t>
      </w:r>
    </w:p>
    <w:p w14:paraId="33083741" w14:textId="77777777" w:rsidR="00B4669C" w:rsidRDefault="00000000">
      <w:pPr>
        <w:pStyle w:val="List3"/>
      </w:pPr>
      <w:r>
        <w:t>c.</w:t>
      </w:r>
      <w:r>
        <w:tab/>
        <w:t xml:space="preserve">Electrical cooking and heating equipment shall comply with the 2015 NFPA 101 Life Safety Code, Section 12.7. </w:t>
      </w:r>
    </w:p>
    <w:p w14:paraId="5D3C7AA0" w14:textId="77777777" w:rsidR="00B4669C" w:rsidRDefault="00000000">
      <w:pPr>
        <w:pStyle w:val="List3"/>
      </w:pPr>
      <w:r>
        <w:t>d.</w:t>
      </w:r>
      <w:r>
        <w:tab/>
        <w:t xml:space="preserve">All cooking equipment and appliances shall have all manufacturer's knobs, switches, indicator lights in working order and equipment should not be modified or deviate from its original design. </w:t>
      </w:r>
    </w:p>
    <w:p w14:paraId="743926EF" w14:textId="77777777" w:rsidR="00B4669C" w:rsidRDefault="00000000">
      <w:pPr>
        <w:pStyle w:val="List2"/>
      </w:pPr>
      <w:r>
        <w:t>(19)</w:t>
      </w:r>
      <w:r>
        <w:tab/>
        <w:t xml:space="preserve">Ventilation: Any enclosed mobile food service establishment must be equipped with a working ventilation system that meets the requirements of NFPA 96 chapter 5. This ventilation system must be in operation at all times when the cooking equipment of the enclosed mobile food service establishment is being used. All fan systems must have combined cubic feet per minute rating equal to twice the volume of the interior of the mobile food service establishment as measured in cubic feet. </w:t>
      </w:r>
    </w:p>
    <w:p w14:paraId="4F97A4B8" w14:textId="77777777" w:rsidR="00B4669C" w:rsidRDefault="00000000">
      <w:pPr>
        <w:pStyle w:val="List2"/>
      </w:pPr>
      <w:r>
        <w:t>(20)</w:t>
      </w:r>
      <w:r>
        <w:tab/>
        <w:t xml:space="preserve">Electrical: </w:t>
      </w:r>
    </w:p>
    <w:p w14:paraId="07971777" w14:textId="77777777" w:rsidR="00B4669C" w:rsidRDefault="00000000">
      <w:pPr>
        <w:pStyle w:val="List3"/>
      </w:pPr>
      <w:r>
        <w:t>a.</w:t>
      </w:r>
      <w:r>
        <w:tab/>
        <w:t xml:space="preserve">All electrical equipment shall comply with the ICC Electrical Code, as adopted by the City of Effingham, Illinois. </w:t>
      </w:r>
    </w:p>
    <w:p w14:paraId="4A6BE3EE" w14:textId="77777777" w:rsidR="00B4669C" w:rsidRDefault="00000000">
      <w:pPr>
        <w:pStyle w:val="List3"/>
      </w:pPr>
      <w:r>
        <w:t>b.</w:t>
      </w:r>
      <w:r>
        <w:tab/>
        <w:t xml:space="preserve">All electrical equipment shall be maintained and kept in good working order as designed without modification. </w:t>
      </w:r>
    </w:p>
    <w:p w14:paraId="2814080A" w14:textId="77777777" w:rsidR="00B4669C" w:rsidRDefault="00000000">
      <w:pPr>
        <w:pStyle w:val="List3"/>
      </w:pPr>
      <w:r>
        <w:t>c.</w:t>
      </w:r>
      <w:r>
        <w:tab/>
        <w:t xml:space="preserve">Electrical Cords shall be properly sized (amps) with the equipment it is being used. </w:t>
      </w:r>
    </w:p>
    <w:p w14:paraId="238534A9" w14:textId="77777777" w:rsidR="00B4669C" w:rsidRDefault="00000000">
      <w:pPr>
        <w:pStyle w:val="List3"/>
      </w:pPr>
      <w:r>
        <w:t>d.</w:t>
      </w:r>
      <w:r>
        <w:tab/>
        <w:t xml:space="preserve">Electrical adapters or gang electrical taps are prohibited. </w:t>
      </w:r>
    </w:p>
    <w:p w14:paraId="484206BE" w14:textId="77777777" w:rsidR="00B4669C" w:rsidRDefault="00000000">
      <w:pPr>
        <w:pStyle w:val="List3"/>
      </w:pPr>
      <w:r>
        <w:t>e.</w:t>
      </w:r>
      <w:r>
        <w:tab/>
        <w:t xml:space="preserve">Circuits for outlets and equipment should be installed in such a manner to prevent overloading and tripped breakers. Extension cords are prohibited unless they include a circuit protected device. </w:t>
      </w:r>
    </w:p>
    <w:p w14:paraId="28098E93" w14:textId="77777777" w:rsidR="00B4669C" w:rsidRDefault="00000000">
      <w:pPr>
        <w:pStyle w:val="List3"/>
      </w:pPr>
      <w:r>
        <w:t>f.</w:t>
      </w:r>
      <w:r>
        <w:tab/>
        <w:t xml:space="preserve">Open junction boxes and open-wiring splices are prohibited. Approved covers shall be provided for all switch and electrical outlet boxes. </w:t>
      </w:r>
    </w:p>
    <w:p w14:paraId="11AF784B" w14:textId="77777777" w:rsidR="00B4669C" w:rsidRDefault="00000000">
      <w:pPr>
        <w:pStyle w:val="List3"/>
      </w:pPr>
      <w:r>
        <w:t>g.</w:t>
      </w:r>
      <w:r>
        <w:tab/>
        <w:t xml:space="preserve">Equipment power cords shall be protected from physical damage and from becoming a tripping hazard. </w:t>
      </w:r>
    </w:p>
    <w:p w14:paraId="13A69563" w14:textId="77777777" w:rsidR="00B4669C" w:rsidRDefault="00000000">
      <w:pPr>
        <w:pStyle w:val="List2"/>
      </w:pPr>
      <w:r>
        <w:t>(21)</w:t>
      </w:r>
      <w:r>
        <w:tab/>
        <w:t xml:space="preserve">Generators: </w:t>
      </w:r>
    </w:p>
    <w:p w14:paraId="78BDBD05" w14:textId="77777777" w:rsidR="00B4669C" w:rsidRDefault="00000000">
      <w:pPr>
        <w:pStyle w:val="List3"/>
      </w:pPr>
      <w:r>
        <w:t>a.</w:t>
      </w:r>
      <w:r>
        <w:tab/>
        <w:t xml:space="preserve">Mobile food service establishments with pre-plumbed (inboard) gasoline, diesel, or LP generators are allowed (and recommended) to operate provided they meet the requirements of NFPA 2008. </w:t>
      </w:r>
    </w:p>
    <w:p w14:paraId="220962A7" w14:textId="77777777" w:rsidR="00B4669C" w:rsidRDefault="00000000">
      <w:pPr>
        <w:pStyle w:val="List3"/>
      </w:pPr>
      <w:r>
        <w:t>b.</w:t>
      </w:r>
      <w:r>
        <w:tab/>
        <w:t xml:space="preserve">Generators shall be properly grounded. </w:t>
      </w:r>
    </w:p>
    <w:p w14:paraId="5D1A61A1" w14:textId="77777777" w:rsidR="00B4669C" w:rsidRDefault="00000000">
      <w:pPr>
        <w:pStyle w:val="List3"/>
      </w:pPr>
      <w:r>
        <w:t>c.</w:t>
      </w:r>
      <w:r>
        <w:tab/>
        <w:t xml:space="preserve">Generators shall be mounted or stored on the traffic side of the mobile food service establishment, rather than the vending side of said mobile food service establishment. </w:t>
      </w:r>
    </w:p>
    <w:p w14:paraId="582049D5" w14:textId="77777777" w:rsidR="00B4669C" w:rsidRDefault="00000000">
      <w:pPr>
        <w:pStyle w:val="List3"/>
      </w:pPr>
      <w:r>
        <w:t>d.</w:t>
      </w:r>
      <w:r>
        <w:tab/>
        <w:t xml:space="preserve">Generators installed within an enclosed mobile food service establishment shall be sealed from leaking Carbon Monoxide (CO) within the enclosed portions of the mobile food service establishment. </w:t>
      </w:r>
    </w:p>
    <w:p w14:paraId="69BD633E" w14:textId="77777777" w:rsidR="00B4669C" w:rsidRDefault="00000000">
      <w:pPr>
        <w:pStyle w:val="List3"/>
      </w:pPr>
      <w:r>
        <w:t>e.</w:t>
      </w:r>
      <w:r>
        <w:tab/>
        <w:t xml:space="preserve">Generators shall be placed in a location to protect the public from coming into contact with the same. </w:t>
      </w:r>
    </w:p>
    <w:p w14:paraId="21952CD3" w14:textId="77777777" w:rsidR="00B4669C" w:rsidRDefault="00000000">
      <w:pPr>
        <w:pStyle w:val="List3"/>
      </w:pPr>
      <w:r>
        <w:t>f.</w:t>
      </w:r>
      <w:r>
        <w:tab/>
        <w:t xml:space="preserve">Must have an adequate fuel tank to prevent having to refuel during business hours. No refueling of hot generators while in the public way and setup for business is permitted. </w:t>
      </w:r>
    </w:p>
    <w:p w14:paraId="72E55252" w14:textId="77777777" w:rsidR="00B4669C" w:rsidRDefault="00000000">
      <w:pPr>
        <w:pStyle w:val="List3"/>
      </w:pPr>
      <w:r>
        <w:t>g.</w:t>
      </w:r>
      <w:r>
        <w:tab/>
        <w:t xml:space="preserve">Any storage area for a generator shall not be utilized for the storage of any other equipment and/or other items. </w:t>
      </w:r>
    </w:p>
    <w:p w14:paraId="6294126B" w14:textId="77777777" w:rsidR="00B4669C" w:rsidRDefault="00000000">
      <w:pPr>
        <w:pStyle w:val="List3"/>
      </w:pPr>
      <w:r>
        <w:t>h.</w:t>
      </w:r>
      <w:r>
        <w:tab/>
        <w:t xml:space="preserve">Generators shall be properly maintained and free of leaks. </w:t>
      </w:r>
    </w:p>
    <w:p w14:paraId="65936BCF" w14:textId="77777777" w:rsidR="00B4669C" w:rsidRDefault="00000000">
      <w:pPr>
        <w:pStyle w:val="List3"/>
      </w:pPr>
      <w:r>
        <w:t>i.</w:t>
      </w:r>
      <w:r>
        <w:tab/>
        <w:t xml:space="preserve">A maintenance log should be kept and available if requested by the Fire Prevention Bureau of the City of Effingham, Illinois, or his/her designee, for review during inspections. </w:t>
      </w:r>
    </w:p>
    <w:p w14:paraId="639BD557" w14:textId="77777777" w:rsidR="00B4669C" w:rsidRDefault="00000000">
      <w:pPr>
        <w:pStyle w:val="List2"/>
      </w:pPr>
      <w:r>
        <w:t>(22)</w:t>
      </w:r>
      <w:r>
        <w:tab/>
        <w:t xml:space="preserve">Awnings: </w:t>
      </w:r>
    </w:p>
    <w:p w14:paraId="6C544F15" w14:textId="77777777" w:rsidR="00B4669C" w:rsidRDefault="00000000">
      <w:pPr>
        <w:pStyle w:val="List3"/>
      </w:pPr>
      <w:r>
        <w:t>a.</w:t>
      </w:r>
      <w:r>
        <w:tab/>
        <w:t xml:space="preserve">Any fabric awnings shall be flame retardant treated fabric or vinyl and meet flame propagation requirements. </w:t>
      </w:r>
    </w:p>
    <w:p w14:paraId="796AC8B8" w14:textId="77777777" w:rsidR="00B4669C" w:rsidRDefault="00000000">
      <w:pPr>
        <w:pStyle w:val="List3"/>
      </w:pPr>
      <w:r>
        <w:t>b.</w:t>
      </w:r>
      <w:r>
        <w:tab/>
        <w:t xml:space="preserve">Awnings shall be composed of material meeting the flame propagation performance criteria of NFPA 701 or shall be treated with a flame retardant in an approved manner and meet the flame propagation performance criteria of NFPA 701, and that such flame propagation performance criteria are effective for the period specified. 2015 NFPA 101 Life Safety Code, Section 11.9.1.6. </w:t>
      </w:r>
    </w:p>
    <w:p w14:paraId="10A330DC" w14:textId="77777777" w:rsidR="00B4669C" w:rsidRDefault="00000000">
      <w:pPr>
        <w:pStyle w:val="List3"/>
      </w:pPr>
      <w:r>
        <w:t>c.</w:t>
      </w:r>
      <w:r>
        <w:tab/>
        <w:t xml:space="preserve">Membrane structures, tents or canopies shall have a permanently affixed label bearing the identification of size and fabric or material type. The label shall have date the fabric was last treated with flame-retardant solution. 2015 NFPA 101 Life Safety Code, Section 11.11.2 Flame Resistance. </w:t>
      </w:r>
    </w:p>
    <w:p w14:paraId="5F961EB1" w14:textId="77777777" w:rsidR="00B4669C" w:rsidRDefault="00000000">
      <w:pPr>
        <w:pStyle w:val="List2"/>
      </w:pPr>
      <w:r>
        <w:t>(23)</w:t>
      </w:r>
      <w:r>
        <w:tab/>
        <w:t xml:space="preserve">Certificate of Safety: All mobile food service establishments with a GWR of 8000 pounds or greater shall maintain a current Certificate of Safety as issued by the Illinois Department of Transportation in accordance with state law (625 ILCS5). </w:t>
      </w:r>
    </w:p>
    <w:p w14:paraId="1D24640A" w14:textId="77777777" w:rsidR="00B4669C" w:rsidRDefault="00000000">
      <w:pPr>
        <w:pStyle w:val="HistoryNote"/>
      </w:pPr>
      <w:r>
        <w:t>(Ord. No. 15-2018 , § 4, 3-6-2018)</w:t>
      </w:r>
    </w:p>
    <w:p w14:paraId="181E9127" w14:textId="77777777" w:rsidR="00B4669C" w:rsidRDefault="00B4669C">
      <w:pPr>
        <w:spacing w:before="0" w:after="0"/>
        <w:sectPr w:rsidR="00B4669C">
          <w:headerReference w:type="default" r:id="rId13"/>
          <w:footerReference w:type="default" r:id="rId14"/>
          <w:type w:val="continuous"/>
          <w:pgSz w:w="12240" w:h="15840"/>
          <w:pgMar w:top="1440" w:right="1440" w:bottom="1440" w:left="1440" w:header="720" w:footer="720" w:gutter="0"/>
          <w:cols w:space="720"/>
        </w:sectPr>
      </w:pPr>
    </w:p>
    <w:p w14:paraId="67B33D83" w14:textId="77777777" w:rsidR="00B4669C" w:rsidRDefault="00000000">
      <w:pPr>
        <w:pStyle w:val="Section"/>
      </w:pPr>
      <w:r>
        <w:t>Sec. 15-124. Mobile food service vendor permit suspension or revocation.</w:t>
      </w:r>
    </w:p>
    <w:p w14:paraId="624BBB35" w14:textId="77777777" w:rsidR="00B4669C" w:rsidRDefault="00000000">
      <w:pPr>
        <w:pStyle w:val="List1"/>
      </w:pPr>
      <w:r>
        <w:t>(a)</w:t>
      </w:r>
      <w:r>
        <w:tab/>
        <w:t xml:space="preserve">The City of Effingham, Illinois, Fire Prevention Bureau and/or designee, may revoke or suspend any mobile food service vendor permit issued by the City if the City of Effingham, Illinois, Fire Prevention Bureau and/or designee determines that the permitee has violated any of the provisions of this article. No such mobile food service vendor permit shall be so revoked or suspended except after a public hearing by the City of Effingham, Illinois, Fire Prevention Bureau and/or designee and written notice to the Permitee affording such permitee an opportunity to appear and defend. All such proceedings shall be instituted by a written citation. Said citation shall state the particular provision, rule, or regulation alleged to have been violated and shall be signed by the City of Effingham, Illinois, Fire Prevention Bureau and/or designee. Said citation and a notice of hearing shall be served on the permitee named therein, not less than three (3) calendar days prior to the date specified in the notice of hearing. Service of the citation and notice of hearing on the agent or employee of the permitee shall constitute service on said permitee. If the permitee's whereabouts are unknown or reasonable attempts to serve the permitee have failed, service shall be by publication in a newspaper of general circulation within the City of Effingham. Said permitee named in the citation and notice of hearing shall appear at the time and place designed in said citation and notice of hearing. </w:t>
      </w:r>
    </w:p>
    <w:p w14:paraId="0E59BA52" w14:textId="77777777" w:rsidR="00B4669C" w:rsidRDefault="00000000">
      <w:pPr>
        <w:pStyle w:val="List1"/>
      </w:pPr>
      <w:r>
        <w:t>(b)</w:t>
      </w:r>
      <w:r>
        <w:tab/>
        <w:t xml:space="preserve">The hearing shall be conducted under the rules issued by the City of Effingham, Illinois, Fire Prevention Bureau and/or designee. Such rules shall be consistent with the nature of the proceedings and shall ensure that each party may present evidence, cross-examine witnesses, and be represented by legal counsel. All such hearings shall be open to the public and the City of Effingham, Illinois, Fire Prevention Bureau and/or designee shall reduce all evidence to writing and shall maintain an official record of the proceedings. </w:t>
      </w:r>
    </w:p>
    <w:p w14:paraId="234D9C01" w14:textId="77777777" w:rsidR="00B4669C" w:rsidRDefault="00000000">
      <w:pPr>
        <w:pStyle w:val="List1"/>
      </w:pPr>
      <w:r>
        <w:t>(c)</w:t>
      </w:r>
      <w:r>
        <w:tab/>
        <w:t xml:space="preserve">The City of Effingham, Illinois, Fire Prevention Bureau and/or designee, within five (5) calendar days after such hearing, if he determines after such hearing that the mobile food service vendor permit should be suspended or revoked, shall state the reason or reasons for such determination in a written order, and either the period of suspension for a mobile food service vendor permit, or that the mobile food service vendor permit has been revoked. The period of the suspension or the declaration of revocation, and all costs shall be clearly set forth in said written order. All costs of the public hearing incurred by the City shall be charged to the permitee or upon a determination of a violation and the issuance of an order setting forth a suspension, or revocation. A copy of the written order shall be served on the permitee within the five (5) calendar days after the hearing. Service of the written order on the agent or employee of the Permitee shall constitute service on the permitee. If the permitee's whereabouts are unknown or reasonable attempts to serve the permitee have failed, service shall be by publication in a newspaper of general circulation within the City of Effingham. </w:t>
      </w:r>
    </w:p>
    <w:p w14:paraId="73669F63" w14:textId="77777777" w:rsidR="00B4669C" w:rsidRDefault="00000000">
      <w:pPr>
        <w:pStyle w:val="List1"/>
      </w:pPr>
      <w:r>
        <w:t>(d)</w:t>
      </w:r>
      <w:r>
        <w:tab/>
        <w:t xml:space="preserve">Any review of decisions of the City of Effingham, Illinois, Fire Prevention Bureau and/or designee shall be as provided for in Section 5/3-101, et. seq. of the Illinois Code of Civil Procedure. </w:t>
      </w:r>
    </w:p>
    <w:p w14:paraId="42FD8EAD" w14:textId="77777777" w:rsidR="00B4669C" w:rsidRDefault="00000000">
      <w:pPr>
        <w:pStyle w:val="List1"/>
      </w:pPr>
      <w:r>
        <w:t>(e)</w:t>
      </w:r>
      <w:r>
        <w:tab/>
        <w:t xml:space="preserve">Temporary emergency suspension. Notwithstanding anything contained in this article to the contrary, at any time, for the purposes of preserving the peace; protecting the safety of the public; or abating any imminent, continuing public nuisance, the City of Effingham, Illinois, Fire Prevention Bureau and/or designee, City of Effingham, Illinois, Fire Prevention Bureau and/or designee may then issue a temporary emergency suspension of that mobile food service vendor permit, but in no case shall such temporary emergency suspension exceed twenty-four (24) hours from the time of its issuance, except as allowed by law or local ordinance. </w:t>
      </w:r>
    </w:p>
    <w:p w14:paraId="14576A7A" w14:textId="77777777" w:rsidR="00B4669C" w:rsidRDefault="00000000">
      <w:pPr>
        <w:pStyle w:val="HistoryNote"/>
      </w:pPr>
      <w:r>
        <w:t>(Ord. No. 15-2018 , § 5, 3-6-2018)</w:t>
      </w:r>
    </w:p>
    <w:p w14:paraId="789C85CF" w14:textId="77777777" w:rsidR="00B4669C" w:rsidRDefault="00B4669C">
      <w:pPr>
        <w:spacing w:before="0" w:after="0"/>
        <w:sectPr w:rsidR="00B4669C">
          <w:headerReference w:type="default" r:id="rId15"/>
          <w:footerReference w:type="default" r:id="rId16"/>
          <w:type w:val="continuous"/>
          <w:pgSz w:w="12240" w:h="15840"/>
          <w:pgMar w:top="1440" w:right="1440" w:bottom="1440" w:left="1440" w:header="720" w:footer="720" w:gutter="0"/>
          <w:cols w:space="720"/>
        </w:sectPr>
      </w:pPr>
    </w:p>
    <w:p w14:paraId="27C65EF2" w14:textId="77777777" w:rsidR="00B4669C" w:rsidRDefault="00000000">
      <w:pPr>
        <w:pStyle w:val="Section"/>
      </w:pPr>
      <w:r>
        <w:t>Sec. 15-125. Penalties.</w:t>
      </w:r>
    </w:p>
    <w:p w14:paraId="0035306D" w14:textId="77777777" w:rsidR="00B4669C" w:rsidRDefault="00000000">
      <w:pPr>
        <w:pStyle w:val="List1"/>
      </w:pPr>
      <w:r>
        <w:t>(a)</w:t>
      </w:r>
      <w:r>
        <w:tab/>
        <w:t xml:space="preserve">Pursuant to 65 ILCS 5/1-2-1, any Person violating, disobeying, omitting, neglecting, or refusing to comply with or unlawfully resisting or opposing the enforcement of any of the provisions of this article shall, upon conviction thereof, be deemed guilty of a civil ordinance violation and shall be fined not less than two hundred fifty dollars ($250.00) nor more than seven hundred fifty dollars ($750.00) for each offense. A separate offense shall be deemed to be committed on each day during or on which a violation occurs or continues. </w:t>
      </w:r>
    </w:p>
    <w:p w14:paraId="138F7627" w14:textId="77777777" w:rsidR="00B4669C" w:rsidRDefault="00000000">
      <w:pPr>
        <w:pStyle w:val="List1"/>
      </w:pPr>
      <w:r>
        <w:t>(b)</w:t>
      </w:r>
      <w:r>
        <w:tab/>
        <w:t xml:space="preserve">Every act or omission of whatsoever nature constituting a violation of any provision of this article, by any officer, director, manager or other agent or employee of any holder of a mobile food service vendor permit or any person subject to the provisions of this article, shall be deemed and held to be the act of such employer or holder of a mobile food service vendor permit and the employer or holder of a mobile food service vendor permit shall be punishable in the same manner as if the act or omission had been done or omitted by him personally. </w:t>
      </w:r>
    </w:p>
    <w:p w14:paraId="01B484A0" w14:textId="77777777" w:rsidR="00B4669C" w:rsidRDefault="00000000">
      <w:pPr>
        <w:pStyle w:val="List1"/>
      </w:pPr>
      <w:r>
        <w:t>(c)</w:t>
      </w:r>
      <w:r>
        <w:tab/>
        <w:t xml:space="preserve">For violations of this article, the penalty provided in subsection (a) of this section is in addition to, not in lieu of, any administrative action taken by the City of Effingham, Illinois, Fire Prevention Bureau and/or designee as contained within section 15-124 of this article. </w:t>
      </w:r>
    </w:p>
    <w:p w14:paraId="0550906D" w14:textId="77777777" w:rsidR="00B4669C" w:rsidRDefault="00000000">
      <w:pPr>
        <w:pStyle w:val="HistoryNote"/>
      </w:pPr>
      <w:r>
        <w:t>(Ord. No. 15-2018 , § 6, 3-6-2018)</w:t>
      </w:r>
    </w:p>
    <w:p w14:paraId="7EC16844" w14:textId="77777777" w:rsidR="00B4669C" w:rsidRDefault="00B4669C">
      <w:pPr>
        <w:spacing w:before="0" w:after="0"/>
      </w:pPr>
    </w:p>
    <w:sectPr w:rsidR="00B4669C">
      <w:headerReference w:type="default" r:id="rId17"/>
      <w:footerReference w:type="default" r:id="rId1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71CC" w14:textId="77777777" w:rsidR="00932EF9" w:rsidRDefault="00932EF9">
      <w:pPr>
        <w:spacing w:before="0" w:after="0"/>
      </w:pPr>
      <w:r>
        <w:separator/>
      </w:r>
    </w:p>
  </w:endnote>
  <w:endnote w:type="continuationSeparator" w:id="0">
    <w:p w14:paraId="1FFD6E55" w14:textId="77777777" w:rsidR="00932EF9" w:rsidRDefault="00932E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F41" w14:textId="77777777" w:rsidR="00B4669C" w:rsidRDefault="00B4669C">
    <w:pPr>
      <w:pStyle w:val="FooterCenter"/>
      <w:pBdr>
        <w:bottom w:val="single" w:sz="4" w:space="0" w:color="auto"/>
      </w:pBdr>
    </w:pPr>
  </w:p>
  <w:p w14:paraId="4DBCBDF2" w14:textId="77777777" w:rsidR="00B4669C" w:rsidRDefault="00000000">
    <w:pPr>
      <w:pStyle w:val="FooterLeft"/>
    </w:pPr>
    <w:r>
      <w:t>Effingham, Illinois, Code of Ordinances</w:t>
    </w:r>
    <w:r>
      <w:tab/>
    </w:r>
    <w:r>
      <w:rPr>
        <w:rFonts w:ascii="Consolas" w:eastAsia="Consolas" w:hAnsi="Consolas" w:cs="Consolas"/>
        <w:sz w:val="12"/>
      </w:rPr>
      <w:t xml:space="preserve">   Created: 2023-01-03 15:19:23 [EST]</w:t>
    </w:r>
  </w:p>
  <w:p w14:paraId="5CCFC2A2" w14:textId="77777777" w:rsidR="00B4669C" w:rsidRDefault="00000000">
    <w:pPr>
      <w:pStyle w:val="FooterLeft"/>
    </w:pPr>
    <w:r>
      <w:t>(Supp. No. 58, Update 2)</w:t>
    </w:r>
  </w:p>
  <w:p w14:paraId="296AA9E7" w14:textId="77777777" w:rsidR="00B4669C" w:rsidRDefault="00000000">
    <w:pPr>
      <w:pStyle w:val="FooterCenter"/>
    </w:pPr>
    <w:r>
      <w:cr/>
      <w:t xml:space="preserve">Page </w:t>
    </w:r>
    <w:r>
      <w:fldChar w:fldCharType="begin"/>
    </w:r>
    <w:r>
      <w:instrText>PAGE \* MERGEFORMAT</w:instrText>
    </w:r>
    <w:r>
      <w:fldChar w:fldCharType="separate"/>
    </w:r>
    <w:r w:rsidR="00972758">
      <w:rPr>
        <w:noProof/>
      </w:rPr>
      <w:t>1</w:t>
    </w:r>
    <w:r>
      <w:fldChar w:fldCharType="end"/>
    </w:r>
    <w:r>
      <w:t xml:space="preserve"> of </w:t>
    </w:r>
    <w:fldSimple w:instr="NUMPAGES \* MERGEFORMAT">
      <w:r w:rsidR="00972758">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34DF" w14:textId="77777777" w:rsidR="00B4669C" w:rsidRDefault="00B4669C">
    <w:pPr>
      <w:pStyle w:val="FooterCenter"/>
      <w:pBdr>
        <w:bottom w:val="single" w:sz="4" w:space="0" w:color="auto"/>
      </w:pBdr>
    </w:pPr>
  </w:p>
  <w:p w14:paraId="585552E2" w14:textId="77777777" w:rsidR="00B4669C" w:rsidRDefault="00000000">
    <w:pPr>
      <w:pStyle w:val="FooterLeft"/>
    </w:pPr>
    <w:r>
      <w:tab/>
    </w:r>
    <w:r>
      <w:rPr>
        <w:rFonts w:ascii="Consolas" w:eastAsia="Consolas" w:hAnsi="Consolas" w:cs="Consolas"/>
        <w:sz w:val="12"/>
      </w:rPr>
      <w:t xml:space="preserve">   Created: 2023-01-03 15:19:22 [EST]</w:t>
    </w:r>
  </w:p>
  <w:p w14:paraId="5C599C50" w14:textId="77777777" w:rsidR="00B4669C" w:rsidRDefault="00000000">
    <w:pPr>
      <w:pStyle w:val="FooterLeft"/>
    </w:pPr>
    <w:r>
      <w:t>(Supp. No. 58, Update 2)</w:t>
    </w:r>
  </w:p>
  <w:p w14:paraId="74CE9EB2" w14:textId="77777777" w:rsidR="00B4669C"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1D37" w14:textId="77777777" w:rsidR="00B4669C" w:rsidRDefault="00B4669C">
    <w:pPr>
      <w:pStyle w:val="FooterCenter"/>
      <w:pBdr>
        <w:bottom w:val="single" w:sz="4" w:space="0" w:color="auto"/>
      </w:pBdr>
    </w:pPr>
  </w:p>
  <w:p w14:paraId="5C23998D" w14:textId="77777777" w:rsidR="00B4669C" w:rsidRDefault="00000000">
    <w:pPr>
      <w:pStyle w:val="FooterLeft"/>
    </w:pPr>
    <w:r>
      <w:tab/>
    </w:r>
    <w:r>
      <w:rPr>
        <w:rFonts w:ascii="Consolas" w:eastAsia="Consolas" w:hAnsi="Consolas" w:cs="Consolas"/>
        <w:sz w:val="12"/>
      </w:rPr>
      <w:t xml:space="preserve">   Created: 2023-01-03 15:19:22 [EST]</w:t>
    </w:r>
  </w:p>
  <w:p w14:paraId="5CC69681" w14:textId="77777777" w:rsidR="00B4669C" w:rsidRDefault="00000000">
    <w:pPr>
      <w:pStyle w:val="FooterLeft"/>
    </w:pPr>
    <w:r>
      <w:t>(Supp. No. 58, Update 2)</w:t>
    </w:r>
  </w:p>
  <w:p w14:paraId="4988BC5D" w14:textId="77777777" w:rsidR="00B4669C" w:rsidRDefault="00000000">
    <w:pPr>
      <w:pStyle w:val="FooterCenter"/>
    </w:pPr>
    <w:r>
      <w:cr/>
      <w:t xml:space="preserve">Page </w:t>
    </w:r>
    <w:r>
      <w:fldChar w:fldCharType="begin"/>
    </w:r>
    <w:r>
      <w:instrText>PAGE \* MERGEFORMAT</w:instrText>
    </w:r>
    <w:r>
      <w:fldChar w:fldCharType="separate"/>
    </w:r>
    <w:r w:rsidR="00972758">
      <w:rPr>
        <w:noProof/>
      </w:rPr>
      <w:t>2</w:t>
    </w:r>
    <w:r>
      <w:fldChar w:fldCharType="end"/>
    </w:r>
    <w:r>
      <w:t xml:space="preserve"> of </w:t>
    </w:r>
    <w:fldSimple w:instr="NUMPAGES \* MERGEFORMAT">
      <w:r w:rsidR="00972758">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A718" w14:textId="77777777" w:rsidR="00B4669C" w:rsidRDefault="00B4669C">
    <w:pPr>
      <w:pStyle w:val="FooterCenter"/>
      <w:pBdr>
        <w:bottom w:val="single" w:sz="4" w:space="0" w:color="auto"/>
      </w:pBdr>
    </w:pPr>
  </w:p>
  <w:p w14:paraId="0BF3061C" w14:textId="77777777" w:rsidR="00B4669C" w:rsidRDefault="00000000">
    <w:pPr>
      <w:pStyle w:val="FooterLeft"/>
    </w:pPr>
    <w:r>
      <w:tab/>
    </w:r>
    <w:r>
      <w:rPr>
        <w:rFonts w:ascii="Consolas" w:eastAsia="Consolas" w:hAnsi="Consolas" w:cs="Consolas"/>
        <w:sz w:val="12"/>
      </w:rPr>
      <w:t xml:space="preserve">   Created: 2023-01-03 15:19:22 [EST]</w:t>
    </w:r>
  </w:p>
  <w:p w14:paraId="053E111B" w14:textId="77777777" w:rsidR="00B4669C" w:rsidRDefault="00000000">
    <w:pPr>
      <w:pStyle w:val="FooterLeft"/>
    </w:pPr>
    <w:r>
      <w:t>(Supp. No. 58, Update 2)</w:t>
    </w:r>
  </w:p>
  <w:p w14:paraId="3922E8E0" w14:textId="77777777" w:rsidR="00B4669C" w:rsidRDefault="00000000">
    <w:pPr>
      <w:pStyle w:val="FooterCenter"/>
    </w:pPr>
    <w:r>
      <w:cr/>
      <w:t xml:space="preserve">Page </w:t>
    </w:r>
    <w:r>
      <w:fldChar w:fldCharType="begin"/>
    </w:r>
    <w:r>
      <w:instrText>PAGE \* MERGEFORMAT</w:instrText>
    </w:r>
    <w:r>
      <w:fldChar w:fldCharType="separate"/>
    </w:r>
    <w:r w:rsidR="00972758">
      <w:rPr>
        <w:noProof/>
      </w:rPr>
      <w:t>5</w:t>
    </w:r>
    <w:r>
      <w:fldChar w:fldCharType="end"/>
    </w:r>
    <w:r>
      <w:t xml:space="preserve"> of </w:t>
    </w:r>
    <w:fldSimple w:instr="NUMPAGES \* MERGEFORMAT">
      <w:r w:rsidR="00972758">
        <w:rPr>
          <w:noProof/>
        </w:rPr>
        <w:t>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9471" w14:textId="77777777" w:rsidR="00B4669C" w:rsidRDefault="00B4669C">
    <w:pPr>
      <w:pStyle w:val="FooterCenter"/>
      <w:pBdr>
        <w:bottom w:val="single" w:sz="4" w:space="0" w:color="auto"/>
      </w:pBdr>
    </w:pPr>
  </w:p>
  <w:p w14:paraId="3144B008" w14:textId="77777777" w:rsidR="00B4669C" w:rsidRDefault="00000000">
    <w:pPr>
      <w:pStyle w:val="FooterLeft"/>
    </w:pPr>
    <w:r>
      <w:tab/>
    </w:r>
    <w:r>
      <w:rPr>
        <w:rFonts w:ascii="Consolas" w:eastAsia="Consolas" w:hAnsi="Consolas" w:cs="Consolas"/>
        <w:sz w:val="12"/>
      </w:rPr>
      <w:t xml:space="preserve">   Created: 2023-01-03 15:19:23 [EST]</w:t>
    </w:r>
  </w:p>
  <w:p w14:paraId="3321FBD9" w14:textId="77777777" w:rsidR="00B4669C" w:rsidRDefault="00000000">
    <w:pPr>
      <w:pStyle w:val="FooterLeft"/>
    </w:pPr>
    <w:r>
      <w:t>(Supp. No. 58, Update 2)</w:t>
    </w:r>
  </w:p>
  <w:p w14:paraId="39C77E9C" w14:textId="77777777" w:rsidR="00B4669C"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F08D" w14:textId="77777777" w:rsidR="00B4669C" w:rsidRDefault="00B4669C">
    <w:pPr>
      <w:pStyle w:val="FooterCenter"/>
      <w:pBdr>
        <w:bottom w:val="single" w:sz="4" w:space="0" w:color="auto"/>
      </w:pBdr>
    </w:pPr>
  </w:p>
  <w:p w14:paraId="7C35FB24" w14:textId="77777777" w:rsidR="00B4669C" w:rsidRDefault="00000000">
    <w:pPr>
      <w:pStyle w:val="FooterLeft"/>
    </w:pPr>
    <w:r>
      <w:tab/>
    </w:r>
    <w:r>
      <w:rPr>
        <w:rFonts w:ascii="Consolas" w:eastAsia="Consolas" w:hAnsi="Consolas" w:cs="Consolas"/>
        <w:sz w:val="12"/>
      </w:rPr>
      <w:t xml:space="preserve">   Created: 2023-01-03 15:19:23 [EST]</w:t>
    </w:r>
  </w:p>
  <w:p w14:paraId="3DF09930" w14:textId="77777777" w:rsidR="00B4669C" w:rsidRDefault="00000000">
    <w:pPr>
      <w:pStyle w:val="FooterLeft"/>
    </w:pPr>
    <w:r>
      <w:t>(Supp. No. 58, Update 2)</w:t>
    </w:r>
  </w:p>
  <w:p w14:paraId="5231A778" w14:textId="77777777" w:rsidR="00B4669C"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0145" w14:textId="77777777" w:rsidR="00932EF9" w:rsidRDefault="00932EF9">
      <w:r>
        <w:separator/>
      </w:r>
    </w:p>
  </w:footnote>
  <w:footnote w:type="continuationSeparator" w:id="0">
    <w:p w14:paraId="2B0BAFEB" w14:textId="77777777" w:rsidR="00932EF9" w:rsidRDefault="00932EF9">
      <w:r>
        <w:continuationSeparator/>
      </w:r>
    </w:p>
  </w:footnote>
  <w:footnote w:id="1">
    <w:p w14:paraId="617FE873" w14:textId="77777777" w:rsidR="00B4669C" w:rsidRDefault="00000000">
      <w:pPr>
        <w:pStyle w:val="Hang1"/>
      </w:pPr>
      <w:r>
        <w:rPr>
          <w:rStyle w:val="FootnoteReference"/>
        </w:rPr>
        <w:footnoteRef/>
      </w:r>
      <w:r>
        <w:t xml:space="preserve">Editor's note(s)—Ord. No. 15-2018 , §§ 2—6, adopted March 6, 2018, did not expressly amend the Code. At the discretion of the editor, said provisions have been included herein as a new Art. V, §§ 15-121—15-125.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11AC" w14:textId="77777777" w:rsidR="00B4669C" w:rsidRDefault="00000000">
    <w:pPr>
      <w:pStyle w:val="HeaderCenter"/>
    </w:pPr>
    <w:r>
      <w:t>- MUNICIPAL CODE</w:t>
    </w:r>
    <w:r>
      <w:br/>
      <w:t>Chapter 15 - LICENSES, PERMITS AND MISCELLANEOUS BUSINESS REGULATIONS</w:t>
    </w:r>
    <w:r>
      <w:br/>
      <w:t>ARTICLE V. MOBILE FOOD SERVICE ESTABLISHMENTS</w:t>
    </w:r>
    <w:r>
      <w:br/>
    </w:r>
  </w:p>
  <w:p w14:paraId="42C5D617" w14:textId="77777777" w:rsidR="00B4669C" w:rsidRDefault="00B4669C">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A6A6" w14:textId="77777777" w:rsidR="00B4669C" w:rsidRDefault="00B4669C">
    <w:pPr>
      <w:pStyle w:val="HeaderCenter"/>
    </w:pPr>
  </w:p>
  <w:p w14:paraId="57832238" w14:textId="77777777" w:rsidR="00B4669C" w:rsidRDefault="00B4669C">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54C3" w14:textId="77777777" w:rsidR="00B4669C" w:rsidRDefault="00B4669C">
    <w:pPr>
      <w:pStyle w:val="HeaderCenter"/>
    </w:pPr>
  </w:p>
  <w:p w14:paraId="747A5D35" w14:textId="77777777" w:rsidR="00B4669C" w:rsidRDefault="00B4669C">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7D59" w14:textId="77777777" w:rsidR="00B4669C" w:rsidRDefault="00B4669C">
    <w:pPr>
      <w:pStyle w:val="HeaderCenter"/>
    </w:pPr>
  </w:p>
  <w:p w14:paraId="066EB57F" w14:textId="77777777" w:rsidR="00B4669C" w:rsidRDefault="00B4669C">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2535" w14:textId="77777777" w:rsidR="00B4669C" w:rsidRDefault="00B4669C">
    <w:pPr>
      <w:pStyle w:val="HeaderCenter"/>
    </w:pPr>
  </w:p>
  <w:p w14:paraId="12910FBD" w14:textId="77777777" w:rsidR="00B4669C" w:rsidRDefault="00B4669C">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A0E7" w14:textId="77777777" w:rsidR="00B4669C" w:rsidRDefault="00B4669C">
    <w:pPr>
      <w:pStyle w:val="HeaderCenter"/>
    </w:pPr>
  </w:p>
  <w:p w14:paraId="1B9A6735" w14:textId="77777777" w:rsidR="00B4669C" w:rsidRDefault="00B4669C">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6E54EBB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91DADB4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22486FC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2A22B3B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4FF03FA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ACC81B14"/>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B4EEC07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DE3070E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67F234D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C16707"/>
    <w:multiLevelType w:val="multilevel"/>
    <w:tmpl w:val="61545A2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399FE9E6"/>
    <w:multiLevelType w:val="multilevel"/>
    <w:tmpl w:val="1BF8698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5BB3E94F"/>
    <w:multiLevelType w:val="multilevel"/>
    <w:tmpl w:val="4B08033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77CEE6E4"/>
    <w:multiLevelType w:val="multilevel"/>
    <w:tmpl w:val="4FFE4F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793028DF"/>
    <w:multiLevelType w:val="multilevel"/>
    <w:tmpl w:val="B0289BD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7C2CE56C"/>
    <w:multiLevelType w:val="multilevel"/>
    <w:tmpl w:val="48BCA8E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401951895">
    <w:abstractNumId w:val="8"/>
  </w:num>
  <w:num w:numId="2" w16cid:durableId="2046830218">
    <w:abstractNumId w:val="7"/>
  </w:num>
  <w:num w:numId="3" w16cid:durableId="996421390">
    <w:abstractNumId w:val="6"/>
  </w:num>
  <w:num w:numId="4" w16cid:durableId="274019305">
    <w:abstractNumId w:val="5"/>
  </w:num>
  <w:num w:numId="5" w16cid:durableId="278493560">
    <w:abstractNumId w:val="4"/>
  </w:num>
  <w:num w:numId="6" w16cid:durableId="742027554">
    <w:abstractNumId w:val="3"/>
  </w:num>
  <w:num w:numId="7" w16cid:durableId="1877237502">
    <w:abstractNumId w:val="2"/>
  </w:num>
  <w:num w:numId="8" w16cid:durableId="365912014">
    <w:abstractNumId w:val="1"/>
  </w:num>
  <w:num w:numId="9" w16cid:durableId="131825564">
    <w:abstractNumId w:val="0"/>
  </w:num>
  <w:num w:numId="10" w16cid:durableId="1649548727">
    <w:abstractNumId w:val="10"/>
  </w:num>
  <w:num w:numId="11" w16cid:durableId="830369984">
    <w:abstractNumId w:val="14"/>
  </w:num>
  <w:num w:numId="12" w16cid:durableId="186599021">
    <w:abstractNumId w:val="9"/>
  </w:num>
  <w:num w:numId="13" w16cid:durableId="469981084">
    <w:abstractNumId w:val="11"/>
  </w:num>
  <w:num w:numId="14" w16cid:durableId="974338678">
    <w:abstractNumId w:val="12"/>
  </w:num>
  <w:num w:numId="15" w16cid:durableId="1544560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9C"/>
    <w:rsid w:val="00932EF9"/>
    <w:rsid w:val="00972758"/>
    <w:rsid w:val="00B4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6E03"/>
  <w15:docId w15:val="{8F3662D5-93EC-4F04-BE03-B1D0B490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ad0e9fa1-f26e-4d5a-b5c3-b5b8ed02700e">
    <w:name w:val="Normal Table_ad0e9fa1-f26e-4d5a-b5c3-b5b8ed02700e"/>
    <w:uiPriority w:val="99"/>
    <w:semiHidden/>
    <w:unhideWhenUsed/>
    <w:tblPr>
      <w:tblInd w:w="0" w:type="dxa"/>
      <w:tblCellMar>
        <w:top w:w="0" w:type="dxa"/>
        <w:left w:w="108" w:type="dxa"/>
        <w:bottom w:w="0" w:type="dxa"/>
        <w:right w:w="108" w:type="dxa"/>
      </w:tblCellMar>
    </w:tblPr>
  </w:style>
  <w:style w:type="table" w:styleId="TableGrid">
    <w:name w:val="Table Grid"/>
    <w:basedOn w:val="NormalTablead0e9fa1-f26e-4d5a-b5c3-b5b8ed02700e"/>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31e0788f-29b3-418d-a783-5e2aeebcee1b">
    <w:name w:val="Normal Table_31e0788f-29b3-418d-a783-5e2aeebcee1b"/>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31e0788f-29b3-418d-a783-5e2aeebcee1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0984df39-411d-46ed-86e4-13b43eb0591a">
    <w:name w:val="Normal Table_0984df39-411d-46ed-86e4-13b43eb0591a"/>
    <w:uiPriority w:val="99"/>
    <w:semiHidden/>
    <w:unhideWhenUsed/>
    <w:tblPr>
      <w:tblInd w:w="0" w:type="dxa"/>
      <w:tblCellMar>
        <w:top w:w="0" w:type="dxa"/>
        <w:left w:w="108" w:type="dxa"/>
        <w:bottom w:w="0" w:type="dxa"/>
        <w:right w:w="108" w:type="dxa"/>
      </w:tblCellMar>
    </w:tblPr>
  </w:style>
  <w:style w:type="table" w:customStyle="1" w:styleId="Table1421c284c-eed7-461f-815b-b782bc3c44ad">
    <w:name w:val="Table 1_421c284c-eed7-461f-815b-b782bc3c44ad"/>
    <w:basedOn w:val="NormalTable0984df39-411d-46ed-86e4-13b43eb0591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421c284c-eed7-461f-815b-b782bc3c44ad"/>
    <w:uiPriority w:val="99"/>
    <w:tblPr>
      <w:tblInd w:w="590" w:type="dxa"/>
    </w:tblPr>
    <w:tcPr>
      <w:shd w:val="clear" w:color="auto" w:fill="auto"/>
    </w:tcPr>
  </w:style>
  <w:style w:type="table" w:customStyle="1" w:styleId="NormalTable79ee384e-8972-4e61-a855-7d5de1a5b6be">
    <w:name w:val="Normal Table_79ee384e-8972-4e61-a855-7d5de1a5b6be"/>
    <w:uiPriority w:val="99"/>
    <w:semiHidden/>
    <w:unhideWhenUsed/>
    <w:tblPr>
      <w:tblInd w:w="0" w:type="dxa"/>
      <w:tblCellMar>
        <w:top w:w="0" w:type="dxa"/>
        <w:left w:w="108" w:type="dxa"/>
        <w:bottom w:w="0" w:type="dxa"/>
        <w:right w:w="108" w:type="dxa"/>
      </w:tblCellMar>
    </w:tblPr>
  </w:style>
  <w:style w:type="table" w:customStyle="1" w:styleId="Table16b1f553b-d4f5-4915-83ea-207d662c649e">
    <w:name w:val="Table 1_6b1f553b-d4f5-4915-83ea-207d662c649e"/>
    <w:basedOn w:val="NormalTable79ee384e-8972-4e61-a855-7d5de1a5b6b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b387b52-d128-4267-97e8-87acd8f2335c">
    <w:name w:val="Table 2_bb387b52-d128-4267-97e8-87acd8f2335c"/>
    <w:basedOn w:val="Table16b1f553b-d4f5-4915-83ea-207d662c649e"/>
    <w:uiPriority w:val="99"/>
    <w:tblPr>
      <w:tblInd w:w="590" w:type="dxa"/>
    </w:tblPr>
    <w:tcPr>
      <w:shd w:val="clear" w:color="auto" w:fill="auto"/>
    </w:tcPr>
  </w:style>
  <w:style w:type="table" w:customStyle="1" w:styleId="Table3">
    <w:name w:val="Table 3"/>
    <w:basedOn w:val="Table2bb387b52-d128-4267-97e8-87acd8f2335c"/>
    <w:uiPriority w:val="99"/>
    <w:tblPr>
      <w:tblInd w:w="1066" w:type="dxa"/>
    </w:tblPr>
    <w:tcPr>
      <w:shd w:val="clear" w:color="auto" w:fill="auto"/>
    </w:tcPr>
  </w:style>
  <w:style w:type="table" w:customStyle="1" w:styleId="NormalTable73498f9a-945f-4fa3-b8eb-d2e5ceec89c2">
    <w:name w:val="Normal Table_73498f9a-945f-4fa3-b8eb-d2e5ceec89c2"/>
    <w:uiPriority w:val="99"/>
    <w:semiHidden/>
    <w:unhideWhenUsed/>
    <w:tblPr>
      <w:tblInd w:w="0" w:type="dxa"/>
      <w:tblCellMar>
        <w:top w:w="0" w:type="dxa"/>
        <w:left w:w="108" w:type="dxa"/>
        <w:bottom w:w="0" w:type="dxa"/>
        <w:right w:w="108" w:type="dxa"/>
      </w:tblCellMar>
    </w:tblPr>
  </w:style>
  <w:style w:type="table" w:customStyle="1" w:styleId="Table12006e9d5-6b93-488b-906c-4d3656c64ddd">
    <w:name w:val="Table 1_2006e9d5-6b93-488b-906c-4d3656c64ddd"/>
    <w:basedOn w:val="NormalTable73498f9a-945f-4fa3-b8eb-d2e5ceec89c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16cfad8-84b2-42c2-8506-23541b755c10">
    <w:name w:val="Table 2_916cfad8-84b2-42c2-8506-23541b755c10"/>
    <w:basedOn w:val="Table12006e9d5-6b93-488b-906c-4d3656c64ddd"/>
    <w:uiPriority w:val="99"/>
    <w:tblPr>
      <w:tblInd w:w="590" w:type="dxa"/>
    </w:tblPr>
    <w:tcPr>
      <w:shd w:val="clear" w:color="auto" w:fill="auto"/>
    </w:tcPr>
  </w:style>
  <w:style w:type="table" w:customStyle="1" w:styleId="Table368bc1f47-6c5b-4840-9ccd-47cabdfd8709">
    <w:name w:val="Table 3_68bc1f47-6c5b-4840-9ccd-47cabdfd8709"/>
    <w:basedOn w:val="Table2916cfad8-84b2-42c2-8506-23541b755c10"/>
    <w:uiPriority w:val="99"/>
    <w:tblPr>
      <w:tblInd w:w="1066" w:type="dxa"/>
    </w:tblPr>
    <w:tcPr>
      <w:shd w:val="clear" w:color="auto" w:fill="auto"/>
    </w:tcPr>
  </w:style>
  <w:style w:type="table" w:customStyle="1" w:styleId="Table4">
    <w:name w:val="Table 4"/>
    <w:basedOn w:val="Table368bc1f47-6c5b-4840-9ccd-47cabdfd8709"/>
    <w:uiPriority w:val="99"/>
    <w:tblPr>
      <w:tblInd w:w="1555" w:type="dxa"/>
    </w:tblPr>
    <w:tcPr>
      <w:shd w:val="clear" w:color="auto" w:fill="auto"/>
    </w:tcPr>
  </w:style>
  <w:style w:type="table" w:customStyle="1" w:styleId="NormalTable40e42ebf-c9e1-4102-a03d-6a2c2e66c44d">
    <w:name w:val="Normal Table_40e42ebf-c9e1-4102-a03d-6a2c2e66c44d"/>
    <w:uiPriority w:val="99"/>
    <w:semiHidden/>
    <w:unhideWhenUsed/>
    <w:tblPr>
      <w:tblInd w:w="0" w:type="dxa"/>
      <w:tblCellMar>
        <w:top w:w="0" w:type="dxa"/>
        <w:left w:w="108" w:type="dxa"/>
        <w:bottom w:w="0" w:type="dxa"/>
        <w:right w:w="108" w:type="dxa"/>
      </w:tblCellMar>
    </w:tblPr>
  </w:style>
  <w:style w:type="table" w:customStyle="1" w:styleId="Table1e21249ee-aa4d-46a0-af8c-b50b30c53573">
    <w:name w:val="Table 1_e21249ee-aa4d-46a0-af8c-b50b30c53573"/>
    <w:basedOn w:val="NormalTable40e42ebf-c9e1-4102-a03d-6a2c2e66c44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300ab58-9390-4421-98e2-63613d595977">
    <w:name w:val="Table 2_b300ab58-9390-4421-98e2-63613d595977"/>
    <w:basedOn w:val="Table1e21249ee-aa4d-46a0-af8c-b50b30c53573"/>
    <w:uiPriority w:val="99"/>
    <w:tblPr>
      <w:tblInd w:w="590" w:type="dxa"/>
    </w:tblPr>
    <w:tcPr>
      <w:shd w:val="clear" w:color="auto" w:fill="auto"/>
    </w:tcPr>
  </w:style>
  <w:style w:type="table" w:customStyle="1" w:styleId="Table3a0137f9d-a414-460e-a1c2-dca51fb4d162">
    <w:name w:val="Table 3_a0137f9d-a414-460e-a1c2-dca51fb4d162"/>
    <w:basedOn w:val="Table2b300ab58-9390-4421-98e2-63613d595977"/>
    <w:uiPriority w:val="99"/>
    <w:tblPr>
      <w:tblInd w:w="1066" w:type="dxa"/>
    </w:tblPr>
    <w:tcPr>
      <w:shd w:val="clear" w:color="auto" w:fill="auto"/>
    </w:tcPr>
  </w:style>
  <w:style w:type="table" w:customStyle="1" w:styleId="Table40756f250-1fd7-42e0-b77f-4a82d32487e2">
    <w:name w:val="Table 4_0756f250-1fd7-42e0-b77f-4a82d32487e2"/>
    <w:basedOn w:val="Table3a0137f9d-a414-460e-a1c2-dca51fb4d162"/>
    <w:uiPriority w:val="99"/>
    <w:tblPr>
      <w:tblInd w:w="1555" w:type="dxa"/>
    </w:tblPr>
    <w:tcPr>
      <w:shd w:val="clear" w:color="auto" w:fill="auto"/>
    </w:tcPr>
  </w:style>
  <w:style w:type="table" w:customStyle="1" w:styleId="Table5">
    <w:name w:val="Table 5"/>
    <w:basedOn w:val="Table40756f250-1fd7-42e0-b77f-4a82d32487e2"/>
    <w:uiPriority w:val="99"/>
    <w:tblPr>
      <w:tblInd w:w="2030" w:type="dxa"/>
    </w:tblPr>
    <w:tcPr>
      <w:shd w:val="clear" w:color="auto" w:fill="auto"/>
    </w:tcPr>
  </w:style>
  <w:style w:type="table" w:customStyle="1" w:styleId="NormalTable68364d64-c5a6-4d7a-82e2-07c96f1f9e54">
    <w:name w:val="Normal Table_68364d64-c5a6-4d7a-82e2-07c96f1f9e54"/>
    <w:uiPriority w:val="99"/>
    <w:semiHidden/>
    <w:unhideWhenUsed/>
    <w:tblPr>
      <w:tblInd w:w="0" w:type="dxa"/>
      <w:tblCellMar>
        <w:top w:w="0" w:type="dxa"/>
        <w:left w:w="108" w:type="dxa"/>
        <w:bottom w:w="0" w:type="dxa"/>
        <w:right w:w="108" w:type="dxa"/>
      </w:tblCellMar>
    </w:tblPr>
  </w:style>
  <w:style w:type="table" w:customStyle="1" w:styleId="Table14af82140-1f83-4e7f-863c-00fd8b3ed0a1">
    <w:name w:val="Table 1_4af82140-1f83-4e7f-863c-00fd8b3ed0a1"/>
    <w:basedOn w:val="NormalTable68364d64-c5a6-4d7a-82e2-07c96f1f9e5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80aecde-1d27-4de7-8c80-88e9f81a6e90">
    <w:name w:val="Table 2_680aecde-1d27-4de7-8c80-88e9f81a6e90"/>
    <w:basedOn w:val="Table14af82140-1f83-4e7f-863c-00fd8b3ed0a1"/>
    <w:uiPriority w:val="99"/>
    <w:tblPr>
      <w:tblInd w:w="590" w:type="dxa"/>
    </w:tblPr>
    <w:tcPr>
      <w:shd w:val="clear" w:color="auto" w:fill="auto"/>
    </w:tcPr>
  </w:style>
  <w:style w:type="table" w:customStyle="1" w:styleId="Table31257ab9d-944c-49a5-8aa6-d5da5031c1d3">
    <w:name w:val="Table 3_1257ab9d-944c-49a5-8aa6-d5da5031c1d3"/>
    <w:basedOn w:val="Table2680aecde-1d27-4de7-8c80-88e9f81a6e90"/>
    <w:uiPriority w:val="99"/>
    <w:tblPr>
      <w:tblInd w:w="1066" w:type="dxa"/>
    </w:tblPr>
    <w:tcPr>
      <w:shd w:val="clear" w:color="auto" w:fill="auto"/>
    </w:tcPr>
  </w:style>
  <w:style w:type="table" w:customStyle="1" w:styleId="Table4a5981e27-8553-41b2-8728-4e167b9f8911">
    <w:name w:val="Table 4_a5981e27-8553-41b2-8728-4e167b9f8911"/>
    <w:basedOn w:val="Table31257ab9d-944c-49a5-8aa6-d5da5031c1d3"/>
    <w:uiPriority w:val="99"/>
    <w:tblPr>
      <w:tblInd w:w="1555" w:type="dxa"/>
    </w:tblPr>
    <w:tcPr>
      <w:shd w:val="clear" w:color="auto" w:fill="auto"/>
    </w:tcPr>
  </w:style>
  <w:style w:type="table" w:customStyle="1" w:styleId="Table5d25035f2-903b-4569-ad4e-1a415e7ba55d">
    <w:name w:val="Table 5_d25035f2-903b-4569-ad4e-1a415e7ba55d"/>
    <w:basedOn w:val="Table4a5981e27-8553-41b2-8728-4e167b9f8911"/>
    <w:uiPriority w:val="99"/>
    <w:tblPr>
      <w:tblInd w:w="2030" w:type="dxa"/>
    </w:tblPr>
    <w:tcPr>
      <w:shd w:val="clear" w:color="auto" w:fill="auto"/>
    </w:tcPr>
  </w:style>
  <w:style w:type="table" w:customStyle="1" w:styleId="Table6">
    <w:name w:val="Table 6"/>
    <w:basedOn w:val="Table5d25035f2-903b-4569-ad4e-1a415e7ba55d"/>
    <w:uiPriority w:val="99"/>
    <w:tblPr>
      <w:tblInd w:w="2506" w:type="dxa"/>
      <w:tblCellMar>
        <w:left w:w="115" w:type="dxa"/>
        <w:right w:w="115" w:type="dxa"/>
      </w:tblCellMar>
    </w:tblPr>
    <w:tcPr>
      <w:shd w:val="clear" w:color="auto" w:fill="auto"/>
    </w:tcPr>
  </w:style>
  <w:style w:type="table" w:customStyle="1" w:styleId="NormalTablede55ec98-f844-4aec-bd1f-205984bcdcec">
    <w:name w:val="Normal Table_de55ec98-f844-4aec-bd1f-205984bcdcec"/>
    <w:uiPriority w:val="99"/>
    <w:semiHidden/>
    <w:unhideWhenUsed/>
    <w:tblPr>
      <w:tblInd w:w="0" w:type="dxa"/>
      <w:tblCellMar>
        <w:top w:w="0" w:type="dxa"/>
        <w:left w:w="108" w:type="dxa"/>
        <w:bottom w:w="0" w:type="dxa"/>
        <w:right w:w="108" w:type="dxa"/>
      </w:tblCellMar>
    </w:tblPr>
  </w:style>
  <w:style w:type="table" w:customStyle="1" w:styleId="Table1b9604202-c987-441a-bb8c-c0405de45a63">
    <w:name w:val="Table 1_b9604202-c987-441a-bb8c-c0405de45a63"/>
    <w:basedOn w:val="NormalTablede55ec98-f844-4aec-bd1f-205984bcdce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9ce7a7a-0f8b-47bf-a9ad-5192ec53a776">
    <w:name w:val="Table 2_39ce7a7a-0f8b-47bf-a9ad-5192ec53a776"/>
    <w:basedOn w:val="Table1b9604202-c987-441a-bb8c-c0405de45a63"/>
    <w:uiPriority w:val="99"/>
    <w:tblPr>
      <w:tblInd w:w="590" w:type="dxa"/>
    </w:tblPr>
    <w:tcPr>
      <w:shd w:val="clear" w:color="auto" w:fill="auto"/>
    </w:tcPr>
  </w:style>
  <w:style w:type="table" w:customStyle="1" w:styleId="Table3dc9ffda6-1e80-4caa-90e6-cec8d147af54">
    <w:name w:val="Table 3_dc9ffda6-1e80-4caa-90e6-cec8d147af54"/>
    <w:basedOn w:val="Table239ce7a7a-0f8b-47bf-a9ad-5192ec53a776"/>
    <w:uiPriority w:val="99"/>
    <w:tblPr>
      <w:tblInd w:w="1066" w:type="dxa"/>
    </w:tblPr>
    <w:tcPr>
      <w:shd w:val="clear" w:color="auto" w:fill="auto"/>
    </w:tcPr>
  </w:style>
  <w:style w:type="table" w:customStyle="1" w:styleId="Table4b594eab8-64d1-4333-82b3-86dbcb16abe5">
    <w:name w:val="Table 4_b594eab8-64d1-4333-82b3-86dbcb16abe5"/>
    <w:basedOn w:val="Table3dc9ffda6-1e80-4caa-90e6-cec8d147af54"/>
    <w:uiPriority w:val="99"/>
    <w:tblPr>
      <w:tblInd w:w="1555" w:type="dxa"/>
    </w:tblPr>
    <w:tcPr>
      <w:shd w:val="clear" w:color="auto" w:fill="auto"/>
    </w:tcPr>
  </w:style>
  <w:style w:type="table" w:customStyle="1" w:styleId="Table537da719f-9d2f-4ae8-a169-2bbab99ca313">
    <w:name w:val="Table 5_37da719f-9d2f-4ae8-a169-2bbab99ca313"/>
    <w:basedOn w:val="Table4b594eab8-64d1-4333-82b3-86dbcb16abe5"/>
    <w:uiPriority w:val="99"/>
    <w:tblPr>
      <w:tblInd w:w="2030" w:type="dxa"/>
    </w:tblPr>
    <w:tcPr>
      <w:shd w:val="clear" w:color="auto" w:fill="auto"/>
    </w:tcPr>
  </w:style>
  <w:style w:type="table" w:customStyle="1" w:styleId="Table659f3899c-a2e1-431b-8e87-910771cb072e">
    <w:name w:val="Table 6_59f3899c-a2e1-431b-8e87-910771cb072e"/>
    <w:basedOn w:val="Table537da719f-9d2f-4ae8-a169-2bbab99ca313"/>
    <w:uiPriority w:val="99"/>
    <w:tblPr>
      <w:tblInd w:w="2506" w:type="dxa"/>
      <w:tblCellMar>
        <w:left w:w="115" w:type="dxa"/>
        <w:right w:w="115" w:type="dxa"/>
      </w:tblCellMar>
    </w:tblPr>
    <w:tcPr>
      <w:shd w:val="clear" w:color="auto" w:fill="auto"/>
    </w:tcPr>
  </w:style>
  <w:style w:type="table" w:customStyle="1" w:styleId="Table7">
    <w:name w:val="Table 7"/>
    <w:basedOn w:val="Table659f3899c-a2e1-431b-8e87-910771cb072e"/>
    <w:uiPriority w:val="99"/>
    <w:tblPr>
      <w:tblInd w:w="2995" w:type="dxa"/>
    </w:tblPr>
    <w:tcPr>
      <w:shd w:val="clear" w:color="auto" w:fill="auto"/>
    </w:tcPr>
  </w:style>
  <w:style w:type="table" w:customStyle="1" w:styleId="NormalTablecefb1a8b-f493-4158-a1f9-157cf79011b6">
    <w:name w:val="Normal Table_cefb1a8b-f493-4158-a1f9-157cf79011b6"/>
    <w:uiPriority w:val="99"/>
    <w:semiHidden/>
    <w:unhideWhenUsed/>
    <w:tblPr>
      <w:tblInd w:w="0" w:type="dxa"/>
      <w:tblCellMar>
        <w:top w:w="0" w:type="dxa"/>
        <w:left w:w="108" w:type="dxa"/>
        <w:bottom w:w="0" w:type="dxa"/>
        <w:right w:w="108" w:type="dxa"/>
      </w:tblCellMar>
    </w:tblPr>
  </w:style>
  <w:style w:type="table" w:customStyle="1" w:styleId="Table191516c14-1a77-41e1-a7b1-45b54bb7f20c">
    <w:name w:val="Table 1_91516c14-1a77-41e1-a7b1-45b54bb7f20c"/>
    <w:basedOn w:val="NormalTablecefb1a8b-f493-4158-a1f9-157cf79011b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933cc60-508c-4de5-8014-76258bdaaccb">
    <w:name w:val="Table 2_a933cc60-508c-4de5-8014-76258bdaaccb"/>
    <w:basedOn w:val="Table191516c14-1a77-41e1-a7b1-45b54bb7f20c"/>
    <w:uiPriority w:val="99"/>
    <w:tblPr>
      <w:tblInd w:w="590" w:type="dxa"/>
    </w:tblPr>
    <w:tcPr>
      <w:shd w:val="clear" w:color="auto" w:fill="auto"/>
    </w:tcPr>
  </w:style>
  <w:style w:type="table" w:customStyle="1" w:styleId="Table31f11a318-b076-4b9d-a89b-fe577566eb50">
    <w:name w:val="Table 3_1f11a318-b076-4b9d-a89b-fe577566eb50"/>
    <w:basedOn w:val="Table2a933cc60-508c-4de5-8014-76258bdaaccb"/>
    <w:uiPriority w:val="99"/>
    <w:tblPr>
      <w:tblInd w:w="1066" w:type="dxa"/>
    </w:tblPr>
    <w:tcPr>
      <w:shd w:val="clear" w:color="auto" w:fill="auto"/>
    </w:tcPr>
  </w:style>
  <w:style w:type="table" w:customStyle="1" w:styleId="Table4c0cbedf9-231a-4d12-b037-610b2b83f442">
    <w:name w:val="Table 4_c0cbedf9-231a-4d12-b037-610b2b83f442"/>
    <w:basedOn w:val="Table31f11a318-b076-4b9d-a89b-fe577566eb50"/>
    <w:uiPriority w:val="99"/>
    <w:tblPr>
      <w:tblInd w:w="1555" w:type="dxa"/>
    </w:tblPr>
    <w:tcPr>
      <w:shd w:val="clear" w:color="auto" w:fill="auto"/>
    </w:tcPr>
  </w:style>
  <w:style w:type="table" w:customStyle="1" w:styleId="Table5795f5459-6fdc-4b8c-9a39-cb863adddf83">
    <w:name w:val="Table 5_795f5459-6fdc-4b8c-9a39-cb863adddf83"/>
    <w:basedOn w:val="Table4c0cbedf9-231a-4d12-b037-610b2b83f442"/>
    <w:uiPriority w:val="99"/>
    <w:tblPr>
      <w:tblInd w:w="2030" w:type="dxa"/>
    </w:tblPr>
    <w:tcPr>
      <w:shd w:val="clear" w:color="auto" w:fill="auto"/>
    </w:tcPr>
  </w:style>
  <w:style w:type="table" w:customStyle="1" w:styleId="Table6ff632260-81de-472a-8e48-cd1c4b55e999">
    <w:name w:val="Table 6_ff632260-81de-472a-8e48-cd1c4b55e999"/>
    <w:basedOn w:val="Table5795f5459-6fdc-4b8c-9a39-cb863adddf83"/>
    <w:uiPriority w:val="99"/>
    <w:tblPr>
      <w:tblInd w:w="2506" w:type="dxa"/>
      <w:tblCellMar>
        <w:left w:w="115" w:type="dxa"/>
        <w:right w:w="115" w:type="dxa"/>
      </w:tblCellMar>
    </w:tblPr>
    <w:tcPr>
      <w:shd w:val="clear" w:color="auto" w:fill="auto"/>
    </w:tcPr>
  </w:style>
  <w:style w:type="table" w:customStyle="1" w:styleId="Table7d304e8ea-3c54-422a-90ce-df634f6e2fb2">
    <w:name w:val="Table 7_d304e8ea-3c54-422a-90ce-df634f6e2fb2"/>
    <w:basedOn w:val="Table6ff632260-81de-472a-8e48-cd1c4b55e999"/>
    <w:uiPriority w:val="99"/>
    <w:tblPr>
      <w:tblInd w:w="2995" w:type="dxa"/>
    </w:tblPr>
    <w:tcPr>
      <w:shd w:val="clear" w:color="auto" w:fill="auto"/>
    </w:tcPr>
  </w:style>
  <w:style w:type="table" w:customStyle="1" w:styleId="Table8">
    <w:name w:val="Table 8"/>
    <w:basedOn w:val="Table7d304e8ea-3c54-422a-90ce-df634f6e2fb2"/>
    <w:uiPriority w:val="99"/>
    <w:tblPr>
      <w:tblInd w:w="3470" w:type="dxa"/>
    </w:tblPr>
    <w:tcPr>
      <w:shd w:val="clear" w:color="auto" w:fill="auto"/>
    </w:tcPr>
  </w:style>
  <w:style w:type="table" w:customStyle="1" w:styleId="NormalTable99661704-46a4-4d15-b77c-bfb29d64c608">
    <w:name w:val="Normal Table_99661704-46a4-4d15-b77c-bfb29d64c608"/>
    <w:uiPriority w:val="99"/>
    <w:semiHidden/>
    <w:unhideWhenUsed/>
    <w:tblPr>
      <w:tblInd w:w="0" w:type="dxa"/>
      <w:tblCellMar>
        <w:top w:w="0" w:type="dxa"/>
        <w:left w:w="108" w:type="dxa"/>
        <w:bottom w:w="0" w:type="dxa"/>
        <w:right w:w="108" w:type="dxa"/>
      </w:tblCellMar>
    </w:tblPr>
  </w:style>
  <w:style w:type="table" w:customStyle="1" w:styleId="Table1d6693ee5-6ce3-4273-af81-bf1d965e374f">
    <w:name w:val="Table 1_d6693ee5-6ce3-4273-af81-bf1d965e374f"/>
    <w:basedOn w:val="NormalTable99661704-46a4-4d15-b77c-bfb29d64c60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0648300-ebe9-4480-9b95-1f7fc14e30fe">
    <w:name w:val="Table 2_e0648300-ebe9-4480-9b95-1f7fc14e30fe"/>
    <w:basedOn w:val="Table1d6693ee5-6ce3-4273-af81-bf1d965e374f"/>
    <w:uiPriority w:val="99"/>
    <w:tblPr>
      <w:tblInd w:w="590" w:type="dxa"/>
    </w:tblPr>
    <w:tcPr>
      <w:shd w:val="clear" w:color="auto" w:fill="auto"/>
    </w:tcPr>
  </w:style>
  <w:style w:type="table" w:customStyle="1" w:styleId="Table388aaf845-5ef7-4e86-b396-f2bedd2e72c4">
    <w:name w:val="Table 3_88aaf845-5ef7-4e86-b396-f2bedd2e72c4"/>
    <w:basedOn w:val="Table2e0648300-ebe9-4480-9b95-1f7fc14e30fe"/>
    <w:uiPriority w:val="99"/>
    <w:tblPr>
      <w:tblInd w:w="1066" w:type="dxa"/>
    </w:tblPr>
    <w:tcPr>
      <w:shd w:val="clear" w:color="auto" w:fill="auto"/>
    </w:tcPr>
  </w:style>
  <w:style w:type="table" w:customStyle="1" w:styleId="Table441cdf47a-bfd7-4bbc-8f45-09bba30f3f31">
    <w:name w:val="Table 4_41cdf47a-bfd7-4bbc-8f45-09bba30f3f31"/>
    <w:basedOn w:val="Table388aaf845-5ef7-4e86-b396-f2bedd2e72c4"/>
    <w:uiPriority w:val="99"/>
    <w:tblPr>
      <w:tblInd w:w="1555" w:type="dxa"/>
    </w:tblPr>
    <w:tcPr>
      <w:shd w:val="clear" w:color="auto" w:fill="auto"/>
    </w:tcPr>
  </w:style>
  <w:style w:type="table" w:customStyle="1" w:styleId="Table53ddc9323-adef-4e38-8b03-e4995518b394">
    <w:name w:val="Table 5_3ddc9323-adef-4e38-8b03-e4995518b394"/>
    <w:basedOn w:val="Table441cdf47a-bfd7-4bbc-8f45-09bba30f3f31"/>
    <w:uiPriority w:val="99"/>
    <w:tblPr>
      <w:tblInd w:w="2030" w:type="dxa"/>
    </w:tblPr>
    <w:tcPr>
      <w:shd w:val="clear" w:color="auto" w:fill="auto"/>
    </w:tcPr>
  </w:style>
  <w:style w:type="table" w:customStyle="1" w:styleId="Table69729c015-878a-49fd-b442-69a341d326db">
    <w:name w:val="Table 6_9729c015-878a-49fd-b442-69a341d326db"/>
    <w:basedOn w:val="Table53ddc9323-adef-4e38-8b03-e4995518b394"/>
    <w:uiPriority w:val="99"/>
    <w:tblPr>
      <w:tblInd w:w="2506" w:type="dxa"/>
      <w:tblCellMar>
        <w:left w:w="115" w:type="dxa"/>
        <w:right w:w="115" w:type="dxa"/>
      </w:tblCellMar>
    </w:tblPr>
    <w:tcPr>
      <w:shd w:val="clear" w:color="auto" w:fill="auto"/>
    </w:tcPr>
  </w:style>
  <w:style w:type="table" w:customStyle="1" w:styleId="Table72c96161a-8c4f-44e9-b59f-dc305425cdf1">
    <w:name w:val="Table 7_2c96161a-8c4f-44e9-b59f-dc305425cdf1"/>
    <w:basedOn w:val="Table69729c015-878a-49fd-b442-69a341d326db"/>
    <w:uiPriority w:val="99"/>
    <w:tblPr>
      <w:tblInd w:w="2995" w:type="dxa"/>
    </w:tblPr>
    <w:tcPr>
      <w:shd w:val="clear" w:color="auto" w:fill="auto"/>
    </w:tcPr>
  </w:style>
  <w:style w:type="table" w:customStyle="1" w:styleId="Table8ff001ffa-603d-405a-a75e-20f2edd271fd">
    <w:name w:val="Table 8_ff001ffa-603d-405a-a75e-20f2edd271fd"/>
    <w:basedOn w:val="Table72c96161a-8c4f-44e9-b59f-dc305425cdf1"/>
    <w:uiPriority w:val="99"/>
    <w:tblPr>
      <w:tblInd w:w="3470" w:type="dxa"/>
    </w:tblPr>
    <w:tcPr>
      <w:shd w:val="clear" w:color="auto" w:fill="auto"/>
    </w:tcPr>
  </w:style>
  <w:style w:type="table" w:customStyle="1" w:styleId="Table9">
    <w:name w:val="Table 9"/>
    <w:basedOn w:val="Table8ff001ffa-603d-405a-a75e-20f2edd271fd"/>
    <w:uiPriority w:val="99"/>
    <w:tblPr>
      <w:tblInd w:w="3946" w:type="dxa"/>
    </w:tblPr>
    <w:tcPr>
      <w:shd w:val="clear" w:color="auto" w:fill="auto"/>
    </w:tcPr>
  </w:style>
  <w:style w:type="table" w:customStyle="1" w:styleId="NormalTable9f3a4aaf-359f-4565-b158-85953cb5de47">
    <w:name w:val="Normal Table_9f3a4aaf-359f-4565-b158-85953cb5de47"/>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9f3a4aaf-359f-4565-b158-85953cb5de47"/>
    <w:uiPriority w:val="99"/>
    <w:pPr>
      <w:spacing w:before="0" w:after="0"/>
      <w:jc w:val="left"/>
    </w:pPr>
    <w:tblPr>
      <w:tblCellMar>
        <w:left w:w="0" w:type="dxa"/>
        <w:right w:w="0" w:type="dxa"/>
      </w:tblCellMar>
    </w:tblPr>
    <w:tcPr>
      <w:shd w:val="clear" w:color="auto" w:fill="auto"/>
    </w:tcPr>
  </w:style>
  <w:style w:type="table" w:customStyle="1" w:styleId="NormalTablefd573315-6d70-4fa3-826a-4b843123c031">
    <w:name w:val="Normal Table_fd573315-6d70-4fa3-826a-4b843123c031"/>
    <w:uiPriority w:val="99"/>
    <w:semiHidden/>
    <w:unhideWhenUsed/>
    <w:tblPr>
      <w:tblInd w:w="0" w:type="dxa"/>
      <w:tblCellMar>
        <w:top w:w="0" w:type="dxa"/>
        <w:left w:w="108" w:type="dxa"/>
        <w:bottom w:w="0" w:type="dxa"/>
        <w:right w:w="108" w:type="dxa"/>
      </w:tblCellMar>
    </w:tblPr>
  </w:style>
  <w:style w:type="table" w:customStyle="1" w:styleId="TableNoRule18e5eb6f4-430a-4671-8b7e-1a393c1f4475">
    <w:name w:val="Table NoRule 1_8e5eb6f4-430a-4671-8b7e-1a393c1f4475"/>
    <w:basedOn w:val="NormalTablefd573315-6d70-4fa3-826a-4b843123c031"/>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8e5eb6f4-430a-4671-8b7e-1a393c1f4475"/>
    <w:uiPriority w:val="99"/>
    <w:tblPr>
      <w:tblInd w:w="475" w:type="dxa"/>
    </w:tblPr>
    <w:tcPr>
      <w:shd w:val="clear" w:color="auto" w:fill="auto"/>
    </w:tcPr>
  </w:style>
  <w:style w:type="table" w:customStyle="1" w:styleId="NormalTableefbb4571-092f-4484-b550-70e8fb813c9e">
    <w:name w:val="Normal Table_efbb4571-092f-4484-b550-70e8fb813c9e"/>
    <w:uiPriority w:val="99"/>
    <w:semiHidden/>
    <w:unhideWhenUsed/>
    <w:tblPr>
      <w:tblInd w:w="0" w:type="dxa"/>
      <w:tblCellMar>
        <w:top w:w="0" w:type="dxa"/>
        <w:left w:w="108" w:type="dxa"/>
        <w:bottom w:w="0" w:type="dxa"/>
        <w:right w:w="108" w:type="dxa"/>
      </w:tblCellMar>
    </w:tblPr>
  </w:style>
  <w:style w:type="table" w:customStyle="1" w:styleId="TableNoRule1fb94ddf2-da61-4cad-8fc9-c33cdc8e14a9">
    <w:name w:val="Table NoRule 1_fb94ddf2-da61-4cad-8fc9-c33cdc8e14a9"/>
    <w:basedOn w:val="NormalTableefbb4571-092f-4484-b550-70e8fb813c9e"/>
    <w:uiPriority w:val="99"/>
    <w:pPr>
      <w:spacing w:before="0" w:after="0"/>
      <w:jc w:val="left"/>
    </w:pPr>
    <w:tblPr>
      <w:tblCellMar>
        <w:left w:w="0" w:type="dxa"/>
        <w:right w:w="0" w:type="dxa"/>
      </w:tblCellMar>
    </w:tblPr>
    <w:tcPr>
      <w:shd w:val="clear" w:color="auto" w:fill="auto"/>
    </w:tcPr>
  </w:style>
  <w:style w:type="table" w:customStyle="1" w:styleId="TableNoRule23f8f590f-439f-49ac-8e39-c2bf4e2a2635">
    <w:name w:val="Table NoRule 2_3f8f590f-439f-49ac-8e39-c2bf4e2a2635"/>
    <w:basedOn w:val="TableNoRule1fb94ddf2-da61-4cad-8fc9-c33cdc8e14a9"/>
    <w:uiPriority w:val="99"/>
    <w:tblPr>
      <w:tblInd w:w="475" w:type="dxa"/>
    </w:tblPr>
    <w:tcPr>
      <w:shd w:val="clear" w:color="auto" w:fill="auto"/>
    </w:tcPr>
  </w:style>
  <w:style w:type="table" w:customStyle="1" w:styleId="TableNoRule3">
    <w:name w:val="Table NoRule 3"/>
    <w:basedOn w:val="TableNoRule23f8f590f-439f-49ac-8e39-c2bf4e2a2635"/>
    <w:uiPriority w:val="99"/>
    <w:tblPr>
      <w:tblInd w:w="950" w:type="dxa"/>
    </w:tblPr>
    <w:tcPr>
      <w:shd w:val="clear" w:color="auto" w:fill="auto"/>
    </w:tcPr>
  </w:style>
  <w:style w:type="table" w:customStyle="1" w:styleId="NormalTablea73117ed-1b0e-497f-b8b3-13734260aa3d">
    <w:name w:val="Normal Table_a73117ed-1b0e-497f-b8b3-13734260aa3d"/>
    <w:uiPriority w:val="99"/>
    <w:semiHidden/>
    <w:unhideWhenUsed/>
    <w:tblPr>
      <w:tblInd w:w="0" w:type="dxa"/>
      <w:tblCellMar>
        <w:top w:w="0" w:type="dxa"/>
        <w:left w:w="108" w:type="dxa"/>
        <w:bottom w:w="0" w:type="dxa"/>
        <w:right w:w="108" w:type="dxa"/>
      </w:tblCellMar>
    </w:tblPr>
  </w:style>
  <w:style w:type="table" w:customStyle="1" w:styleId="TableNoRule11066ab6f-3548-4a66-a35b-2be96b4ec922">
    <w:name w:val="Table NoRule 1_1066ab6f-3548-4a66-a35b-2be96b4ec922"/>
    <w:basedOn w:val="NormalTablea73117ed-1b0e-497f-b8b3-13734260aa3d"/>
    <w:uiPriority w:val="99"/>
    <w:pPr>
      <w:spacing w:before="0" w:after="0"/>
      <w:jc w:val="left"/>
    </w:pPr>
    <w:tblPr>
      <w:tblCellMar>
        <w:left w:w="0" w:type="dxa"/>
        <w:right w:w="0" w:type="dxa"/>
      </w:tblCellMar>
    </w:tblPr>
    <w:tcPr>
      <w:shd w:val="clear" w:color="auto" w:fill="auto"/>
    </w:tcPr>
  </w:style>
  <w:style w:type="table" w:customStyle="1" w:styleId="TableNoRule24ed33a71-c4e3-410a-922f-4c454d8d55c8">
    <w:name w:val="Table NoRule 2_4ed33a71-c4e3-410a-922f-4c454d8d55c8"/>
    <w:basedOn w:val="TableNoRule11066ab6f-3548-4a66-a35b-2be96b4ec922"/>
    <w:uiPriority w:val="99"/>
    <w:tblPr>
      <w:tblInd w:w="475" w:type="dxa"/>
    </w:tblPr>
    <w:tcPr>
      <w:shd w:val="clear" w:color="auto" w:fill="auto"/>
    </w:tcPr>
  </w:style>
  <w:style w:type="table" w:customStyle="1" w:styleId="TableNoRule312f37530-cdb3-4bd4-b2b8-ad1e13410a2a">
    <w:name w:val="Table NoRule 3_12f37530-cdb3-4bd4-b2b8-ad1e13410a2a"/>
    <w:basedOn w:val="TableNoRule24ed33a71-c4e3-410a-922f-4c454d8d55c8"/>
    <w:uiPriority w:val="99"/>
    <w:tblPr>
      <w:tblInd w:w="950" w:type="dxa"/>
    </w:tblPr>
    <w:tcPr>
      <w:shd w:val="clear" w:color="auto" w:fill="auto"/>
    </w:tcPr>
  </w:style>
  <w:style w:type="table" w:customStyle="1" w:styleId="TableNoRule4">
    <w:name w:val="Table NoRule 4"/>
    <w:basedOn w:val="TableNoRule312f37530-cdb3-4bd4-b2b8-ad1e13410a2a"/>
    <w:uiPriority w:val="99"/>
    <w:tblPr>
      <w:tblInd w:w="1440" w:type="dxa"/>
    </w:tblPr>
    <w:tcPr>
      <w:shd w:val="clear" w:color="auto" w:fill="auto"/>
    </w:tcPr>
  </w:style>
  <w:style w:type="table" w:customStyle="1" w:styleId="NormalTablecc918e5f-0b57-448a-bc41-880b10306f47">
    <w:name w:val="Normal Table_cc918e5f-0b57-448a-bc41-880b10306f47"/>
    <w:uiPriority w:val="99"/>
    <w:semiHidden/>
    <w:unhideWhenUsed/>
    <w:tblPr>
      <w:tblInd w:w="0" w:type="dxa"/>
      <w:tblCellMar>
        <w:top w:w="0" w:type="dxa"/>
        <w:left w:w="108" w:type="dxa"/>
        <w:bottom w:w="0" w:type="dxa"/>
        <w:right w:w="108" w:type="dxa"/>
      </w:tblCellMar>
    </w:tblPr>
  </w:style>
  <w:style w:type="table" w:customStyle="1" w:styleId="TableNoRule1f713db62-d38d-477c-8955-a941fe9af2ac">
    <w:name w:val="Table NoRule 1_f713db62-d38d-477c-8955-a941fe9af2ac"/>
    <w:basedOn w:val="NormalTablecc918e5f-0b57-448a-bc41-880b10306f47"/>
    <w:uiPriority w:val="99"/>
    <w:pPr>
      <w:spacing w:before="0" w:after="0"/>
      <w:jc w:val="left"/>
    </w:pPr>
    <w:tblPr>
      <w:tblCellMar>
        <w:left w:w="0" w:type="dxa"/>
        <w:right w:w="0" w:type="dxa"/>
      </w:tblCellMar>
    </w:tblPr>
    <w:tcPr>
      <w:shd w:val="clear" w:color="auto" w:fill="auto"/>
    </w:tcPr>
  </w:style>
  <w:style w:type="table" w:customStyle="1" w:styleId="TableNoRule23748f55f-40c3-4779-8154-0b2da0aa9149">
    <w:name w:val="Table NoRule 2_3748f55f-40c3-4779-8154-0b2da0aa9149"/>
    <w:basedOn w:val="TableNoRule1f713db62-d38d-477c-8955-a941fe9af2ac"/>
    <w:uiPriority w:val="99"/>
    <w:tblPr>
      <w:tblInd w:w="475" w:type="dxa"/>
    </w:tblPr>
    <w:tcPr>
      <w:shd w:val="clear" w:color="auto" w:fill="auto"/>
    </w:tcPr>
  </w:style>
  <w:style w:type="table" w:customStyle="1" w:styleId="TableNoRule3ef3d41da-6a21-4209-80dd-eb2d8d68d862">
    <w:name w:val="Table NoRule 3_ef3d41da-6a21-4209-80dd-eb2d8d68d862"/>
    <w:basedOn w:val="TableNoRule23748f55f-40c3-4779-8154-0b2da0aa9149"/>
    <w:uiPriority w:val="99"/>
    <w:tblPr>
      <w:tblInd w:w="950" w:type="dxa"/>
    </w:tblPr>
    <w:tcPr>
      <w:shd w:val="clear" w:color="auto" w:fill="auto"/>
    </w:tcPr>
  </w:style>
  <w:style w:type="table" w:customStyle="1" w:styleId="TableNoRule48c76c2ed-040e-43a4-95a9-a1445af39cf7">
    <w:name w:val="Table NoRule 4_8c76c2ed-040e-43a4-95a9-a1445af39cf7"/>
    <w:basedOn w:val="TableNoRule3ef3d41da-6a21-4209-80dd-eb2d8d68d862"/>
    <w:uiPriority w:val="99"/>
    <w:tblPr>
      <w:tblInd w:w="1440" w:type="dxa"/>
    </w:tblPr>
    <w:tcPr>
      <w:shd w:val="clear" w:color="auto" w:fill="auto"/>
    </w:tcPr>
  </w:style>
  <w:style w:type="table" w:customStyle="1" w:styleId="TableNoRule5">
    <w:name w:val="Table NoRule 5"/>
    <w:basedOn w:val="TableNoRule48c76c2ed-040e-43a4-95a9-a1445af39cf7"/>
    <w:uiPriority w:val="99"/>
    <w:tblPr>
      <w:tblInd w:w="1915" w:type="dxa"/>
    </w:tblPr>
    <w:tcPr>
      <w:shd w:val="clear" w:color="auto" w:fill="auto"/>
    </w:tcPr>
  </w:style>
  <w:style w:type="table" w:customStyle="1" w:styleId="NormalTable6d1cad65-d729-4c85-b13b-de34026637e9">
    <w:name w:val="Normal Table_6d1cad65-d729-4c85-b13b-de34026637e9"/>
    <w:uiPriority w:val="99"/>
    <w:semiHidden/>
    <w:unhideWhenUsed/>
    <w:tblPr>
      <w:tblInd w:w="0" w:type="dxa"/>
      <w:tblCellMar>
        <w:top w:w="0" w:type="dxa"/>
        <w:left w:w="108" w:type="dxa"/>
        <w:bottom w:w="0" w:type="dxa"/>
        <w:right w:w="108" w:type="dxa"/>
      </w:tblCellMar>
    </w:tblPr>
  </w:style>
  <w:style w:type="table" w:customStyle="1" w:styleId="TableNoRule1366044f5-3b6a-4cc1-895b-54ff072dc26f">
    <w:name w:val="Table NoRule 1_366044f5-3b6a-4cc1-895b-54ff072dc26f"/>
    <w:basedOn w:val="NormalTable6d1cad65-d729-4c85-b13b-de34026637e9"/>
    <w:uiPriority w:val="99"/>
    <w:pPr>
      <w:spacing w:before="0" w:after="0"/>
      <w:jc w:val="left"/>
    </w:pPr>
    <w:tblPr>
      <w:tblCellMar>
        <w:left w:w="0" w:type="dxa"/>
        <w:right w:w="0" w:type="dxa"/>
      </w:tblCellMar>
    </w:tblPr>
    <w:tcPr>
      <w:shd w:val="clear" w:color="auto" w:fill="auto"/>
    </w:tcPr>
  </w:style>
  <w:style w:type="table" w:customStyle="1" w:styleId="TableNoRule2438f0f43-edeb-4965-8965-0da081f41150">
    <w:name w:val="Table NoRule 2_438f0f43-edeb-4965-8965-0da081f41150"/>
    <w:basedOn w:val="TableNoRule1366044f5-3b6a-4cc1-895b-54ff072dc26f"/>
    <w:uiPriority w:val="99"/>
    <w:tblPr>
      <w:tblInd w:w="475" w:type="dxa"/>
    </w:tblPr>
    <w:tcPr>
      <w:shd w:val="clear" w:color="auto" w:fill="auto"/>
    </w:tcPr>
  </w:style>
  <w:style w:type="table" w:customStyle="1" w:styleId="TableNoRule37382682d-2cf2-467d-b974-f1d3e99c034f">
    <w:name w:val="Table NoRule 3_7382682d-2cf2-467d-b974-f1d3e99c034f"/>
    <w:basedOn w:val="TableNoRule2438f0f43-edeb-4965-8965-0da081f41150"/>
    <w:uiPriority w:val="99"/>
    <w:tblPr>
      <w:tblInd w:w="950" w:type="dxa"/>
    </w:tblPr>
    <w:tcPr>
      <w:shd w:val="clear" w:color="auto" w:fill="auto"/>
    </w:tcPr>
  </w:style>
  <w:style w:type="table" w:customStyle="1" w:styleId="TableNoRule45ed55515-8f73-4e81-9dd5-6f34396d62b2">
    <w:name w:val="Table NoRule 4_5ed55515-8f73-4e81-9dd5-6f34396d62b2"/>
    <w:basedOn w:val="TableNoRule37382682d-2cf2-467d-b974-f1d3e99c034f"/>
    <w:uiPriority w:val="99"/>
    <w:tblPr>
      <w:tblInd w:w="1440" w:type="dxa"/>
    </w:tblPr>
    <w:tcPr>
      <w:shd w:val="clear" w:color="auto" w:fill="auto"/>
    </w:tcPr>
  </w:style>
  <w:style w:type="table" w:customStyle="1" w:styleId="TableNoRule596481c34-c4db-4bb1-96e8-7d02576ae015">
    <w:name w:val="Table NoRule 5_96481c34-c4db-4bb1-96e8-7d02576ae015"/>
    <w:basedOn w:val="TableNoRule45ed55515-8f73-4e81-9dd5-6f34396d62b2"/>
    <w:uiPriority w:val="99"/>
    <w:tblPr>
      <w:tblInd w:w="1915" w:type="dxa"/>
    </w:tblPr>
    <w:tcPr>
      <w:shd w:val="clear" w:color="auto" w:fill="auto"/>
    </w:tcPr>
  </w:style>
  <w:style w:type="table" w:customStyle="1" w:styleId="TableNoRule6">
    <w:name w:val="Table NoRule 6"/>
    <w:basedOn w:val="TableNoRule596481c34-c4db-4bb1-96e8-7d02576ae015"/>
    <w:uiPriority w:val="99"/>
    <w:tblPr>
      <w:tblInd w:w="2390" w:type="dxa"/>
    </w:tblPr>
    <w:tcPr>
      <w:shd w:val="clear" w:color="auto" w:fill="auto"/>
    </w:tcPr>
  </w:style>
  <w:style w:type="table" w:customStyle="1" w:styleId="NormalTable2eded6a3-a928-4aa9-b705-b54292199131">
    <w:name w:val="Normal Table_2eded6a3-a928-4aa9-b705-b54292199131"/>
    <w:uiPriority w:val="99"/>
    <w:semiHidden/>
    <w:unhideWhenUsed/>
    <w:tblPr>
      <w:tblInd w:w="0" w:type="dxa"/>
      <w:tblCellMar>
        <w:top w:w="0" w:type="dxa"/>
        <w:left w:w="108" w:type="dxa"/>
        <w:bottom w:w="0" w:type="dxa"/>
        <w:right w:w="108" w:type="dxa"/>
      </w:tblCellMar>
    </w:tblPr>
  </w:style>
  <w:style w:type="table" w:customStyle="1" w:styleId="TableNoRule1486d62f7-73cb-414b-b2b2-b3f971756b9f">
    <w:name w:val="Table NoRule 1_486d62f7-73cb-414b-b2b2-b3f971756b9f"/>
    <w:basedOn w:val="NormalTable2eded6a3-a928-4aa9-b705-b54292199131"/>
    <w:uiPriority w:val="99"/>
    <w:pPr>
      <w:spacing w:before="0" w:after="0"/>
      <w:jc w:val="left"/>
    </w:pPr>
    <w:tblPr>
      <w:tblCellMar>
        <w:left w:w="0" w:type="dxa"/>
        <w:right w:w="0" w:type="dxa"/>
      </w:tblCellMar>
    </w:tblPr>
    <w:tcPr>
      <w:shd w:val="clear" w:color="auto" w:fill="auto"/>
    </w:tcPr>
  </w:style>
  <w:style w:type="table" w:customStyle="1" w:styleId="TableNoRule29e3f3116-553f-492d-a194-430bd73a77c1">
    <w:name w:val="Table NoRule 2_9e3f3116-553f-492d-a194-430bd73a77c1"/>
    <w:basedOn w:val="TableNoRule1486d62f7-73cb-414b-b2b2-b3f971756b9f"/>
    <w:uiPriority w:val="99"/>
    <w:tblPr>
      <w:tblInd w:w="475" w:type="dxa"/>
    </w:tblPr>
    <w:tcPr>
      <w:shd w:val="clear" w:color="auto" w:fill="auto"/>
    </w:tcPr>
  </w:style>
  <w:style w:type="table" w:customStyle="1" w:styleId="TableNoRule3f7c238e0-710c-402e-9c7f-55af879d636c">
    <w:name w:val="Table NoRule 3_f7c238e0-710c-402e-9c7f-55af879d636c"/>
    <w:basedOn w:val="TableNoRule29e3f3116-553f-492d-a194-430bd73a77c1"/>
    <w:uiPriority w:val="99"/>
    <w:tblPr>
      <w:tblInd w:w="950" w:type="dxa"/>
    </w:tblPr>
    <w:tcPr>
      <w:shd w:val="clear" w:color="auto" w:fill="auto"/>
    </w:tcPr>
  </w:style>
  <w:style w:type="table" w:customStyle="1" w:styleId="TableNoRule4f864732e-e21a-4248-b0f1-bf77ba90d729">
    <w:name w:val="Table NoRule 4_f864732e-e21a-4248-b0f1-bf77ba90d729"/>
    <w:basedOn w:val="TableNoRule3f7c238e0-710c-402e-9c7f-55af879d636c"/>
    <w:uiPriority w:val="99"/>
    <w:tblPr>
      <w:tblInd w:w="1440" w:type="dxa"/>
    </w:tblPr>
    <w:tcPr>
      <w:shd w:val="clear" w:color="auto" w:fill="auto"/>
    </w:tcPr>
  </w:style>
  <w:style w:type="table" w:customStyle="1" w:styleId="TableNoRule5f4f97a41-baef-493a-9300-dbce98f1ee09">
    <w:name w:val="Table NoRule 5_f4f97a41-baef-493a-9300-dbce98f1ee09"/>
    <w:basedOn w:val="TableNoRule4f864732e-e21a-4248-b0f1-bf77ba90d729"/>
    <w:uiPriority w:val="99"/>
    <w:tblPr>
      <w:tblInd w:w="1915" w:type="dxa"/>
    </w:tblPr>
    <w:tcPr>
      <w:shd w:val="clear" w:color="auto" w:fill="auto"/>
    </w:tcPr>
  </w:style>
  <w:style w:type="table" w:customStyle="1" w:styleId="TableNoRule68f7abfbc-8c93-45e6-9848-d0ebacf3cadf">
    <w:name w:val="Table NoRule 6_8f7abfbc-8c93-45e6-9848-d0ebacf3cadf"/>
    <w:basedOn w:val="TableNoRule5f4f97a41-baef-493a-9300-dbce98f1ee09"/>
    <w:uiPriority w:val="99"/>
    <w:tblPr>
      <w:tblInd w:w="2390" w:type="dxa"/>
    </w:tblPr>
    <w:tcPr>
      <w:shd w:val="clear" w:color="auto" w:fill="auto"/>
    </w:tcPr>
  </w:style>
  <w:style w:type="table" w:customStyle="1" w:styleId="TableNoRule7">
    <w:name w:val="Table NoRule 7"/>
    <w:basedOn w:val="TableNoRule68f7abfbc-8c93-45e6-9848-d0ebacf3cadf"/>
    <w:uiPriority w:val="99"/>
    <w:tblPr>
      <w:tblInd w:w="2880" w:type="dxa"/>
    </w:tblPr>
    <w:tcPr>
      <w:shd w:val="clear" w:color="auto" w:fill="auto"/>
    </w:tcPr>
  </w:style>
  <w:style w:type="table" w:customStyle="1" w:styleId="NormalTableb2634779-fd71-42b0-b114-9fb00b076eeb">
    <w:name w:val="Normal Table_b2634779-fd71-42b0-b114-9fb00b076eeb"/>
    <w:uiPriority w:val="99"/>
    <w:semiHidden/>
    <w:unhideWhenUsed/>
    <w:tblPr>
      <w:tblInd w:w="0" w:type="dxa"/>
      <w:tblCellMar>
        <w:top w:w="0" w:type="dxa"/>
        <w:left w:w="108" w:type="dxa"/>
        <w:bottom w:w="0" w:type="dxa"/>
        <w:right w:w="108" w:type="dxa"/>
      </w:tblCellMar>
    </w:tblPr>
  </w:style>
  <w:style w:type="table" w:customStyle="1" w:styleId="TableNoRule1b7e3fbca-fe12-4efd-b73e-1a81753355dc">
    <w:name w:val="Table NoRule 1_b7e3fbca-fe12-4efd-b73e-1a81753355dc"/>
    <w:basedOn w:val="NormalTableb2634779-fd71-42b0-b114-9fb00b076eeb"/>
    <w:uiPriority w:val="99"/>
    <w:pPr>
      <w:spacing w:before="0" w:after="0"/>
      <w:jc w:val="left"/>
    </w:pPr>
    <w:tblPr>
      <w:tblCellMar>
        <w:left w:w="0" w:type="dxa"/>
        <w:right w:w="0" w:type="dxa"/>
      </w:tblCellMar>
    </w:tblPr>
    <w:tcPr>
      <w:shd w:val="clear" w:color="auto" w:fill="auto"/>
    </w:tcPr>
  </w:style>
  <w:style w:type="table" w:customStyle="1" w:styleId="TableNoRule257bc6426-2f3e-4741-92a1-437c62fe74be">
    <w:name w:val="Table NoRule 2_57bc6426-2f3e-4741-92a1-437c62fe74be"/>
    <w:basedOn w:val="TableNoRule1b7e3fbca-fe12-4efd-b73e-1a81753355dc"/>
    <w:uiPriority w:val="99"/>
    <w:tblPr>
      <w:tblInd w:w="475" w:type="dxa"/>
    </w:tblPr>
    <w:tcPr>
      <w:shd w:val="clear" w:color="auto" w:fill="auto"/>
    </w:tcPr>
  </w:style>
  <w:style w:type="table" w:customStyle="1" w:styleId="TableNoRule3f15019ef-6400-49c6-ae3c-f4a5947d749e">
    <w:name w:val="Table NoRule 3_f15019ef-6400-49c6-ae3c-f4a5947d749e"/>
    <w:basedOn w:val="TableNoRule257bc6426-2f3e-4741-92a1-437c62fe74be"/>
    <w:uiPriority w:val="99"/>
    <w:tblPr>
      <w:tblInd w:w="950" w:type="dxa"/>
    </w:tblPr>
    <w:tcPr>
      <w:shd w:val="clear" w:color="auto" w:fill="auto"/>
    </w:tcPr>
  </w:style>
  <w:style w:type="table" w:customStyle="1" w:styleId="TableNoRule46f123f0b-1eae-44af-bdc9-9429156daa77">
    <w:name w:val="Table NoRule 4_6f123f0b-1eae-44af-bdc9-9429156daa77"/>
    <w:basedOn w:val="TableNoRule3f15019ef-6400-49c6-ae3c-f4a5947d749e"/>
    <w:uiPriority w:val="99"/>
    <w:tblPr>
      <w:tblInd w:w="1440" w:type="dxa"/>
    </w:tblPr>
    <w:tcPr>
      <w:shd w:val="clear" w:color="auto" w:fill="auto"/>
    </w:tcPr>
  </w:style>
  <w:style w:type="table" w:customStyle="1" w:styleId="TableNoRule57bb8c92a-2d25-4f03-b151-7db9f482391a">
    <w:name w:val="Table NoRule 5_7bb8c92a-2d25-4f03-b151-7db9f482391a"/>
    <w:basedOn w:val="TableNoRule46f123f0b-1eae-44af-bdc9-9429156daa77"/>
    <w:uiPriority w:val="99"/>
    <w:tblPr>
      <w:tblInd w:w="1915" w:type="dxa"/>
    </w:tblPr>
    <w:tcPr>
      <w:shd w:val="clear" w:color="auto" w:fill="auto"/>
    </w:tcPr>
  </w:style>
  <w:style w:type="table" w:customStyle="1" w:styleId="TableNoRule6a14fd62b-1f71-4d54-8b41-8057f8148e62">
    <w:name w:val="Table NoRule 6_a14fd62b-1f71-4d54-8b41-8057f8148e62"/>
    <w:basedOn w:val="TableNoRule57bb8c92a-2d25-4f03-b151-7db9f482391a"/>
    <w:uiPriority w:val="99"/>
    <w:tblPr>
      <w:tblInd w:w="2390" w:type="dxa"/>
    </w:tblPr>
    <w:tcPr>
      <w:shd w:val="clear" w:color="auto" w:fill="auto"/>
    </w:tcPr>
  </w:style>
  <w:style w:type="table" w:customStyle="1" w:styleId="TableNoRule7009b095b-f77e-487f-bfc0-0d0e87f9449a">
    <w:name w:val="Table NoRule 7_009b095b-f77e-487f-bfc0-0d0e87f9449a"/>
    <w:basedOn w:val="TableNoRule6a14fd62b-1f71-4d54-8b41-8057f8148e62"/>
    <w:uiPriority w:val="99"/>
    <w:tblPr>
      <w:tblInd w:w="2880" w:type="dxa"/>
    </w:tblPr>
    <w:tcPr>
      <w:shd w:val="clear" w:color="auto" w:fill="auto"/>
    </w:tcPr>
  </w:style>
  <w:style w:type="table" w:customStyle="1" w:styleId="TableNoRule8">
    <w:name w:val="Table NoRule 8"/>
    <w:basedOn w:val="TableNoRule7009b095b-f77e-487f-bfc0-0d0e87f9449a"/>
    <w:uiPriority w:val="99"/>
    <w:tblPr>
      <w:tblInd w:w="3355" w:type="dxa"/>
    </w:tblPr>
    <w:tcPr>
      <w:shd w:val="clear" w:color="auto" w:fill="auto"/>
    </w:tcPr>
  </w:style>
  <w:style w:type="table" w:customStyle="1" w:styleId="NormalTable1b2ae84e-6e23-491c-a672-e85087b6a630">
    <w:name w:val="Normal Table_1b2ae84e-6e23-491c-a672-e85087b6a630"/>
    <w:uiPriority w:val="99"/>
    <w:semiHidden/>
    <w:unhideWhenUsed/>
    <w:tblPr>
      <w:tblInd w:w="0" w:type="dxa"/>
      <w:tblCellMar>
        <w:top w:w="0" w:type="dxa"/>
        <w:left w:w="108" w:type="dxa"/>
        <w:bottom w:w="0" w:type="dxa"/>
        <w:right w:w="108" w:type="dxa"/>
      </w:tblCellMar>
    </w:tblPr>
  </w:style>
  <w:style w:type="table" w:customStyle="1" w:styleId="TableNoRule19e189d30-c746-4982-ab4c-0ef3b3d4327c">
    <w:name w:val="Table NoRule 1_9e189d30-c746-4982-ab4c-0ef3b3d4327c"/>
    <w:basedOn w:val="NormalTable1b2ae84e-6e23-491c-a672-e85087b6a630"/>
    <w:uiPriority w:val="99"/>
    <w:pPr>
      <w:spacing w:before="0" w:after="0"/>
      <w:jc w:val="left"/>
    </w:pPr>
    <w:tblPr>
      <w:tblCellMar>
        <w:left w:w="0" w:type="dxa"/>
        <w:right w:w="0" w:type="dxa"/>
      </w:tblCellMar>
    </w:tblPr>
    <w:tcPr>
      <w:shd w:val="clear" w:color="auto" w:fill="auto"/>
    </w:tcPr>
  </w:style>
  <w:style w:type="table" w:customStyle="1" w:styleId="TableNoRule2a74ec83c-9876-400b-aac1-bcec0089a1e1">
    <w:name w:val="Table NoRule 2_a74ec83c-9876-400b-aac1-bcec0089a1e1"/>
    <w:basedOn w:val="TableNoRule19e189d30-c746-4982-ab4c-0ef3b3d4327c"/>
    <w:uiPriority w:val="99"/>
    <w:tblPr>
      <w:tblInd w:w="475" w:type="dxa"/>
    </w:tblPr>
    <w:tcPr>
      <w:shd w:val="clear" w:color="auto" w:fill="auto"/>
    </w:tcPr>
  </w:style>
  <w:style w:type="table" w:customStyle="1" w:styleId="TableNoRule3e7ddccad-2014-4959-bae4-a8d113b39066">
    <w:name w:val="Table NoRule 3_e7ddccad-2014-4959-bae4-a8d113b39066"/>
    <w:basedOn w:val="TableNoRule2a74ec83c-9876-400b-aac1-bcec0089a1e1"/>
    <w:uiPriority w:val="99"/>
    <w:tblPr>
      <w:tblInd w:w="950" w:type="dxa"/>
    </w:tblPr>
    <w:tcPr>
      <w:shd w:val="clear" w:color="auto" w:fill="auto"/>
    </w:tcPr>
  </w:style>
  <w:style w:type="table" w:customStyle="1" w:styleId="TableNoRule467dab365-b14e-464f-b71a-a14f88fefa01">
    <w:name w:val="Table NoRule 4_67dab365-b14e-464f-b71a-a14f88fefa01"/>
    <w:basedOn w:val="TableNoRule3e7ddccad-2014-4959-bae4-a8d113b39066"/>
    <w:uiPriority w:val="99"/>
    <w:tblPr>
      <w:tblInd w:w="1440" w:type="dxa"/>
    </w:tblPr>
    <w:tcPr>
      <w:shd w:val="clear" w:color="auto" w:fill="auto"/>
    </w:tcPr>
  </w:style>
  <w:style w:type="table" w:customStyle="1" w:styleId="TableNoRule52bbec2db-ea2a-4361-9d3e-4773fa6a7b24">
    <w:name w:val="Table NoRule 5_2bbec2db-ea2a-4361-9d3e-4773fa6a7b24"/>
    <w:basedOn w:val="TableNoRule467dab365-b14e-464f-b71a-a14f88fefa01"/>
    <w:uiPriority w:val="99"/>
    <w:tblPr>
      <w:tblInd w:w="1915" w:type="dxa"/>
    </w:tblPr>
    <w:tcPr>
      <w:shd w:val="clear" w:color="auto" w:fill="auto"/>
    </w:tcPr>
  </w:style>
  <w:style w:type="table" w:customStyle="1" w:styleId="TableNoRule66a3011c6-17a0-4676-bd6b-cbeb0f92477c">
    <w:name w:val="Table NoRule 6_6a3011c6-17a0-4676-bd6b-cbeb0f92477c"/>
    <w:basedOn w:val="TableNoRule52bbec2db-ea2a-4361-9d3e-4773fa6a7b24"/>
    <w:uiPriority w:val="99"/>
    <w:tblPr>
      <w:tblInd w:w="2390" w:type="dxa"/>
    </w:tblPr>
    <w:tcPr>
      <w:shd w:val="clear" w:color="auto" w:fill="auto"/>
    </w:tcPr>
  </w:style>
  <w:style w:type="table" w:customStyle="1" w:styleId="TableNoRule7d6b85f9c-6216-446b-9eb1-f20bbfa3d8a4">
    <w:name w:val="Table NoRule 7_d6b85f9c-6216-446b-9eb1-f20bbfa3d8a4"/>
    <w:basedOn w:val="TableNoRule66a3011c6-17a0-4676-bd6b-cbeb0f92477c"/>
    <w:uiPriority w:val="99"/>
    <w:tblPr>
      <w:tblInd w:w="2880" w:type="dxa"/>
    </w:tblPr>
    <w:tcPr>
      <w:shd w:val="clear" w:color="auto" w:fill="auto"/>
    </w:tcPr>
  </w:style>
  <w:style w:type="table" w:customStyle="1" w:styleId="TableNoRule818122dfb-6b1a-48f3-aec6-cea3352dc938">
    <w:name w:val="Table NoRule 8_18122dfb-6b1a-48f3-aec6-cea3352dc938"/>
    <w:basedOn w:val="TableNoRule7d6b85f9c-6216-446b-9eb1-f20bbfa3d8a4"/>
    <w:uiPriority w:val="99"/>
    <w:tblPr>
      <w:tblInd w:w="3355" w:type="dxa"/>
    </w:tblPr>
    <w:tcPr>
      <w:shd w:val="clear" w:color="auto" w:fill="auto"/>
    </w:tcPr>
  </w:style>
  <w:style w:type="table" w:customStyle="1" w:styleId="TableNoRule9">
    <w:name w:val="Table NoRule 9"/>
    <w:basedOn w:val="TableNoRule818122dfb-6b1a-48f3-aec6-cea3352dc938"/>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4761</Words>
  <Characters>27142</Characters>
  <Application>Microsoft Office Word</Application>
  <DocSecurity>0</DocSecurity>
  <Lines>226</Lines>
  <Paragraphs>63</Paragraphs>
  <ScaleCrop>false</ScaleCrop>
  <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Gillet</dc:creator>
  <cp:lastModifiedBy>Sandy Gillet</cp:lastModifiedBy>
  <cp:revision>2</cp:revision>
  <dcterms:created xsi:type="dcterms:W3CDTF">2023-05-23T17:53:00Z</dcterms:created>
  <dcterms:modified xsi:type="dcterms:W3CDTF">2023-05-23T17:53:00Z</dcterms:modified>
</cp:coreProperties>
</file>