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November 12</w:t>
      </w:r>
      <w:r>
        <w:rPr>
          <w:b/>
        </w:rPr>
        <w:t>, 2019</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r>
        <w:rPr/>
        <w:t>Discuss budget for 2020.</w:t>
      </w:r>
    </w:p>
    <w:p>
      <w:pPr>
        <w:pStyle w:val="Normal"/>
        <w:numPr>
          <w:ilvl w:val="0"/>
          <w:numId w:val="2"/>
        </w:numPr>
        <w:rPr/>
      </w:pPr>
      <w:r>
        <w:rPr/>
        <w:t xml:space="preserve">Chairman’s Report. </w:t>
      </w:r>
      <w:r>
        <w:rPr/>
        <w:t>Discuss and act on:</w:t>
      </w:r>
    </w:p>
    <w:p>
      <w:pPr>
        <w:pStyle w:val="Normal"/>
        <w:numPr>
          <w:ilvl w:val="0"/>
          <w:numId w:val="0"/>
        </w:numPr>
        <w:ind w:left="720" w:hanging="0"/>
        <w:rPr/>
      </w:pPr>
      <w:r>
        <w:rPr/>
        <w:t>Pay for recycling attendant.</w:t>
      </w:r>
    </w:p>
    <w:p>
      <w:pPr>
        <w:pStyle w:val="Normal"/>
        <w:numPr>
          <w:ilvl w:val="0"/>
          <w:numId w:val="0"/>
        </w:numPr>
        <w:ind w:left="720" w:hanging="0"/>
        <w:rPr/>
      </w:pPr>
      <w:r>
        <w:rPr/>
        <w:t>Road damage from trucks.</w:t>
      </w:r>
    </w:p>
    <w:p>
      <w:pPr>
        <w:pStyle w:val="Normal"/>
        <w:numPr>
          <w:ilvl w:val="0"/>
          <w:numId w:val="0"/>
        </w:numPr>
        <w:ind w:left="720" w:hanging="0"/>
        <w:rPr/>
      </w:pPr>
      <w:r>
        <w:rPr/>
        <w:t>Truck sander/salt applicator. Should we replace it or buy a lot of parts?</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1421</TotalTime>
  <Application>LibreOffice/6.2.4.2$Windows_X86_64 LibreOffice_project/2412653d852ce75f65fbfa83fb7e7b669a126d64</Application>
  <Pages>1</Pages>
  <Words>126</Words>
  <Characters>689</Characters>
  <CharactersWithSpaces>795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2019-09-06T09:32:44Z</cp:lastPrinted>
  <dcterms:modified xsi:type="dcterms:W3CDTF">2019-11-06T09:20:11Z</dcterms:modified>
  <cp:revision>31</cp:revision>
  <dc:subject/>
  <dc:title>TOWN OF GOODRICH</dc:title>
</cp:coreProperties>
</file>