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49" w:rsidRDefault="006A7549" w:rsidP="006A7549">
      <w:pPr>
        <w:pStyle w:val="Heading2"/>
      </w:pPr>
      <w:bookmarkStart w:id="0" w:name="_Toc84227675"/>
      <w:r>
        <w:t>Introduction</w:t>
      </w:r>
      <w:bookmarkEnd w:id="0"/>
    </w:p>
    <w:p w:rsidR="006A7549" w:rsidRDefault="006A7549" w:rsidP="006A7549">
      <w:pPr>
        <w:tabs>
          <w:tab w:val="left" w:pos="-1440"/>
          <w:tab w:val="left" w:pos="-720"/>
          <w:tab w:val="left" w:pos="0"/>
          <w:tab w:val="left" w:pos="354"/>
          <w:tab w:val="left" w:pos="744"/>
          <w:tab w:val="left" w:pos="1440"/>
        </w:tabs>
        <w:suppressAutoHyphens/>
        <w:rPr>
          <w:spacing w:val="-3"/>
        </w:rPr>
      </w:pPr>
      <w:r>
        <w:rPr>
          <w:spacing w:val="-3"/>
        </w:rPr>
        <w:t xml:space="preserve">The original May 1991 WRPP was prepared to assist with Holyoke's efforts to obtain a waiver from the filtration requirements for its </w:t>
      </w:r>
      <w:proofErr w:type="spellStart"/>
      <w:r>
        <w:rPr>
          <w:spacing w:val="-3"/>
        </w:rPr>
        <w:t>Tighe-Carmody</w:t>
      </w:r>
      <w:proofErr w:type="spellEnd"/>
      <w:r>
        <w:rPr>
          <w:spacing w:val="-3"/>
        </w:rPr>
        <w:t>, McLean, and Ashley Reservoirs established by the Surface Water Treatment Rule (SWTR) as part of the 1986 Safe Drinking Water Act Amendments.  Following the WRPP submittal in May 1991, all three of the subject reservoirs received filtration waivers, granted by the Massachusetts Department of Environmental Protection (MADEP).  To maintain the filtration waiver, the source water quality has to be continually monitored for turbidity and coliform.  Since the filtration waiver was issued, the Ashley Reservoir has been taken off-line and relegated to emergency supply status, and is thus no longer subject to sampling.</w:t>
      </w:r>
    </w:p>
    <w:p w:rsidR="006A7549" w:rsidRDefault="006A7549" w:rsidP="006A7549">
      <w:pPr>
        <w:tabs>
          <w:tab w:val="left" w:pos="-1440"/>
          <w:tab w:val="left" w:pos="-720"/>
          <w:tab w:val="left" w:pos="0"/>
          <w:tab w:val="left" w:pos="354"/>
          <w:tab w:val="left" w:pos="744"/>
          <w:tab w:val="left" w:pos="1440"/>
        </w:tabs>
        <w:suppressAutoHyphens/>
        <w:spacing w:after="120"/>
        <w:rPr>
          <w:spacing w:val="-3"/>
        </w:rPr>
      </w:pPr>
      <w:r>
        <w:rPr>
          <w:spacing w:val="-3"/>
        </w:rPr>
        <w:t>The criteria for avoiding filtration as specified in 310 CMR 22.20A(2) for source water quality conditions is as follows:</w:t>
      </w:r>
    </w:p>
    <w:p w:rsidR="006A7549" w:rsidRDefault="006A7549" w:rsidP="006A7549">
      <w:pPr>
        <w:numPr>
          <w:ilvl w:val="0"/>
          <w:numId w:val="2"/>
        </w:numPr>
        <w:tabs>
          <w:tab w:val="left" w:pos="-1440"/>
          <w:tab w:val="left" w:pos="-720"/>
          <w:tab w:val="left" w:pos="0"/>
          <w:tab w:val="left" w:pos="354"/>
          <w:tab w:val="left" w:pos="744"/>
          <w:tab w:val="left" w:pos="1440"/>
        </w:tabs>
        <w:suppressAutoHyphens/>
        <w:spacing w:after="120"/>
        <w:ind w:left="360" w:firstLine="360"/>
        <w:rPr>
          <w:spacing w:val="-3"/>
        </w:rPr>
      </w:pPr>
      <w:r>
        <w:rPr>
          <w:spacing w:val="-3"/>
        </w:rPr>
        <w:t>Coliform Limits (prior to disinfection)</w:t>
      </w:r>
    </w:p>
    <w:p w:rsidR="006A7549" w:rsidRDefault="006A7549" w:rsidP="006A7549">
      <w:pPr>
        <w:tabs>
          <w:tab w:val="left" w:pos="-1440"/>
          <w:tab w:val="left" w:pos="-720"/>
          <w:tab w:val="left" w:pos="-450"/>
          <w:tab w:val="left" w:pos="-270"/>
        </w:tabs>
        <w:suppressAutoHyphens/>
        <w:spacing w:after="120"/>
        <w:ind w:left="2160" w:hanging="806"/>
        <w:rPr>
          <w:spacing w:val="-3"/>
        </w:rPr>
      </w:pPr>
      <w:r>
        <w:rPr>
          <w:spacing w:val="-3"/>
        </w:rPr>
        <w:sym w:font="Symbol" w:char="F0E0"/>
      </w:r>
      <w:r>
        <w:rPr>
          <w:spacing w:val="-3"/>
        </w:rPr>
        <w:t xml:space="preserve"> </w:t>
      </w:r>
      <w:r>
        <w:rPr>
          <w:spacing w:val="-3"/>
        </w:rPr>
        <w:tab/>
        <w:t>Fecal coliform less than or equal to 20/100 mL in at least 90% of the samples or total coliform less than or equal to 100/100 mL in at least 90% of the samples</w:t>
      </w:r>
    </w:p>
    <w:p w:rsidR="006A7549" w:rsidRDefault="006A7549" w:rsidP="006A7549">
      <w:pPr>
        <w:tabs>
          <w:tab w:val="left" w:pos="-1440"/>
          <w:tab w:val="left" w:pos="-720"/>
          <w:tab w:val="left" w:pos="-450"/>
          <w:tab w:val="left" w:pos="-270"/>
        </w:tabs>
        <w:suppressAutoHyphens/>
        <w:spacing w:after="120"/>
        <w:ind w:left="1354"/>
        <w:rPr>
          <w:spacing w:val="-3"/>
        </w:rPr>
      </w:pPr>
      <w:r>
        <w:rPr>
          <w:spacing w:val="-3"/>
        </w:rPr>
        <w:sym w:font="Symbol" w:char="F0E0"/>
      </w:r>
      <w:r>
        <w:rPr>
          <w:spacing w:val="-3"/>
        </w:rPr>
        <w:t xml:space="preserve"> </w:t>
      </w:r>
      <w:r>
        <w:rPr>
          <w:spacing w:val="-3"/>
        </w:rPr>
        <w:tab/>
        <w:t>Minimum sampling frequency of 5 samples/week for each source</w:t>
      </w:r>
    </w:p>
    <w:p w:rsidR="006A7549" w:rsidRDefault="006A7549" w:rsidP="006A7549">
      <w:pPr>
        <w:tabs>
          <w:tab w:val="left" w:pos="-1440"/>
          <w:tab w:val="left" w:pos="-720"/>
          <w:tab w:val="left" w:pos="-450"/>
          <w:tab w:val="left" w:pos="-270"/>
        </w:tabs>
        <w:suppressAutoHyphens/>
        <w:spacing w:after="120"/>
        <w:ind w:left="1354"/>
        <w:rPr>
          <w:spacing w:val="-3"/>
        </w:rPr>
      </w:pPr>
      <w:r>
        <w:rPr>
          <w:spacing w:val="-3"/>
        </w:rPr>
        <w:sym w:font="Symbol" w:char="F0E0"/>
      </w:r>
      <w:r>
        <w:rPr>
          <w:spacing w:val="-3"/>
        </w:rPr>
        <w:t xml:space="preserve">   </w:t>
      </w:r>
      <w:r>
        <w:rPr>
          <w:spacing w:val="-3"/>
        </w:rPr>
        <w:tab/>
        <w:t>Compliance based on results during the previous 6 months</w:t>
      </w:r>
    </w:p>
    <w:p w:rsidR="006A7549" w:rsidRDefault="006A7549" w:rsidP="006A7549">
      <w:pPr>
        <w:tabs>
          <w:tab w:val="left" w:pos="-1440"/>
          <w:tab w:val="left" w:pos="-720"/>
          <w:tab w:val="left" w:pos="-450"/>
          <w:tab w:val="left" w:pos="-270"/>
        </w:tabs>
        <w:suppressAutoHyphens/>
        <w:spacing w:after="120"/>
        <w:ind w:left="2160" w:hanging="806"/>
        <w:rPr>
          <w:spacing w:val="-3"/>
        </w:rPr>
      </w:pPr>
      <w:r>
        <w:rPr>
          <w:spacing w:val="-3"/>
        </w:rPr>
        <w:sym w:font="Symbol" w:char="F0E0"/>
      </w:r>
      <w:r>
        <w:rPr>
          <w:spacing w:val="-3"/>
        </w:rPr>
        <w:t xml:space="preserve"> </w:t>
      </w:r>
      <w:r>
        <w:rPr>
          <w:spacing w:val="-3"/>
        </w:rPr>
        <w:tab/>
        <w:t>The fecal coliform criterion takes precedence over the total coliform criterion if the system measures both fecal and total coliform</w:t>
      </w:r>
    </w:p>
    <w:p w:rsidR="006A7549" w:rsidRDefault="006A7549" w:rsidP="006A7549">
      <w:pPr>
        <w:numPr>
          <w:ilvl w:val="0"/>
          <w:numId w:val="2"/>
        </w:numPr>
        <w:tabs>
          <w:tab w:val="left" w:pos="-1440"/>
          <w:tab w:val="left" w:pos="-720"/>
          <w:tab w:val="left" w:pos="-450"/>
          <w:tab w:val="left" w:pos="-270"/>
        </w:tabs>
        <w:suppressAutoHyphens/>
        <w:spacing w:after="120"/>
        <w:rPr>
          <w:spacing w:val="-3"/>
        </w:rPr>
      </w:pPr>
      <w:r>
        <w:rPr>
          <w:spacing w:val="-3"/>
        </w:rPr>
        <w:t>Turbidity Limits (prior to disinfection)</w:t>
      </w:r>
    </w:p>
    <w:p w:rsidR="006A7549" w:rsidRDefault="006A7549" w:rsidP="006A7549">
      <w:pPr>
        <w:tabs>
          <w:tab w:val="left" w:pos="-1440"/>
          <w:tab w:val="left" w:pos="-720"/>
          <w:tab w:val="left" w:pos="-450"/>
          <w:tab w:val="left" w:pos="-270"/>
        </w:tabs>
        <w:suppressAutoHyphens/>
        <w:spacing w:after="120"/>
        <w:ind w:left="2160" w:hanging="810"/>
        <w:rPr>
          <w:spacing w:val="-3"/>
        </w:rPr>
      </w:pPr>
      <w:r>
        <w:rPr>
          <w:spacing w:val="-3"/>
        </w:rPr>
        <w:sym w:font="Symbol" w:char="F0E0"/>
      </w:r>
      <w:r>
        <w:rPr>
          <w:spacing w:val="-3"/>
        </w:rPr>
        <w:tab/>
      </w:r>
      <w:proofErr w:type="gramStart"/>
      <w:r>
        <w:rPr>
          <w:spacing w:val="-3"/>
        </w:rPr>
        <w:t>Turbidity less than 5 NTU, unless the high turbidity event is determined by the State to be unusual, unpredictable, and infrequent.</w:t>
      </w:r>
      <w:proofErr w:type="gramEnd"/>
    </w:p>
    <w:p w:rsidR="006A7549" w:rsidRDefault="006A7549" w:rsidP="006A7549">
      <w:pPr>
        <w:tabs>
          <w:tab w:val="left" w:pos="-1440"/>
          <w:tab w:val="left" w:pos="-720"/>
          <w:tab w:val="left" w:pos="-450"/>
          <w:tab w:val="left" w:pos="-270"/>
        </w:tabs>
        <w:suppressAutoHyphens/>
        <w:ind w:left="1354"/>
        <w:rPr>
          <w:spacing w:val="-3"/>
        </w:rPr>
      </w:pPr>
      <w:r>
        <w:rPr>
          <w:spacing w:val="-3"/>
        </w:rPr>
        <w:sym w:font="Symbol" w:char="F0E0"/>
      </w:r>
      <w:r>
        <w:rPr>
          <w:spacing w:val="-3"/>
        </w:rPr>
        <w:tab/>
        <w:t>Compliance is based on measurements taken every 4 hours.</w:t>
      </w:r>
    </w:p>
    <w:p w:rsidR="006A7549" w:rsidRDefault="006A7549" w:rsidP="006A7549">
      <w:pPr>
        <w:tabs>
          <w:tab w:val="left" w:pos="-1440"/>
          <w:tab w:val="left" w:pos="-720"/>
          <w:tab w:val="left" w:pos="-450"/>
          <w:tab w:val="left" w:pos="-270"/>
        </w:tabs>
        <w:suppressAutoHyphens/>
        <w:rPr>
          <w:spacing w:val="-3"/>
        </w:rPr>
      </w:pPr>
      <w:r>
        <w:rPr>
          <w:spacing w:val="-3"/>
        </w:rPr>
        <w:t xml:space="preserve">The HWW maintains hard copies of the coliform and turbidity sampling results for the </w:t>
      </w:r>
      <w:proofErr w:type="spellStart"/>
      <w:r>
        <w:rPr>
          <w:spacing w:val="-3"/>
        </w:rPr>
        <w:t>Tighe-Carmody</w:t>
      </w:r>
      <w:proofErr w:type="spellEnd"/>
      <w:r>
        <w:rPr>
          <w:spacing w:val="-3"/>
        </w:rPr>
        <w:t xml:space="preserve"> and McLean Reservoirs.  Both reservoirs continue to meet the criteria of the filtration waiver.  Because both the Ashley and Whiting Street Reservoirs are considered emergency supplies, the HWW does not sample raw water quality in these reservoirs.</w:t>
      </w:r>
    </w:p>
    <w:p w:rsidR="00592D91" w:rsidRDefault="00592D91">
      <w:bookmarkStart w:id="1" w:name="_GoBack"/>
      <w:bookmarkEnd w:id="1"/>
    </w:p>
    <w:sectPr w:rsidR="00592D91" w:rsidSect="007775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AF2996"/>
    <w:multiLevelType w:val="multilevel"/>
    <w:tmpl w:val="14008A62"/>
    <w:lvl w:ilvl="0">
      <w:start w:val="1"/>
      <w:numFmt w:val="decimal"/>
      <w:pStyle w:val="Heading1"/>
      <w:lvlText w:val="%1"/>
      <w:lvlJc w:val="left"/>
      <w:pPr>
        <w:tabs>
          <w:tab w:val="num" w:pos="432"/>
        </w:tabs>
        <w:ind w:left="432" w:hanging="432"/>
      </w:pPr>
      <w:rPr>
        <w:caps w:val="0"/>
        <w:smallCaps w:val="0"/>
        <w:vanish/>
      </w:rPr>
    </w:lvl>
    <w:lvl w:ilvl="1">
      <w:start w:val="1"/>
      <w:numFmt w:val="decimal"/>
      <w:pStyle w:val="Heading2"/>
      <w:lvlText w:val="%1.%2"/>
      <w:lvlJc w:val="left"/>
      <w:pPr>
        <w:tabs>
          <w:tab w:val="num" w:pos="576"/>
        </w:tabs>
        <w:ind w:left="576" w:hanging="576"/>
      </w:pPr>
      <w:rPr>
        <w:caps w:val="0"/>
      </w:rPr>
    </w:lvl>
    <w:lvl w:ilvl="2">
      <w:start w:val="1"/>
      <w:numFmt w:val="decimal"/>
      <w:pStyle w:val="Heading3"/>
      <w:lvlText w:val="%1.%2.%3"/>
      <w:lvlJc w:val="left"/>
      <w:pPr>
        <w:tabs>
          <w:tab w:val="num" w:pos="720"/>
        </w:tabs>
        <w:ind w:left="720" w:hanging="720"/>
      </w:pPr>
      <w:rPr>
        <w:caps w:val="0"/>
        <w:smallCaps/>
      </w:rPr>
    </w:lvl>
    <w:lvl w:ilvl="3">
      <w:start w:val="1"/>
      <w:numFmt w:val="decimal"/>
      <w:pStyle w:val="Heading4"/>
      <w:lvlText w:val="%1.%2.%3.%4"/>
      <w:lvlJc w:val="left"/>
      <w:pPr>
        <w:tabs>
          <w:tab w:val="num" w:pos="864"/>
        </w:tabs>
        <w:ind w:left="864" w:hanging="864"/>
      </w:pPr>
      <w:rPr>
        <w:caps w:val="0"/>
        <w:smallCaps/>
      </w:rPr>
    </w:lvl>
    <w:lvl w:ilvl="4">
      <w:start w:val="1"/>
      <w:numFmt w:val="decimal"/>
      <w:pStyle w:val="Heading5"/>
      <w:lvlText w:val="%1.%2.%3.%4.%5"/>
      <w:lvlJc w:val="left"/>
      <w:pPr>
        <w:tabs>
          <w:tab w:val="num" w:pos="1008"/>
        </w:tabs>
        <w:ind w:left="1008" w:hanging="1008"/>
      </w:pPr>
      <w:rPr>
        <w:caps w:val="0"/>
        <w:smallCaps/>
      </w:rPr>
    </w:lvl>
    <w:lvl w:ilvl="5">
      <w:start w:val="1"/>
      <w:numFmt w:val="decimal"/>
      <w:pStyle w:val="Heading6"/>
      <w:lvlText w:val="%1.%2.%3.%4.%5.%6"/>
      <w:lvlJc w:val="left"/>
      <w:pPr>
        <w:tabs>
          <w:tab w:val="num" w:pos="1152"/>
        </w:tabs>
        <w:ind w:left="1152" w:hanging="1152"/>
      </w:pPr>
      <w:rPr>
        <w:caps w:val="0"/>
        <w:smallCaps/>
      </w:rPr>
    </w:lvl>
    <w:lvl w:ilvl="6">
      <w:start w:val="1"/>
      <w:numFmt w:val="decimal"/>
      <w:pStyle w:val="Heading7"/>
      <w:lvlText w:val="%1.%2.%3.%4.%5.%6.%7"/>
      <w:lvlJc w:val="left"/>
      <w:pPr>
        <w:tabs>
          <w:tab w:val="num" w:pos="1296"/>
        </w:tabs>
        <w:ind w:left="1296" w:hanging="1296"/>
      </w:pPr>
      <w:rPr>
        <w:caps w:val="0"/>
        <w:smallCaps/>
      </w:rPr>
    </w:lvl>
    <w:lvl w:ilvl="7">
      <w:start w:val="1"/>
      <w:numFmt w:val="decimal"/>
      <w:pStyle w:val="Heading8"/>
      <w:lvlText w:val="%1.%2.%3.%4.%5.%6.%7.%8"/>
      <w:lvlJc w:val="left"/>
      <w:pPr>
        <w:tabs>
          <w:tab w:val="num" w:pos="1440"/>
        </w:tabs>
        <w:ind w:left="1440" w:hanging="1440"/>
      </w:pPr>
      <w:rPr>
        <w:caps w:val="0"/>
        <w:smallCaps/>
      </w:rPr>
    </w:lvl>
    <w:lvl w:ilvl="8">
      <w:start w:val="1"/>
      <w:numFmt w:val="decimal"/>
      <w:pStyle w:val="Heading9"/>
      <w:lvlText w:val="%1.%2.%3.%4.%5.%6.%7.%8.%9"/>
      <w:lvlJc w:val="left"/>
      <w:pPr>
        <w:tabs>
          <w:tab w:val="num" w:pos="1584"/>
        </w:tabs>
        <w:ind w:left="1584" w:hanging="1584"/>
      </w:pPr>
      <w:rPr>
        <w:caps w:val="0"/>
        <w:smallCaps/>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49"/>
    <w:rsid w:val="00592D91"/>
    <w:rsid w:val="006A7549"/>
    <w:rsid w:val="0077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B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49"/>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6A7549"/>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6A7549"/>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6A7549"/>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6A7549"/>
    <w:pPr>
      <w:keepNext/>
      <w:numPr>
        <w:ilvl w:val="3"/>
        <w:numId w:val="1"/>
      </w:numPr>
      <w:outlineLvl w:val="3"/>
    </w:pPr>
    <w:rPr>
      <w:rFonts w:ascii="Arial" w:hAnsi="Arial"/>
      <w:b/>
    </w:rPr>
  </w:style>
  <w:style w:type="paragraph" w:styleId="Heading5">
    <w:name w:val="heading 5"/>
    <w:basedOn w:val="Normal"/>
    <w:next w:val="Normal"/>
    <w:link w:val="Heading5Char"/>
    <w:qFormat/>
    <w:rsid w:val="006A7549"/>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6A7549"/>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6A754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6A754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6A754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549"/>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6A7549"/>
    <w:rPr>
      <w:rFonts w:ascii="Arial" w:eastAsia="Times New Roman" w:hAnsi="Arial" w:cs="Times New Roman"/>
      <w:b/>
      <w:smallCaps/>
      <w:sz w:val="28"/>
      <w:szCs w:val="20"/>
    </w:rPr>
  </w:style>
  <w:style w:type="character" w:customStyle="1" w:styleId="Heading3Char">
    <w:name w:val="Heading 3 Char"/>
    <w:basedOn w:val="DefaultParagraphFont"/>
    <w:link w:val="Heading3"/>
    <w:rsid w:val="006A7549"/>
    <w:rPr>
      <w:rFonts w:ascii="Arial" w:eastAsia="Times New Roman" w:hAnsi="Arial" w:cs="Times New Roman"/>
      <w:b/>
      <w:sz w:val="26"/>
      <w:szCs w:val="20"/>
    </w:rPr>
  </w:style>
  <w:style w:type="character" w:customStyle="1" w:styleId="Heading4Char">
    <w:name w:val="Heading 4 Char"/>
    <w:basedOn w:val="DefaultParagraphFont"/>
    <w:link w:val="Heading4"/>
    <w:rsid w:val="006A7549"/>
    <w:rPr>
      <w:rFonts w:ascii="Arial" w:eastAsia="Times New Roman" w:hAnsi="Arial" w:cs="Times New Roman"/>
      <w:b/>
      <w:szCs w:val="20"/>
    </w:rPr>
  </w:style>
  <w:style w:type="character" w:customStyle="1" w:styleId="Heading5Char">
    <w:name w:val="Heading 5 Char"/>
    <w:basedOn w:val="DefaultParagraphFont"/>
    <w:link w:val="Heading5"/>
    <w:rsid w:val="006A7549"/>
    <w:rPr>
      <w:rFonts w:ascii="Arial" w:eastAsia="Times New Roman" w:hAnsi="Arial" w:cs="Times New Roman"/>
      <w:b/>
      <w:szCs w:val="20"/>
    </w:rPr>
  </w:style>
  <w:style w:type="character" w:customStyle="1" w:styleId="Heading6Char">
    <w:name w:val="Heading 6 Char"/>
    <w:basedOn w:val="DefaultParagraphFont"/>
    <w:link w:val="Heading6"/>
    <w:rsid w:val="006A7549"/>
    <w:rPr>
      <w:rFonts w:ascii="Arial" w:eastAsia="Times New Roman" w:hAnsi="Arial" w:cs="Times New Roman"/>
      <w:i/>
      <w:sz w:val="22"/>
      <w:szCs w:val="20"/>
    </w:rPr>
  </w:style>
  <w:style w:type="character" w:customStyle="1" w:styleId="Heading7Char">
    <w:name w:val="Heading 7 Char"/>
    <w:basedOn w:val="DefaultParagraphFont"/>
    <w:link w:val="Heading7"/>
    <w:rsid w:val="006A7549"/>
    <w:rPr>
      <w:rFonts w:ascii="Arial" w:eastAsia="Times New Roman" w:hAnsi="Arial" w:cs="Times New Roman"/>
      <w:sz w:val="20"/>
      <w:szCs w:val="20"/>
    </w:rPr>
  </w:style>
  <w:style w:type="character" w:customStyle="1" w:styleId="Heading8Char">
    <w:name w:val="Heading 8 Char"/>
    <w:basedOn w:val="DefaultParagraphFont"/>
    <w:link w:val="Heading8"/>
    <w:rsid w:val="006A7549"/>
    <w:rPr>
      <w:rFonts w:ascii="Arial" w:eastAsia="Times New Roman" w:hAnsi="Arial" w:cs="Times New Roman"/>
      <w:i/>
      <w:sz w:val="20"/>
      <w:szCs w:val="20"/>
    </w:rPr>
  </w:style>
  <w:style w:type="character" w:customStyle="1" w:styleId="Heading9Char">
    <w:name w:val="Heading 9 Char"/>
    <w:basedOn w:val="DefaultParagraphFont"/>
    <w:link w:val="Heading9"/>
    <w:rsid w:val="006A7549"/>
    <w:rPr>
      <w:rFonts w:ascii="Arial" w:eastAsia="Times New Roman" w:hAnsi="Arial" w:cs="Times New Roman"/>
      <w:i/>
      <w:sz w:val="1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49"/>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6A7549"/>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6A7549"/>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6A7549"/>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6A7549"/>
    <w:pPr>
      <w:keepNext/>
      <w:numPr>
        <w:ilvl w:val="3"/>
        <w:numId w:val="1"/>
      </w:numPr>
      <w:outlineLvl w:val="3"/>
    </w:pPr>
    <w:rPr>
      <w:rFonts w:ascii="Arial" w:hAnsi="Arial"/>
      <w:b/>
    </w:rPr>
  </w:style>
  <w:style w:type="paragraph" w:styleId="Heading5">
    <w:name w:val="heading 5"/>
    <w:basedOn w:val="Normal"/>
    <w:next w:val="Normal"/>
    <w:link w:val="Heading5Char"/>
    <w:qFormat/>
    <w:rsid w:val="006A7549"/>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6A7549"/>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6A754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6A754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6A754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7549"/>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6A7549"/>
    <w:rPr>
      <w:rFonts w:ascii="Arial" w:eastAsia="Times New Roman" w:hAnsi="Arial" w:cs="Times New Roman"/>
      <w:b/>
      <w:smallCaps/>
      <w:sz w:val="28"/>
      <w:szCs w:val="20"/>
    </w:rPr>
  </w:style>
  <w:style w:type="character" w:customStyle="1" w:styleId="Heading3Char">
    <w:name w:val="Heading 3 Char"/>
    <w:basedOn w:val="DefaultParagraphFont"/>
    <w:link w:val="Heading3"/>
    <w:rsid w:val="006A7549"/>
    <w:rPr>
      <w:rFonts w:ascii="Arial" w:eastAsia="Times New Roman" w:hAnsi="Arial" w:cs="Times New Roman"/>
      <w:b/>
      <w:sz w:val="26"/>
      <w:szCs w:val="20"/>
    </w:rPr>
  </w:style>
  <w:style w:type="character" w:customStyle="1" w:styleId="Heading4Char">
    <w:name w:val="Heading 4 Char"/>
    <w:basedOn w:val="DefaultParagraphFont"/>
    <w:link w:val="Heading4"/>
    <w:rsid w:val="006A7549"/>
    <w:rPr>
      <w:rFonts w:ascii="Arial" w:eastAsia="Times New Roman" w:hAnsi="Arial" w:cs="Times New Roman"/>
      <w:b/>
      <w:szCs w:val="20"/>
    </w:rPr>
  </w:style>
  <w:style w:type="character" w:customStyle="1" w:styleId="Heading5Char">
    <w:name w:val="Heading 5 Char"/>
    <w:basedOn w:val="DefaultParagraphFont"/>
    <w:link w:val="Heading5"/>
    <w:rsid w:val="006A7549"/>
    <w:rPr>
      <w:rFonts w:ascii="Arial" w:eastAsia="Times New Roman" w:hAnsi="Arial" w:cs="Times New Roman"/>
      <w:b/>
      <w:szCs w:val="20"/>
    </w:rPr>
  </w:style>
  <w:style w:type="character" w:customStyle="1" w:styleId="Heading6Char">
    <w:name w:val="Heading 6 Char"/>
    <w:basedOn w:val="DefaultParagraphFont"/>
    <w:link w:val="Heading6"/>
    <w:rsid w:val="006A7549"/>
    <w:rPr>
      <w:rFonts w:ascii="Arial" w:eastAsia="Times New Roman" w:hAnsi="Arial" w:cs="Times New Roman"/>
      <w:i/>
      <w:sz w:val="22"/>
      <w:szCs w:val="20"/>
    </w:rPr>
  </w:style>
  <w:style w:type="character" w:customStyle="1" w:styleId="Heading7Char">
    <w:name w:val="Heading 7 Char"/>
    <w:basedOn w:val="DefaultParagraphFont"/>
    <w:link w:val="Heading7"/>
    <w:rsid w:val="006A7549"/>
    <w:rPr>
      <w:rFonts w:ascii="Arial" w:eastAsia="Times New Roman" w:hAnsi="Arial" w:cs="Times New Roman"/>
      <w:sz w:val="20"/>
      <w:szCs w:val="20"/>
    </w:rPr>
  </w:style>
  <w:style w:type="character" w:customStyle="1" w:styleId="Heading8Char">
    <w:name w:val="Heading 8 Char"/>
    <w:basedOn w:val="DefaultParagraphFont"/>
    <w:link w:val="Heading8"/>
    <w:rsid w:val="006A7549"/>
    <w:rPr>
      <w:rFonts w:ascii="Arial" w:eastAsia="Times New Roman" w:hAnsi="Arial" w:cs="Times New Roman"/>
      <w:i/>
      <w:sz w:val="20"/>
      <w:szCs w:val="20"/>
    </w:rPr>
  </w:style>
  <w:style w:type="character" w:customStyle="1" w:styleId="Heading9Char">
    <w:name w:val="Heading 9 Char"/>
    <w:basedOn w:val="DefaultParagraphFont"/>
    <w:link w:val="Heading9"/>
    <w:rsid w:val="006A7549"/>
    <w:rPr>
      <w:rFonts w:ascii="Arial" w:eastAsia="Times New Roman" w:hAnsi="Arial"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Macintosh Word</Application>
  <DocSecurity>0</DocSecurity>
  <Lines>13</Lines>
  <Paragraphs>3</Paragraphs>
  <ScaleCrop>false</ScaleCrop>
  <Company>Holyoke Community College</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Pooler</dc:creator>
  <cp:keywords/>
  <dc:description/>
  <cp:lastModifiedBy>Eileen Pooler</cp:lastModifiedBy>
  <cp:revision>1</cp:revision>
  <dcterms:created xsi:type="dcterms:W3CDTF">2012-11-19T17:37:00Z</dcterms:created>
  <dcterms:modified xsi:type="dcterms:W3CDTF">2012-11-19T17:37:00Z</dcterms:modified>
</cp:coreProperties>
</file>