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E0F53" w14:textId="6649B38B" w:rsidR="00657F2D" w:rsidRDefault="002F7B36">
      <w:r>
        <w:rPr>
          <w:noProof/>
        </w:rPr>
        <w:drawing>
          <wp:inline distT="0" distB="0" distL="0" distR="0" wp14:anchorId="706EA11E" wp14:editId="5303DB98">
            <wp:extent cx="5554980" cy="3268980"/>
            <wp:effectExtent l="0" t="0" r="7620" b="7620"/>
            <wp:docPr id="1" name="Chart 1" descr="Time trend for last five years showing total outstanding tax-supported and revenue-supported debt; and" title="Tax Supported and Revenue Supported Debt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bookmarkStart w:id="0" w:name="_GoBack"/>
      <w:bookmarkEnd w:id="0"/>
    </w:p>
    <w:p w14:paraId="443CA9C5" w14:textId="77777777" w:rsidR="002F7B36" w:rsidRDefault="002F7B36"/>
    <w:p w14:paraId="3A92F74C" w14:textId="3325E3C5" w:rsidR="002F7B36" w:rsidRDefault="002F7B36"/>
    <w:p w14:paraId="4F9FC924" w14:textId="77777777" w:rsidR="002F7B36" w:rsidRDefault="002F7B36"/>
    <w:p w14:paraId="24A07C72" w14:textId="4908A300" w:rsidR="002F7B36" w:rsidRDefault="002F7B36">
      <w:r>
        <w:rPr>
          <w:noProof/>
        </w:rPr>
        <w:drawing>
          <wp:inline distT="0" distB="0" distL="0" distR="0" wp14:anchorId="6B62085F" wp14:editId="70E215E8">
            <wp:extent cx="5547360" cy="3755390"/>
            <wp:effectExtent l="0" t="0" r="15240" b="1651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sectPr w:rsidR="002F7B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B36"/>
    <w:rsid w:val="002F7B36"/>
    <w:rsid w:val="00657F2D"/>
    <w:rsid w:val="00A1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5D0E5"/>
  <w15:chartTrackingRefBased/>
  <w15:docId w15:val="{F4716D0D-66E5-4B2E-BFB4-8FA90F555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chart" Target="charts/chart2.xml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600" b="1">
                <a:solidFill>
                  <a:schemeClr val="tx1"/>
                </a:solidFill>
              </a:rPr>
              <a:t>City of Lucas: Tax-Supported and Revenue-Supported Debt, </a:t>
            </a:r>
          </a:p>
          <a:p>
            <a:pPr>
              <a:defRPr sz="1600" b="1">
                <a:solidFill>
                  <a:schemeClr val="tx1"/>
                </a:solidFill>
              </a:defRPr>
            </a:pPr>
            <a:r>
              <a:rPr lang="en-US" sz="1600" b="1">
                <a:solidFill>
                  <a:schemeClr val="tx1"/>
                </a:solidFill>
              </a:rPr>
              <a:t>Fiscal 2013-2017 (in Millions)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978821352677182"/>
          <c:y val="0.11967348719528749"/>
          <c:w val="0.7955522873529236"/>
          <c:h val="0.6957437576678202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'Debt Data'!$B$2</c:f>
              <c:strCache>
                <c:ptCount val="1"/>
                <c:pt idx="0">
                  <c:v>Tax-Supported Debt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'Debt Data'!$A$3:$A$7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'Debt Data'!$B$3:$B$7</c:f>
              <c:numCache>
                <c:formatCode>"$"#,##0.00</c:formatCode>
                <c:ptCount val="5"/>
                <c:pt idx="0">
                  <c:v>6.4090000000000007</c:v>
                </c:pt>
                <c:pt idx="1">
                  <c:v>6.3239999999999998</c:v>
                </c:pt>
                <c:pt idx="2">
                  <c:v>7.9029999999999996</c:v>
                </c:pt>
                <c:pt idx="3">
                  <c:v>7.2869999999999999</c:v>
                </c:pt>
                <c:pt idx="4">
                  <c:v>12.545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72-4314-97B2-FFF1F063AAD7}"/>
            </c:ext>
          </c:extLst>
        </c:ser>
        <c:ser>
          <c:idx val="2"/>
          <c:order val="1"/>
          <c:tx>
            <c:strRef>
              <c:f>'Debt Data'!$C$2</c:f>
              <c:strCache>
                <c:ptCount val="1"/>
                <c:pt idx="0">
                  <c:v>Revenue-Supported Debt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'Debt Data'!$A$3:$A$7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'Debt Data'!$C$3:$C$7</c:f>
              <c:numCache>
                <c:formatCode>"$"#,##0.00</c:formatCode>
                <c:ptCount val="5"/>
                <c:pt idx="0">
                  <c:v>4.9660000000000002</c:v>
                </c:pt>
                <c:pt idx="1">
                  <c:v>4.62</c:v>
                </c:pt>
                <c:pt idx="2">
                  <c:v>4.28</c:v>
                </c:pt>
                <c:pt idx="3">
                  <c:v>3.915</c:v>
                </c:pt>
                <c:pt idx="4">
                  <c:v>6.46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72-4314-97B2-FFF1F063AAD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5"/>
        <c:overlap val="-2"/>
        <c:axId val="38889344"/>
        <c:axId val="38895616"/>
      </c:barChart>
      <c:catAx>
        <c:axId val="388893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>
                    <a:solidFill>
                      <a:schemeClr val="tx1"/>
                    </a:solidFill>
                  </a:rPr>
                  <a:t>Fiscal Year</a:t>
                </a:r>
              </a:p>
            </c:rich>
          </c:tx>
          <c:layout>
            <c:manualLayout>
              <c:xMode val="edge"/>
              <c:yMode val="edge"/>
              <c:x val="0.46509102227606164"/>
              <c:y val="0.8735889105680506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895616"/>
        <c:crosses val="autoZero"/>
        <c:auto val="1"/>
        <c:lblAlgn val="ctr"/>
        <c:lblOffset val="100"/>
        <c:noMultiLvlLbl val="0"/>
      </c:catAx>
      <c:valAx>
        <c:axId val="3889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1">
                    <a:solidFill>
                      <a:schemeClr val="tx1"/>
                    </a:solidFill>
                  </a:rPr>
                  <a:t>Millions of Dollars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&quot;$&quot;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889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144474729120398"/>
          <c:y val="0.93549447799307595"/>
          <c:w val="0.75711033716939224"/>
          <c:h val="4.6848076450714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en-US" sz="1600"/>
              <a:t>City of Lucas:  Inflation-Adjusted Tax-Supported Debt Per Capita, </a:t>
            </a:r>
          </a:p>
          <a:p>
            <a:pPr>
              <a:defRPr sz="1600"/>
            </a:pPr>
            <a:r>
              <a:rPr lang="en-US" sz="1600"/>
              <a:t>Fiscal 2013-2017 (2017 Dollars)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3775790438436003"/>
          <c:y val="0.15214855144464479"/>
          <c:w val="0.78437541981112291"/>
          <c:h val="0.66872265966754152"/>
        </c:manualLayout>
      </c:layout>
      <c:barChart>
        <c:barDir val="col"/>
        <c:grouping val="clustered"/>
        <c:varyColors val="0"/>
        <c:ser>
          <c:idx val="0"/>
          <c:order val="0"/>
          <c:tx>
            <c:v>Tax-Supported debt per capta with inflation</c:v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Data!$A$2:$A$6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Data!$E$2:$E$6</c:f>
              <c:numCache>
                <c:formatCode>_("$"* #,##0_);_("$"* \(#,##0\);_("$"* "-"??_);_(@_)</c:formatCode>
                <c:ptCount val="5"/>
                <c:pt idx="0">
                  <c:v>1022.083720475329</c:v>
                </c:pt>
                <c:pt idx="1">
                  <c:v>919.80690697492093</c:v>
                </c:pt>
                <c:pt idx="2">
                  <c:v>1104.9269264284824</c:v>
                </c:pt>
                <c:pt idx="3">
                  <c:v>962.14068413760481</c:v>
                </c:pt>
                <c:pt idx="4">
                  <c:v>1680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E2-49B1-B8B8-CA52DF20C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8"/>
        <c:axId val="35918208"/>
        <c:axId val="35920128"/>
      </c:barChart>
      <c:catAx>
        <c:axId val="35918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400">
                    <a:solidFill>
                      <a:schemeClr val="tx1"/>
                    </a:solidFill>
                  </a:defRPr>
                </a:pPr>
                <a:r>
                  <a:rPr lang="en-US" sz="1400">
                    <a:solidFill>
                      <a:schemeClr val="tx1"/>
                    </a:solidFill>
                  </a:rPr>
                  <a:t>Fiscal Year</a:t>
                </a:r>
              </a:p>
            </c:rich>
          </c:tx>
          <c:layout>
            <c:manualLayout>
              <c:xMode val="edge"/>
              <c:yMode val="edge"/>
              <c:x val="0.47852196608410558"/>
              <c:y val="0.8994147678344973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bg1"/>
            </a:solidFill>
          </a:ln>
        </c:spPr>
        <c:txPr>
          <a:bodyPr/>
          <a:lstStyle/>
          <a:p>
            <a:pPr>
              <a:defRPr sz="1200" b="1"/>
            </a:pPr>
            <a:endParaRPr lang="en-US"/>
          </a:p>
        </c:txPr>
        <c:crossAx val="35920128"/>
        <c:crosses val="autoZero"/>
        <c:auto val="1"/>
        <c:lblAlgn val="ctr"/>
        <c:lblOffset val="100"/>
        <c:noMultiLvlLbl val="0"/>
      </c:catAx>
      <c:valAx>
        <c:axId val="35920128"/>
        <c:scaling>
          <c:orientation val="minMax"/>
          <c:max val="1700"/>
          <c:min val="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en-US" sz="1400"/>
                  <a:t>Dollars</a:t>
                </a:r>
              </a:p>
            </c:rich>
          </c:tx>
          <c:layout>
            <c:manualLayout>
              <c:xMode val="edge"/>
              <c:yMode val="edge"/>
              <c:x val="7.2644525203580321E-3"/>
              <c:y val="0.44743659619867104"/>
            </c:manualLayout>
          </c:layout>
          <c:overlay val="0"/>
        </c:title>
        <c:numFmt formatCode="&quot;$&quot;#,##0" sourceLinked="0"/>
        <c:majorTickMark val="out"/>
        <c:minorTickMark val="none"/>
        <c:tickLblPos val="nextTo"/>
        <c:spPr>
          <a:ln>
            <a:solidFill>
              <a:schemeClr val="bg1"/>
            </a:solidFill>
          </a:ln>
        </c:spPr>
        <c:txPr>
          <a:bodyPr/>
          <a:lstStyle/>
          <a:p>
            <a:pPr>
              <a:defRPr sz="1200" b="1"/>
            </a:pPr>
            <a:endParaRPr lang="en-US"/>
          </a:p>
        </c:txPr>
        <c:crossAx val="35918208"/>
        <c:crosses val="autoZero"/>
        <c:crossBetween val="between"/>
      </c:valAx>
      <c:spPr>
        <a:ln>
          <a:solidFill>
            <a:schemeClr val="bg1"/>
          </a:solidFill>
        </a:ln>
      </c:spPr>
    </c:plotArea>
    <c:plotVisOnly val="1"/>
    <c:dispBlanksAs val="gap"/>
    <c:showDLblsOverMax val="0"/>
  </c:chart>
  <c:spPr>
    <a:ln>
      <a:solidFill>
        <a:schemeClr val="bg1">
          <a:lumMod val="75000"/>
        </a:schemeClr>
      </a:solidFill>
    </a:ln>
  </c:sp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0.00709</cdr:x>
      <cdr:y>0.83974</cdr:y>
    </cdr:from>
    <cdr:to>
      <cdr:x>0.11604</cdr:x>
      <cdr:y>0.9937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DEEF2F2-88D0-4219-8F21-F6A0C9672EA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1267" y="5273850"/>
          <a:ext cx="941544" cy="966863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0.01075</cdr:x>
      <cdr:y>0.83504</cdr:y>
    </cdr:from>
    <cdr:to>
      <cdr:x>0.11983</cdr:x>
      <cdr:y>0.98953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C50C8208-2512-4315-B799-EF650102B44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93079" y="5249505"/>
          <a:ext cx="944274" cy="97118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Gipson</dc:creator>
  <cp:keywords/>
  <dc:description/>
  <cp:lastModifiedBy>Alicia Gipson</cp:lastModifiedBy>
  <cp:revision>1</cp:revision>
  <dcterms:created xsi:type="dcterms:W3CDTF">2018-05-21T16:37:00Z</dcterms:created>
  <dcterms:modified xsi:type="dcterms:W3CDTF">2018-05-21T16:42:00Z</dcterms:modified>
</cp:coreProperties>
</file>