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376382D1"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1F7151">
        <w:rPr>
          <w:rFonts w:asciiTheme="minorHAnsi" w:eastAsia="MS Mincho" w:hAnsiTheme="minorHAnsi" w:cstheme="minorHAnsi"/>
          <w:szCs w:val="24"/>
          <w:u w:val="single"/>
        </w:rPr>
        <w:t>1011 Irwin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1EB6080D"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C200B7">
        <w:rPr>
          <w:rFonts w:asciiTheme="minorHAnsi" w:eastAsia="MS Mincho" w:hAnsiTheme="minorHAnsi" w:cstheme="minorHAnsi"/>
          <w:spacing w:val="-2"/>
          <w:szCs w:val="18"/>
        </w:rPr>
        <w:t xml:space="preserve">APN </w:t>
      </w:r>
      <w:r w:rsidR="00C200B7" w:rsidRPr="00C200B7">
        <w:rPr>
          <w:rFonts w:ascii="Calibri" w:hAnsi="Calibri" w:cs="Calibri"/>
          <w:szCs w:val="18"/>
        </w:rPr>
        <w:t>014-085-10</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F31CEE5" w14:textId="0B89E515" w:rsidR="00327B2A" w:rsidRDefault="00C200B7" w:rsidP="00C200B7">
      <w:pPr>
        <w:autoSpaceDE w:val="0"/>
        <w:autoSpaceDN w:val="0"/>
        <w:adjustRightInd w:val="0"/>
        <w:rPr>
          <w:rFonts w:ascii="Calibri" w:hAnsi="Calibri" w:cs="Calibri"/>
          <w:szCs w:val="18"/>
        </w:rPr>
      </w:pPr>
      <w:r w:rsidRPr="00C200B7">
        <w:rPr>
          <w:rFonts w:ascii="Calibri" w:hAnsi="Calibri" w:cs="Calibri"/>
          <w:szCs w:val="18"/>
        </w:rPr>
        <w:t>The two-story building has a rectangular plan and hipped roof with small gables</w:t>
      </w:r>
      <w:r>
        <w:rPr>
          <w:rFonts w:ascii="Calibri" w:hAnsi="Calibri" w:cs="Calibri"/>
          <w:szCs w:val="18"/>
        </w:rPr>
        <w:t xml:space="preserve"> </w:t>
      </w:r>
      <w:r w:rsidRPr="00C200B7">
        <w:rPr>
          <w:rFonts w:ascii="Calibri" w:hAnsi="Calibri" w:cs="Calibri"/>
          <w:szCs w:val="18"/>
        </w:rPr>
        <w:t>on the main façade and one side. Under the gable on the front is a projecting</w:t>
      </w:r>
      <w:r>
        <w:rPr>
          <w:rFonts w:ascii="Calibri" w:hAnsi="Calibri" w:cs="Calibri"/>
          <w:szCs w:val="18"/>
        </w:rPr>
        <w:t xml:space="preserve"> </w:t>
      </w:r>
      <w:r w:rsidRPr="00C200B7">
        <w:rPr>
          <w:rFonts w:ascii="Calibri" w:hAnsi="Calibri" w:cs="Calibri"/>
          <w:szCs w:val="18"/>
        </w:rPr>
        <w:t>volume with a second-floor bay window; next to the volume is the second-floor</w:t>
      </w:r>
      <w:r>
        <w:rPr>
          <w:rFonts w:ascii="Calibri" w:hAnsi="Calibri" w:cs="Calibri"/>
          <w:szCs w:val="18"/>
        </w:rPr>
        <w:t xml:space="preserve"> </w:t>
      </w:r>
      <w:r w:rsidRPr="00C200B7">
        <w:rPr>
          <w:rFonts w:ascii="Calibri" w:hAnsi="Calibri" w:cs="Calibri"/>
          <w:szCs w:val="18"/>
        </w:rPr>
        <w:t>partial-width projecting porch. The building is clad in a wood clapboard and</w:t>
      </w:r>
      <w:r>
        <w:rPr>
          <w:rFonts w:ascii="Calibri" w:hAnsi="Calibri" w:cs="Calibri"/>
          <w:szCs w:val="18"/>
        </w:rPr>
        <w:t xml:space="preserve"> </w:t>
      </w:r>
      <w:r w:rsidRPr="00C200B7">
        <w:rPr>
          <w:rFonts w:ascii="Calibri" w:hAnsi="Calibri" w:cs="Calibri"/>
          <w:szCs w:val="18"/>
        </w:rPr>
        <w:t>decorative shingles at gable ends.</w:t>
      </w:r>
    </w:p>
    <w:p w14:paraId="442602FD" w14:textId="77777777" w:rsidR="00C200B7" w:rsidRPr="00C200B7" w:rsidRDefault="00C200B7" w:rsidP="00C200B7">
      <w:pPr>
        <w:autoSpaceDE w:val="0"/>
        <w:autoSpaceDN w:val="0"/>
        <w:adjustRightInd w:val="0"/>
        <w:rPr>
          <w:rFonts w:ascii="Calibri" w:hAnsi="Calibri" w:cs="Calibri"/>
          <w:szCs w:val="18"/>
        </w:rPr>
      </w:pPr>
    </w:p>
    <w:p w14:paraId="5F77CDC0" w14:textId="13E69012"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2A5CEE" w:rsidRPr="001D5420">
        <w:rPr>
          <w:rFonts w:asciiTheme="minorHAnsi" w:hAnsiTheme="minorHAnsi" w:cstheme="minorHAnsi"/>
          <w:sz w:val="18"/>
          <w:szCs w:val="18"/>
        </w:rPr>
        <w:t>HP</w:t>
      </w:r>
      <w:r w:rsidR="00F84159" w:rsidRPr="001D5420">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9E0D1E" w:rsidRPr="001D5420">
        <w:rPr>
          <w:rFonts w:asciiTheme="minorHAnsi" w:hAnsiTheme="minorHAnsi" w:cstheme="minorHAnsi"/>
          <w:sz w:val="18"/>
          <w:szCs w:val="18"/>
        </w:rPr>
        <w:t xml:space="preserve">Single Family </w:t>
      </w:r>
      <w:r w:rsidR="00F84159" w:rsidRPr="001D5420">
        <w:rPr>
          <w:rFonts w:asciiTheme="minorHAnsi" w:hAnsiTheme="minorHAnsi" w:cstheme="minorHAnsi"/>
          <w:sz w:val="18"/>
          <w:szCs w:val="18"/>
        </w:rPr>
        <w:t>Property</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0CE49B47" w14:textId="0653C0CD" w:rsidR="00F67779" w:rsidRDefault="00C200B7" w:rsidP="00C200B7">
                            <w:pPr>
                              <w:jc w:val="center"/>
                              <w:rPr>
                                <w:rFonts w:ascii="Tahoma" w:hAnsi="Tahoma" w:cs="Tahoma"/>
                                <w:sz w:val="16"/>
                              </w:rPr>
                            </w:pPr>
                            <w:r w:rsidRPr="00C200B7">
                              <w:rPr>
                                <w:rFonts w:ascii="Tahoma" w:hAnsi="Tahoma" w:cs="Tahoma"/>
                                <w:noProof/>
                                <w:sz w:val="16"/>
                              </w:rPr>
                              <w:drawing>
                                <wp:inline distT="0" distB="0" distL="0" distR="0" wp14:anchorId="56182BA6" wp14:editId="491E777B">
                                  <wp:extent cx="4506595" cy="337756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77565"/>
                                          </a:xfrm>
                                          <a:prstGeom prst="rect">
                                            <a:avLst/>
                                          </a:prstGeom>
                                          <a:noFill/>
                                          <a:ln>
                                            <a:noFill/>
                                          </a:ln>
                                        </pic:spPr>
                                      </pic:pic>
                                    </a:graphicData>
                                  </a:graphic>
                                </wp:inline>
                              </w:drawing>
                            </w:r>
                          </w:p>
                          <w:p w14:paraId="342C6818" w14:textId="262468AC" w:rsidR="007A2CD9" w:rsidRDefault="00F67779" w:rsidP="00F67779">
                            <w:pPr>
                              <w:jc w:val="both"/>
                              <w:rPr>
                                <w:rFonts w:ascii="Tahoma" w:hAnsi="Tahoma" w:cs="Tahoma"/>
                                <w:sz w:val="16"/>
                              </w:rPr>
                            </w:pPr>
                            <w:r w:rsidRPr="00F67779">
                              <w:rPr>
                                <w:rFonts w:ascii="Tahoma" w:hAnsi="Tahoma" w:cs="Tahoma"/>
                                <w:noProof/>
                                <w:sz w:val="16"/>
                              </w:rPr>
                              <w:drawing>
                                <wp:inline distT="0" distB="0" distL="0" distR="0" wp14:anchorId="4464DCF7" wp14:editId="75F37E75">
                                  <wp:extent cx="6739128" cy="25603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9128" cy="2560320"/>
                                          </a:xfrm>
                                          <a:prstGeom prst="rect">
                                            <a:avLst/>
                                          </a:prstGeom>
                                          <a:noFill/>
                                          <a:ln>
                                            <a:noFill/>
                                          </a:ln>
                                        </pic:spPr>
                                      </pic:pic>
                                    </a:graphicData>
                                  </a:graphic>
                                </wp:inline>
                              </w:drawing>
                            </w: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0CE49B47" w14:textId="0653C0CD" w:rsidR="00F67779" w:rsidRDefault="00C200B7" w:rsidP="00C200B7">
                      <w:pPr>
                        <w:jc w:val="center"/>
                        <w:rPr>
                          <w:rFonts w:ascii="Tahoma" w:hAnsi="Tahoma" w:cs="Tahoma"/>
                          <w:sz w:val="16"/>
                        </w:rPr>
                      </w:pPr>
                      <w:r w:rsidRPr="00C200B7">
                        <w:rPr>
                          <w:rFonts w:ascii="Tahoma" w:hAnsi="Tahoma" w:cs="Tahoma"/>
                          <w:noProof/>
                          <w:sz w:val="16"/>
                        </w:rPr>
                        <w:drawing>
                          <wp:inline distT="0" distB="0" distL="0" distR="0" wp14:anchorId="56182BA6" wp14:editId="491E777B">
                            <wp:extent cx="4506595" cy="337756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77565"/>
                                    </a:xfrm>
                                    <a:prstGeom prst="rect">
                                      <a:avLst/>
                                    </a:prstGeom>
                                    <a:noFill/>
                                    <a:ln>
                                      <a:noFill/>
                                    </a:ln>
                                  </pic:spPr>
                                </pic:pic>
                              </a:graphicData>
                            </a:graphic>
                          </wp:inline>
                        </w:drawing>
                      </w:r>
                    </w:p>
                    <w:p w14:paraId="342C6818" w14:textId="262468AC" w:rsidR="007A2CD9" w:rsidRDefault="00F67779" w:rsidP="00F67779">
                      <w:pPr>
                        <w:jc w:val="both"/>
                        <w:rPr>
                          <w:rFonts w:ascii="Tahoma" w:hAnsi="Tahoma" w:cs="Tahoma"/>
                          <w:sz w:val="16"/>
                        </w:rPr>
                      </w:pPr>
                      <w:r w:rsidRPr="00F67779">
                        <w:rPr>
                          <w:rFonts w:ascii="Tahoma" w:hAnsi="Tahoma" w:cs="Tahoma"/>
                          <w:noProof/>
                          <w:sz w:val="16"/>
                        </w:rPr>
                        <w:drawing>
                          <wp:inline distT="0" distB="0" distL="0" distR="0" wp14:anchorId="4464DCF7" wp14:editId="75F37E75">
                            <wp:extent cx="6739128" cy="25603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9128" cy="2560320"/>
                                    </a:xfrm>
                                    <a:prstGeom prst="rect">
                                      <a:avLst/>
                                    </a:prstGeom>
                                    <a:noFill/>
                                    <a:ln>
                                      <a:noFill/>
                                    </a:ln>
                                  </pic:spPr>
                                </pic:pic>
                              </a:graphicData>
                            </a:graphic>
                          </wp:inline>
                        </w:drawing>
                      </w: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64EB21E2"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accession #)</w:t>
      </w:r>
      <w:r w:rsidR="00CD060F">
        <w:rPr>
          <w:rFonts w:asciiTheme="minorHAnsi" w:hAnsiTheme="minorHAnsi" w:cstheme="minorHAnsi"/>
          <w:szCs w:val="18"/>
          <w:u w:val="single"/>
        </w:rPr>
        <w:t xml:space="preserve"> </w:t>
      </w:r>
      <w:r w:rsidR="001F7151">
        <w:rPr>
          <w:rFonts w:asciiTheme="minorHAnsi" w:hAnsiTheme="minorHAnsi" w:cstheme="minorHAnsi"/>
          <w:szCs w:val="18"/>
          <w:u w:val="single"/>
        </w:rPr>
        <w:t>1011 Irwin Street</w:t>
      </w:r>
      <w:r w:rsidR="00CD060F">
        <w:rPr>
          <w:rFonts w:asciiTheme="minorHAnsi" w:hAnsiTheme="minorHAnsi" w:cstheme="minorHAnsi"/>
          <w:szCs w:val="18"/>
          <w:u w:val="single"/>
        </w:rPr>
        <w:t xml:space="preserve"> </w:t>
      </w:r>
      <w:r w:rsidR="009B4A63">
        <w:rPr>
          <w:rFonts w:asciiTheme="minorHAnsi" w:hAnsiTheme="minorHAnsi" w:cstheme="minorHAnsi"/>
          <w:szCs w:val="18"/>
          <w:u w:val="single"/>
        </w:rPr>
        <w:t>v</w:t>
      </w:r>
      <w:r w:rsidR="00CD060F">
        <w:rPr>
          <w:rFonts w:asciiTheme="minorHAnsi" w:hAnsiTheme="minorHAnsi" w:cstheme="minorHAnsi"/>
          <w:szCs w:val="18"/>
          <w:u w:val="single"/>
        </w:rPr>
        <w:t xml:space="preserve">iewed form across </w:t>
      </w:r>
      <w:r w:rsidR="00C200B7">
        <w:rPr>
          <w:rFonts w:asciiTheme="minorHAnsi" w:hAnsiTheme="minorHAnsi" w:cstheme="minorHAnsi"/>
          <w:szCs w:val="18"/>
          <w:u w:val="single"/>
        </w:rPr>
        <w:t>Irwin</w:t>
      </w:r>
      <w:r w:rsidR="00602DE2">
        <w:rPr>
          <w:rFonts w:asciiTheme="minorHAnsi" w:hAnsiTheme="minorHAnsi" w:cstheme="minorHAnsi"/>
          <w:szCs w:val="18"/>
          <w:u w:val="single"/>
        </w:rPr>
        <w:t xml:space="preserve"> S</w:t>
      </w:r>
      <w:r w:rsidR="00CD060F">
        <w:rPr>
          <w:rFonts w:asciiTheme="minorHAnsi" w:hAnsiTheme="minorHAnsi" w:cstheme="minorHAnsi"/>
          <w:szCs w:val="18"/>
          <w:u w:val="single"/>
        </w:rPr>
        <w:t xml:space="preserve">treet, camera facing </w:t>
      </w:r>
      <w:r w:rsidR="00C200B7">
        <w:rPr>
          <w:rFonts w:asciiTheme="minorHAnsi" w:hAnsiTheme="minorHAnsi" w:cstheme="minorHAnsi"/>
          <w:szCs w:val="18"/>
          <w:u w:val="single"/>
        </w:rPr>
        <w:t>West</w:t>
      </w:r>
      <w:r w:rsidR="00CD060F">
        <w:rPr>
          <w:rFonts w:asciiTheme="minorHAnsi" w:hAnsiTheme="minorHAnsi" w:cstheme="minorHAnsi"/>
          <w:szCs w:val="18"/>
          <w:u w:val="single"/>
        </w:rPr>
        <w:t>.</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612E3571" w:rsidR="004322D0" w:rsidRPr="001D5420" w:rsidRDefault="00602DE2"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C200B7">
        <w:rPr>
          <w:rFonts w:asciiTheme="minorHAnsi" w:hAnsiTheme="minorHAnsi" w:cstheme="minorHAnsi"/>
          <w:szCs w:val="18"/>
          <w:u w:val="single"/>
        </w:rPr>
        <w:t>07</w:t>
      </w:r>
      <w:r w:rsidR="009124C1">
        <w:rPr>
          <w:rFonts w:asciiTheme="minorHAnsi" w:hAnsiTheme="minorHAnsi" w:cstheme="minorHAnsi"/>
          <w:szCs w:val="18"/>
          <w:u w:val="single"/>
        </w:rPr>
        <w:t xml:space="preserve">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1A79A48B" w:rsidR="00B31DA5" w:rsidRDefault="00B31DA5" w:rsidP="00B31DA5">
      <w:pPr>
        <w:pStyle w:val="FormBold"/>
        <w:rPr>
          <w:rFonts w:asciiTheme="minorHAnsi" w:hAnsiTheme="minorHAnsi" w:cstheme="minorHAnsi"/>
          <w:b w:val="0"/>
          <w:sz w:val="18"/>
          <w:szCs w:val="18"/>
          <w:u w:val="single"/>
        </w:rPr>
      </w:pPr>
    </w:p>
    <w:p w14:paraId="47AA32FA" w14:textId="77777777" w:rsidR="00CD060F" w:rsidRPr="001D5420" w:rsidRDefault="00CD060F"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45DD1827"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July 21,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77777777" w:rsidR="0040547A" w:rsidRDefault="0040547A" w:rsidP="003561A1">
      <w:pPr>
        <w:spacing w:after="20"/>
        <w:rPr>
          <w:rFonts w:asciiTheme="minorHAnsi" w:hAnsiTheme="minorHAnsi" w:cstheme="minorHAnsi"/>
          <w:szCs w:val="18"/>
        </w:rPr>
      </w:pPr>
    </w:p>
    <w:p w14:paraId="1DF7B4CA" w14:textId="77777777" w:rsidR="00C200B7" w:rsidRDefault="00C200B7" w:rsidP="003561A1">
      <w:pPr>
        <w:spacing w:after="20"/>
        <w:rPr>
          <w:rFonts w:asciiTheme="minorHAnsi" w:hAnsiTheme="minorHAnsi" w:cstheme="minorHAnsi"/>
          <w:szCs w:val="18"/>
        </w:rPr>
      </w:pPr>
    </w:p>
    <w:p w14:paraId="2ACD9972" w14:textId="77777777" w:rsidR="00C200B7" w:rsidRDefault="00C200B7" w:rsidP="003561A1">
      <w:pPr>
        <w:spacing w:after="20"/>
        <w:rPr>
          <w:rFonts w:asciiTheme="minorHAnsi" w:hAnsiTheme="minorHAnsi" w:cstheme="minorHAnsi"/>
          <w:szCs w:val="18"/>
        </w:rPr>
      </w:pPr>
    </w:p>
    <w:p w14:paraId="2A8A393B" w14:textId="77777777" w:rsidR="00C200B7" w:rsidRDefault="00C200B7" w:rsidP="003561A1">
      <w:pPr>
        <w:spacing w:after="20"/>
        <w:rPr>
          <w:rFonts w:asciiTheme="minorHAnsi" w:hAnsiTheme="minorHAnsi" w:cstheme="minorHAnsi"/>
          <w:szCs w:val="18"/>
        </w:rPr>
      </w:pPr>
    </w:p>
    <w:p w14:paraId="17E52EE4" w14:textId="56EBAE4A"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7ED5D7E4"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1F7151">
        <w:rPr>
          <w:rFonts w:asciiTheme="minorHAnsi" w:hAnsiTheme="minorHAnsi" w:cstheme="minorHAnsi"/>
          <w:szCs w:val="18"/>
          <w:u w:val="single"/>
        </w:rPr>
        <w:t>1011 Irwin Street</w:t>
      </w:r>
      <w:r w:rsidR="00B31DA5" w:rsidRPr="001D5420">
        <w:rPr>
          <w:rFonts w:asciiTheme="minorHAnsi" w:hAnsiTheme="minorHAnsi" w:cstheme="minorHAnsi"/>
          <w:szCs w:val="18"/>
          <w:u w:val="single"/>
        </w:rPr>
        <w:t xml:space="preserve">                                                                      </w:t>
      </w:r>
    </w:p>
    <w:p w14:paraId="3BEE187C" w14:textId="27AF2F62"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1D5420">
        <w:rPr>
          <w:rFonts w:asciiTheme="minorHAnsi" w:hAnsiTheme="minorHAnsi" w:cstheme="minorHAnsi"/>
          <w:szCs w:val="18"/>
          <w:u w:val="single"/>
        </w:rPr>
        <w:t xml:space="preserve">Single Family </w:t>
      </w:r>
      <w:proofErr w:type="gramStart"/>
      <w:r w:rsidR="00B507DB" w:rsidRPr="001D5420">
        <w:rPr>
          <w:rFonts w:asciiTheme="minorHAnsi" w:hAnsiTheme="minorHAnsi" w:cstheme="minorHAnsi"/>
          <w:szCs w:val="18"/>
          <w:u w:val="single"/>
        </w:rPr>
        <w:t>Residence</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w:t>
      </w:r>
      <w:proofErr w:type="gramEnd"/>
      <w:r w:rsidRPr="001D5420">
        <w:rPr>
          <w:rFonts w:asciiTheme="minorHAnsi" w:hAnsiTheme="minorHAnsi" w:cstheme="minorHAnsi"/>
          <w:szCs w:val="18"/>
        </w:rPr>
        <w:t>4.  Present Use:</w:t>
      </w:r>
      <w:r w:rsidR="00302CDE" w:rsidRPr="001D5420">
        <w:rPr>
          <w:rFonts w:asciiTheme="minorHAnsi" w:hAnsiTheme="minorHAnsi" w:cstheme="minorHAnsi"/>
          <w:szCs w:val="18"/>
        </w:rPr>
        <w:t xml:space="preserve">   </w:t>
      </w:r>
      <w:r w:rsidR="001D5420" w:rsidRPr="001D5420">
        <w:rPr>
          <w:rFonts w:asciiTheme="minorHAnsi" w:hAnsiTheme="minorHAnsi" w:cstheme="minorHAnsi"/>
          <w:szCs w:val="18"/>
          <w:u w:val="single"/>
        </w:rPr>
        <w:t xml:space="preserve">Single Family </w:t>
      </w:r>
      <w:r w:rsidR="00B507DB" w:rsidRPr="001D5420">
        <w:rPr>
          <w:rFonts w:asciiTheme="minorHAnsi" w:hAnsiTheme="minorHAnsi" w:cstheme="minorHAnsi"/>
          <w:szCs w:val="18"/>
          <w:u w:val="single"/>
        </w:rPr>
        <w:t>Residence</w:t>
      </w:r>
    </w:p>
    <w:p w14:paraId="4BAF9174" w14:textId="4B80BF5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327B2A">
        <w:rPr>
          <w:rFonts w:asciiTheme="minorHAnsi" w:hAnsiTheme="minorHAnsi" w:cstheme="minorHAnsi"/>
          <w:szCs w:val="18"/>
          <w:u w:val="single"/>
        </w:rPr>
        <w:t>Hipped Roof Cottage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52BCEAA"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C200B7">
        <w:rPr>
          <w:rFonts w:asciiTheme="minorHAnsi" w:hAnsiTheme="minorHAnsi" w:cstheme="minorHAnsi"/>
          <w:szCs w:val="18"/>
        </w:rPr>
        <w:t>07</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19FCABA4"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Residential Development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09F0534"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C200B7">
        <w:rPr>
          <w:rFonts w:asciiTheme="minorHAnsi" w:hAnsiTheme="minorHAnsi" w:cstheme="minorHAnsi"/>
          <w:szCs w:val="18"/>
          <w:u w:val="single"/>
        </w:rPr>
        <w:t>07</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802B60" w:rsidRPr="001D5420">
        <w:rPr>
          <w:rFonts w:asciiTheme="minorHAnsi" w:hAnsiTheme="minorHAnsi" w:cstheme="minorHAnsi"/>
          <w:szCs w:val="18"/>
          <w:u w:val="single"/>
        </w:rPr>
        <w:t>Residence</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404AEC9D" w:rsidR="00C50BDD" w:rsidRPr="001D5420" w:rsidRDefault="00C200B7"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C200B7">
        <w:rPr>
          <w:rFonts w:asciiTheme="minorHAnsi" w:hAnsiTheme="minorHAnsi" w:cstheme="minorHAnsi"/>
          <w:bCs/>
          <w:noProof/>
          <w:szCs w:val="18"/>
        </w:rPr>
        <w:drawing>
          <wp:inline distT="0" distB="0" distL="0" distR="0" wp14:anchorId="245B581B" wp14:editId="5FDF5827">
            <wp:extent cx="4697095" cy="383152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709" cy="3893207"/>
                    </a:xfrm>
                    <a:prstGeom prst="rect">
                      <a:avLst/>
                    </a:prstGeom>
                  </pic:spPr>
                </pic:pic>
              </a:graphicData>
            </a:graphic>
          </wp:inline>
        </w:drawing>
      </w:r>
      <w:r w:rsidRPr="00C200B7">
        <w:rPr>
          <w:rFonts w:asciiTheme="minorHAnsi" w:hAnsiTheme="minorHAnsi" w:cstheme="minorHAnsi"/>
          <w:bCs/>
          <w:noProof/>
          <w:szCs w:val="18"/>
        </w:rPr>
        <w:t xml:space="preserve"> </w:t>
      </w:r>
    </w:p>
    <w:p w14:paraId="65124EF0" w14:textId="00F3AA2D"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 xml:space="preserve">Photograph 2: View from the </w:t>
      </w:r>
      <w:r w:rsidR="00C200B7">
        <w:rPr>
          <w:rFonts w:asciiTheme="minorHAnsi" w:hAnsiTheme="minorHAnsi" w:cstheme="minorHAnsi"/>
          <w:bCs/>
          <w:szCs w:val="18"/>
        </w:rPr>
        <w:t>East</w:t>
      </w:r>
      <w:r w:rsidR="00E72143">
        <w:rPr>
          <w:rFonts w:asciiTheme="minorHAnsi" w:hAnsiTheme="minorHAnsi" w:cstheme="minorHAnsi"/>
          <w:bCs/>
          <w:szCs w:val="18"/>
        </w:rPr>
        <w:t xml:space="preserve"> side of </w:t>
      </w:r>
      <w:proofErr w:type="spellStart"/>
      <w:r w:rsidR="00C200B7">
        <w:rPr>
          <w:rFonts w:asciiTheme="minorHAnsi" w:hAnsiTheme="minorHAnsi" w:cstheme="minorHAnsi"/>
          <w:bCs/>
          <w:szCs w:val="18"/>
        </w:rPr>
        <w:t>Iriwn</w:t>
      </w:r>
      <w:proofErr w:type="spellEnd"/>
      <w:r w:rsidR="00E72143">
        <w:rPr>
          <w:rFonts w:asciiTheme="minorHAnsi" w:hAnsiTheme="minorHAnsi" w:cstheme="minorHAnsi"/>
          <w:bCs/>
          <w:szCs w:val="18"/>
        </w:rPr>
        <w:t xml:space="preserve"> Street</w:t>
      </w:r>
      <w:r w:rsidRPr="001D5420">
        <w:rPr>
          <w:rFonts w:asciiTheme="minorHAnsi" w:hAnsiTheme="minorHAnsi" w:cstheme="minorHAnsi"/>
          <w:bCs/>
          <w:szCs w:val="18"/>
        </w:rPr>
        <w:t xml:space="preserve">, camera facing </w:t>
      </w:r>
      <w:r w:rsidR="00C200B7">
        <w:rPr>
          <w:rFonts w:asciiTheme="minorHAnsi" w:hAnsiTheme="minorHAnsi" w:cstheme="minorHAnsi"/>
          <w:bCs/>
          <w:szCs w:val="18"/>
        </w:rPr>
        <w:t>West</w:t>
      </w:r>
      <w:r w:rsidRPr="001D5420">
        <w:rPr>
          <w:rFonts w:asciiTheme="minorHAnsi" w:hAnsiTheme="minorHAnsi" w:cstheme="minorHAnsi"/>
          <w:bCs/>
          <w:szCs w:val="18"/>
        </w:rPr>
        <w:t xml:space="preserve">, Google 2011. </w:t>
      </w:r>
    </w:p>
    <w:p w14:paraId="22A9E53A" w14:textId="7D7D1991" w:rsidR="00C40BDC" w:rsidRDefault="00C40BDC" w:rsidP="00013186">
      <w:pPr>
        <w:pStyle w:val="NoSpacing"/>
      </w:pPr>
    </w:p>
    <w:p w14:paraId="33472195" w14:textId="20EF604C"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1F7151">
        <w:rPr>
          <w:rFonts w:asciiTheme="minorHAnsi" w:hAnsiTheme="minorHAnsi" w:cstheme="minorHAnsi"/>
          <w:bCs/>
          <w:szCs w:val="18"/>
          <w:u w:val="single"/>
        </w:rPr>
        <w:t>1011 Irwin Street</w:t>
      </w:r>
      <w:r w:rsidRPr="001D5420">
        <w:rPr>
          <w:rFonts w:asciiTheme="minorHAnsi" w:hAnsiTheme="minorHAnsi" w:cstheme="minorHAnsi"/>
          <w:bCs/>
          <w:szCs w:val="18"/>
          <w:u w:val="single"/>
        </w:rPr>
        <w:t>:</w:t>
      </w:r>
    </w:p>
    <w:p w14:paraId="0EED67AE" w14:textId="4EA5A21A"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27B2A">
        <w:rPr>
          <w:rFonts w:asciiTheme="minorHAnsi" w:hAnsiTheme="minorHAnsi" w:cstheme="minorHAnsi"/>
          <w:szCs w:val="18"/>
        </w:rPr>
        <w:t>H</w:t>
      </w:r>
      <w:r w:rsidRPr="00DF7E4A">
        <w:rPr>
          <w:rFonts w:asciiTheme="minorHAnsi" w:hAnsiTheme="minorHAnsi" w:cstheme="minorHAnsi"/>
          <w:szCs w:val="18"/>
        </w:rPr>
        <w:t>ipped roof</w:t>
      </w:r>
      <w:r w:rsidR="00327B2A">
        <w:rPr>
          <w:rFonts w:asciiTheme="minorHAnsi" w:hAnsiTheme="minorHAnsi" w:cstheme="minorHAnsi"/>
          <w:szCs w:val="18"/>
        </w:rPr>
        <w:t xml:space="preserve"> with prominent gable</w:t>
      </w:r>
      <w:r w:rsidR="009B4A63">
        <w:rPr>
          <w:rFonts w:asciiTheme="minorHAnsi" w:hAnsiTheme="minorHAnsi" w:cstheme="minorHAnsi"/>
          <w:szCs w:val="18"/>
        </w:rPr>
        <w:t>.</w:t>
      </w:r>
    </w:p>
    <w:p w14:paraId="117C2E51" w14:textId="45259A84"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327B2A">
        <w:rPr>
          <w:rFonts w:asciiTheme="minorHAnsi" w:hAnsiTheme="minorHAnsi" w:cstheme="minorHAnsi"/>
          <w:szCs w:val="18"/>
        </w:rPr>
        <w:t>Partial width</w:t>
      </w:r>
      <w:r w:rsidR="009B4A63">
        <w:rPr>
          <w:rFonts w:asciiTheme="minorHAnsi" w:hAnsiTheme="minorHAnsi" w:cstheme="minorHAnsi"/>
          <w:szCs w:val="18"/>
        </w:rPr>
        <w:t xml:space="preserve">, integrated </w:t>
      </w:r>
      <w:r w:rsidR="00327B2A">
        <w:rPr>
          <w:rFonts w:asciiTheme="minorHAnsi" w:hAnsiTheme="minorHAnsi" w:cstheme="minorHAnsi"/>
          <w:szCs w:val="18"/>
        </w:rPr>
        <w:t>porch</w:t>
      </w:r>
      <w:r w:rsidR="009B4A63">
        <w:rPr>
          <w:rFonts w:asciiTheme="minorHAnsi" w:hAnsiTheme="minorHAnsi" w:cstheme="minorHAnsi"/>
          <w:szCs w:val="18"/>
        </w:rPr>
        <w:t>.</w:t>
      </w:r>
    </w:p>
    <w:p w14:paraId="64099E48" w14:textId="5CA5C8CA"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-Tuscan columns</w:t>
      </w:r>
      <w:r w:rsidR="0040547A">
        <w:rPr>
          <w:rFonts w:asciiTheme="minorHAnsi" w:hAnsiTheme="minorHAnsi" w:cstheme="minorHAnsi"/>
          <w:szCs w:val="18"/>
        </w:rPr>
        <w:t xml:space="preserve"> </w:t>
      </w:r>
      <w:r w:rsidR="009B4A63">
        <w:rPr>
          <w:rFonts w:asciiTheme="minorHAnsi" w:hAnsiTheme="minorHAnsi" w:cstheme="minorHAnsi"/>
          <w:szCs w:val="18"/>
        </w:rPr>
        <w:t>supporting porch roof.</w:t>
      </w:r>
    </w:p>
    <w:p w14:paraId="600A2D96" w14:textId="7F8DE02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B4A63">
        <w:rPr>
          <w:rFonts w:asciiTheme="minorHAnsi" w:hAnsiTheme="minorHAnsi" w:cstheme="minorHAnsi"/>
          <w:szCs w:val="18"/>
        </w:rPr>
        <w:t>Second story Bay window.</w:t>
      </w:r>
      <w:r w:rsidRPr="00DF7E4A">
        <w:rPr>
          <w:rFonts w:asciiTheme="minorHAnsi" w:hAnsiTheme="minorHAnsi" w:cstheme="minorHAnsi"/>
          <w:szCs w:val="18"/>
        </w:rPr>
        <w:t xml:space="preserve"> </w:t>
      </w:r>
    </w:p>
    <w:p w14:paraId="0183AFE2" w14:textId="7DDBE5C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B4A63">
        <w:rPr>
          <w:rFonts w:asciiTheme="minorHAnsi" w:hAnsiTheme="minorHAnsi" w:cstheme="minorHAnsi"/>
          <w:szCs w:val="18"/>
        </w:rPr>
        <w:t>Clad in wood clapboard siding.</w:t>
      </w:r>
    </w:p>
    <w:p w14:paraId="5DF475E5" w14:textId="7BA16B2C" w:rsidR="00F87864" w:rsidRPr="00DF7E4A" w:rsidRDefault="00F87864" w:rsidP="00F87864">
      <w:pPr>
        <w:adjustRightInd w:val="0"/>
        <w:rPr>
          <w:rFonts w:ascii="Univers" w:hAnsi="Univers" w:cs="Times"/>
          <w:szCs w:val="18"/>
        </w:rPr>
      </w:pPr>
      <w:r w:rsidRPr="00DF7E4A">
        <w:rPr>
          <w:rFonts w:asciiTheme="minorHAnsi" w:hAnsiTheme="minorHAnsi" w:cstheme="minorHAnsi"/>
          <w:szCs w:val="18"/>
        </w:rPr>
        <w:t>-</w:t>
      </w:r>
      <w:r w:rsidR="0040547A">
        <w:rPr>
          <w:rFonts w:asciiTheme="minorHAnsi" w:hAnsiTheme="minorHAnsi" w:cstheme="minorHAnsi"/>
          <w:szCs w:val="18"/>
        </w:rPr>
        <w:t>Gable end</w:t>
      </w:r>
      <w:r w:rsidR="009B4A63">
        <w:rPr>
          <w:rFonts w:asciiTheme="minorHAnsi" w:hAnsiTheme="minorHAnsi" w:cstheme="minorHAnsi"/>
          <w:szCs w:val="18"/>
        </w:rPr>
        <w:t>s</w:t>
      </w:r>
      <w:r w:rsidR="0040547A">
        <w:rPr>
          <w:rFonts w:asciiTheme="minorHAnsi" w:hAnsiTheme="minorHAnsi" w:cstheme="minorHAnsi"/>
          <w:szCs w:val="18"/>
        </w:rPr>
        <w:t xml:space="preserve"> clad in </w:t>
      </w:r>
      <w:r w:rsidR="009B4A63">
        <w:rPr>
          <w:rFonts w:asciiTheme="minorHAnsi" w:hAnsiTheme="minorHAnsi" w:cstheme="minorHAnsi"/>
          <w:szCs w:val="18"/>
        </w:rPr>
        <w:t xml:space="preserve">decorative </w:t>
      </w:r>
      <w:r w:rsidR="0040547A">
        <w:rPr>
          <w:rFonts w:asciiTheme="minorHAnsi" w:hAnsiTheme="minorHAnsi" w:cstheme="minorHAnsi"/>
          <w:szCs w:val="18"/>
        </w:rPr>
        <w:t>shingles</w:t>
      </w:r>
    </w:p>
    <w:p w14:paraId="64E01423" w14:textId="77777777" w:rsidR="007F59A2" w:rsidRPr="001D5420" w:rsidRDefault="007F59A2"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1F17E98D"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9B4A63">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285A8FC7">
            <wp:simplePos x="0" y="0"/>
            <wp:positionH relativeFrom="margin">
              <wp:posOffset>26035</wp:posOffset>
            </wp:positionH>
            <wp:positionV relativeFrom="margin">
              <wp:posOffset>398685</wp:posOffset>
            </wp:positionV>
            <wp:extent cx="4572000" cy="2650022"/>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50022"/>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4A364593"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531EBEBC" w:rsidR="00B1673A" w:rsidRPr="00E03941" w:rsidRDefault="009B4A63"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5F2C993E">
            <wp:simplePos x="0" y="0"/>
            <wp:positionH relativeFrom="margin">
              <wp:posOffset>33655</wp:posOffset>
            </wp:positionH>
            <wp:positionV relativeFrom="page">
              <wp:posOffset>4964430</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8717192"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484AAAEF" w:rsidR="00B1673A" w:rsidRDefault="00B1673A" w:rsidP="00B1673A">
      <w:pPr>
        <w:tabs>
          <w:tab w:val="left" w:pos="7634"/>
        </w:tabs>
        <w:rPr>
          <w:rFonts w:ascii="Calibri" w:hAnsi="Calibri" w:cs="Calibri"/>
          <w:bCs/>
          <w:color w:val="000000"/>
          <w:szCs w:val="18"/>
          <w:u w:val="single"/>
        </w:rPr>
      </w:pPr>
    </w:p>
    <w:p w14:paraId="7C3594A6" w14:textId="6CFB3282" w:rsidR="00C40BDC" w:rsidRPr="00C40BDC" w:rsidRDefault="00C40BDC" w:rsidP="00B1673A">
      <w:pPr>
        <w:tabs>
          <w:tab w:val="left" w:pos="7634"/>
        </w:tabs>
        <w:rPr>
          <w:rFonts w:ascii="Calibri" w:hAnsi="Calibri" w:cs="Calibri"/>
          <w:bCs/>
          <w:color w:val="000000"/>
          <w:szCs w:val="18"/>
          <w:u w:val="single"/>
        </w:rPr>
      </w:pPr>
      <w:r w:rsidRPr="00C40BDC">
        <w:rPr>
          <w:rFonts w:ascii="Calibri" w:hAnsi="Calibri" w:cs="Calibri"/>
          <w:bCs/>
          <w:color w:val="000000"/>
          <w:szCs w:val="18"/>
          <w:u w:val="single"/>
        </w:rPr>
        <w:t>1850-1906: Early Growth of San Rafael</w:t>
      </w:r>
    </w:p>
    <w:p w14:paraId="2E94ABD0" w14:textId="1EE5B39E" w:rsidR="00C40BDC" w:rsidRPr="00C40BDC" w:rsidRDefault="00C40BDC" w:rsidP="00C40BDC">
      <w:pPr>
        <w:rPr>
          <w:rFonts w:ascii="Calibri" w:hAnsi="Calibri" w:cs="Calibri"/>
          <w:color w:val="000000"/>
          <w:szCs w:val="18"/>
        </w:rPr>
      </w:pPr>
      <w:r w:rsidRPr="00C40BDC">
        <w:rPr>
          <w:rFonts w:ascii="Calibri" w:hAnsi="Calibri" w:cs="Calibri"/>
          <w:szCs w:val="18"/>
        </w:rPr>
        <w:t>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w:t>
      </w:r>
      <w:r w:rsidR="00CB19F6">
        <w:rPr>
          <w:rFonts w:ascii="Calibri" w:hAnsi="Calibri" w:cs="Calibri"/>
          <w:szCs w:val="18"/>
        </w:rPr>
        <w:t xml:space="preserve"> </w:t>
      </w:r>
      <w:r w:rsidRPr="00C40BD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C40BDC">
        <w:rPr>
          <w:rFonts w:ascii="Calibri" w:hAnsi="Calibri" w:cs="Calibri"/>
          <w:color w:val="000000"/>
          <w:szCs w:val="18"/>
          <w:vertAlign w:val="superscript"/>
        </w:rPr>
        <w:footnoteReference w:id="6"/>
      </w:r>
      <w:r w:rsidRPr="00C40BDC">
        <w:rPr>
          <w:rFonts w:ascii="Calibri" w:hAnsi="Calibri" w:cs="Calibri"/>
          <w:szCs w:val="18"/>
        </w:rPr>
        <w:t xml:space="preserve"> During this period nearly all of San Rafael’s first generation of buildings were</w:t>
      </w:r>
      <w:r w:rsidRPr="00C40BDC" w:rsidDel="00B12BDB">
        <w:rPr>
          <w:rFonts w:ascii="Calibri" w:hAnsi="Calibri" w:cs="Calibri"/>
          <w:szCs w:val="18"/>
        </w:rPr>
        <w:t xml:space="preserve"> </w:t>
      </w:r>
      <w:r w:rsidRPr="00C40BDC">
        <w:rPr>
          <w:rFonts w:ascii="Calibri" w:hAnsi="Calibri" w:cs="Calibri"/>
          <w:szCs w:val="18"/>
        </w:rPr>
        <w:t xml:space="preserve"> lost </w:t>
      </w:r>
      <w:r w:rsidRPr="00C40BD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C40BDC">
        <w:rPr>
          <w:rFonts w:ascii="Calibri" w:hAnsi="Calibri" w:cs="Calibri"/>
          <w:szCs w:val="18"/>
          <w:vertAlign w:val="superscript"/>
        </w:rPr>
        <w:footnoteReference w:id="7"/>
      </w:r>
      <w:r w:rsidRPr="00C40BDC">
        <w:rPr>
          <w:rFonts w:ascii="Calibri" w:hAnsi="Calibri" w:cs="Calibri"/>
          <w:szCs w:val="18"/>
        </w:rPr>
        <w:t xml:space="preserve"> </w:t>
      </w:r>
      <w:r w:rsidRPr="00C40BDC">
        <w:rPr>
          <w:rFonts w:ascii="Calibri" w:hAnsi="Calibri" w:cs="Calibri"/>
          <w:color w:val="000000"/>
          <w:szCs w:val="18"/>
        </w:rPr>
        <w:t xml:space="preserve">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w:t>
      </w:r>
    </w:p>
    <w:p w14:paraId="6CD15516" w14:textId="0DE1DB90" w:rsidR="00C40BDC" w:rsidRPr="00C40BDC" w:rsidRDefault="00E03941" w:rsidP="00C40BDC">
      <w:pPr>
        <w:rPr>
          <w:rFonts w:ascii="Calibri" w:hAnsi="Calibri" w:cs="Calibri"/>
          <w:bCs/>
          <w:color w:val="000000"/>
          <w:szCs w:val="18"/>
        </w:rPr>
      </w:pPr>
      <w:r w:rsidRPr="00FF7859">
        <w:rPr>
          <w:rFonts w:ascii="Calibri" w:hAnsi="Calibri" w:cs="Calibri"/>
          <w:noProof/>
          <w:szCs w:val="18"/>
        </w:rPr>
        <w:drawing>
          <wp:anchor distT="0" distB="0" distL="114300" distR="114300" simplePos="0" relativeHeight="251674624" behindDoc="0" locked="0" layoutInCell="1" allowOverlap="1" wp14:anchorId="6C1EF811" wp14:editId="1A253904">
            <wp:simplePos x="0" y="0"/>
            <wp:positionH relativeFrom="margin">
              <wp:posOffset>58420</wp:posOffset>
            </wp:positionH>
            <wp:positionV relativeFrom="paragraph">
              <wp:posOffset>27926</wp:posOffset>
            </wp:positionV>
            <wp:extent cx="4572000" cy="2781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FF7859">
        <w:rPr>
          <w:rFonts w:ascii="Calibri" w:hAnsi="Calibri" w:cs="Calibri"/>
          <w:bCs/>
          <w:color w:val="000000"/>
          <w:szCs w:val="18"/>
        </w:rPr>
        <w:t xml:space="preserve">Figure </w:t>
      </w:r>
      <w:r>
        <w:rPr>
          <w:rFonts w:ascii="Calibri" w:hAnsi="Calibri" w:cs="Calibri"/>
          <w:bCs/>
          <w:color w:val="000000"/>
          <w:szCs w:val="18"/>
        </w:rPr>
        <w:t>4</w:t>
      </w:r>
      <w:r w:rsidRPr="00FF7859">
        <w:rPr>
          <w:rFonts w:ascii="Calibri" w:hAnsi="Calibri" w:cs="Calibri"/>
          <w:bCs/>
          <w:color w:val="000000"/>
          <w:szCs w:val="18"/>
        </w:rPr>
        <w:t>: Grand Carnival Parade, Fourth Street San Rafael. September 9</w:t>
      </w:r>
      <w:r w:rsidRPr="00FF7859">
        <w:rPr>
          <w:rFonts w:ascii="Calibri" w:hAnsi="Calibri" w:cs="Calibri"/>
          <w:bCs/>
          <w:color w:val="000000"/>
          <w:szCs w:val="18"/>
          <w:vertAlign w:val="superscript"/>
        </w:rPr>
        <w:t>th</w:t>
      </w:r>
      <w:r w:rsidRPr="00FF7859">
        <w:rPr>
          <w:rFonts w:ascii="Calibri" w:hAnsi="Calibri" w:cs="Calibri"/>
          <w:bCs/>
          <w:color w:val="000000"/>
          <w:szCs w:val="18"/>
        </w:rPr>
        <w:t>, 1908.</w:t>
      </w:r>
    </w:p>
    <w:p w14:paraId="35BA2CBF" w14:textId="6497743B" w:rsidR="00C40BDC" w:rsidRPr="00C40BDC" w:rsidRDefault="00C40BDC" w:rsidP="00C40BDC">
      <w:pPr>
        <w:rPr>
          <w:rFonts w:ascii="Calibri" w:hAnsi="Calibri" w:cs="Calibri"/>
          <w:color w:val="000000"/>
          <w:szCs w:val="18"/>
        </w:rPr>
      </w:pPr>
    </w:p>
    <w:p w14:paraId="425369B0" w14:textId="43B76BB0" w:rsidR="00C40BDC" w:rsidRPr="00C40BDC" w:rsidRDefault="00C40BDC" w:rsidP="00C40BDC">
      <w:pPr>
        <w:rPr>
          <w:rFonts w:ascii="Calibri" w:hAnsi="Calibri" w:cs="Calibri"/>
          <w:szCs w:val="18"/>
        </w:rPr>
      </w:pPr>
      <w:r w:rsidRPr="00C40BDC">
        <w:rPr>
          <w:rFonts w:ascii="Calibri" w:hAnsi="Calibri" w:cs="Calibri"/>
          <w:color w:val="000000"/>
          <w:szCs w:val="18"/>
        </w:rPr>
        <w:t>Transportation infrastructure also included the inauguration of ferry</w:t>
      </w:r>
      <w:r w:rsidRPr="00C40BDC">
        <w:rPr>
          <w:rFonts w:ascii="Calibri" w:hAnsi="Calibri" w:cs="Calibri"/>
          <w:szCs w:val="18"/>
        </w:rPr>
        <w:t xml:space="preserve"> service from Point San Quentin including a short rail line connecting San Rafael to the ferry and the completion a railroad from Petaluma through San Rafael to Tiburon. </w:t>
      </w:r>
      <w:r w:rsidRPr="00C40BDC">
        <w:rPr>
          <w:rFonts w:ascii="Calibri" w:hAnsi="Calibri" w:cs="Calibri"/>
          <w:color w:val="000000"/>
          <w:szCs w:val="18"/>
        </w:rPr>
        <w:t>Faster and more reliable electric train service was introduced in 1903.</w:t>
      </w:r>
      <w:r w:rsidRPr="00C40BDC">
        <w:rPr>
          <w:rFonts w:ascii="Calibri" w:hAnsi="Calibri" w:cs="Calibri"/>
          <w:color w:val="000000"/>
          <w:szCs w:val="18"/>
          <w:vertAlign w:val="superscript"/>
        </w:rPr>
        <w:footnoteReference w:id="8"/>
      </w:r>
      <w:r w:rsidRPr="00C40BDC">
        <w:rPr>
          <w:rFonts w:ascii="Calibri" w:hAnsi="Calibri" w:cs="Calibri"/>
          <w:color w:val="000000"/>
          <w:szCs w:val="18"/>
        </w:rPr>
        <w:t xml:space="preserve"> </w:t>
      </w:r>
      <w:bookmarkStart w:id="19" w:name="_Hlk46927795"/>
      <w:r w:rsidRPr="00C40BDC">
        <w:rPr>
          <w:rFonts w:ascii="Calibri" w:hAnsi="Calibri" w:cs="Calibri"/>
          <w:color w:val="000000"/>
          <w:szCs w:val="18"/>
        </w:rPr>
        <w:t>The railroad’s arrival started</w:t>
      </w:r>
      <w:bookmarkEnd w:id="19"/>
      <w:r w:rsidRPr="00C40BD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C40BDC">
        <w:rPr>
          <w:rFonts w:ascii="Calibri" w:hAnsi="Calibri" w:cs="Calibri"/>
          <w:color w:val="000000"/>
          <w:szCs w:val="18"/>
          <w:vertAlign w:val="superscript"/>
        </w:rPr>
        <w:footnoteReference w:id="9"/>
      </w:r>
      <w:r w:rsidRPr="00C40BDC">
        <w:rPr>
          <w:rFonts w:ascii="Calibri" w:hAnsi="Calibri" w:cs="Calibri"/>
          <w:color w:val="000000"/>
          <w:szCs w:val="18"/>
        </w:rPr>
        <w:t xml:space="preserve"> </w:t>
      </w:r>
      <w:r w:rsidRPr="00C40BD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C40BDC">
        <w:rPr>
          <w:rFonts w:ascii="Calibri" w:hAnsi="Calibri" w:cs="Calibri"/>
          <w:szCs w:val="18"/>
        </w:rPr>
        <w:t>McNear</w:t>
      </w:r>
      <w:proofErr w:type="spellEnd"/>
      <w:r w:rsidRPr="00C40BDC">
        <w:rPr>
          <w:rFonts w:ascii="Calibri" w:hAnsi="Calibri" w:cs="Calibri"/>
          <w:szCs w:val="18"/>
        </w:rPr>
        <w:t xml:space="preserve"> Brick Yard adjacent to the Dutra Quarry. </w:t>
      </w:r>
    </w:p>
    <w:p w14:paraId="150A57A9" w14:textId="2ACEDD5B" w:rsidR="00C40BDC" w:rsidRPr="00C40BDC" w:rsidRDefault="00C40BDC" w:rsidP="00C40BDC">
      <w:pPr>
        <w:rPr>
          <w:rFonts w:ascii="Calibri" w:eastAsia="Calibri" w:hAnsi="Calibri"/>
          <w:szCs w:val="18"/>
        </w:rPr>
      </w:pPr>
    </w:p>
    <w:p w14:paraId="48D1B640" w14:textId="4C12467F" w:rsidR="00C40BDC" w:rsidRDefault="00C40BDC" w:rsidP="00C40BDC">
      <w:pPr>
        <w:rPr>
          <w:rFonts w:ascii="Calibri" w:hAnsi="Calibri" w:cs="Calibri"/>
          <w:color w:val="000000"/>
          <w:szCs w:val="18"/>
        </w:rPr>
      </w:pPr>
      <w:r w:rsidRPr="00C40BD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C40BDC">
        <w:rPr>
          <w:rFonts w:ascii="Calibri" w:hAnsi="Calibri" w:cs="Calibri"/>
          <w:color w:val="000000"/>
          <w:szCs w:val="18"/>
          <w:vertAlign w:val="superscript"/>
        </w:rPr>
        <w:footnoteReference w:id="10"/>
      </w:r>
      <w:r w:rsidRPr="00C40BDC">
        <w:rPr>
          <w:rFonts w:ascii="Calibri" w:hAnsi="Calibri" w:cs="Calibri"/>
          <w:color w:val="000000"/>
          <w:szCs w:val="18"/>
        </w:rPr>
        <w:t xml:space="preserve"> By 1866, the town had three stores, two hotels, two boarding houses, one restaurant, two </w:t>
      </w:r>
      <w:r w:rsidR="00013186" w:rsidRPr="00C40BDC">
        <w:rPr>
          <w:rFonts w:ascii="Calibri" w:hAnsi="Calibri" w:cs="Calibri"/>
          <w:color w:val="000000"/>
          <w:szCs w:val="18"/>
        </w:rPr>
        <w:t>Point San Quentin.</w:t>
      </w:r>
      <w:r w:rsidR="00013186" w:rsidRPr="00C40BDC">
        <w:rPr>
          <w:rFonts w:ascii="Calibri" w:hAnsi="Calibri" w:cs="Calibri"/>
          <w:color w:val="000000"/>
          <w:szCs w:val="18"/>
          <w:vertAlign w:val="superscript"/>
        </w:rPr>
        <w:footnoteReference w:id="11"/>
      </w:r>
      <w:r w:rsidR="00013186" w:rsidRPr="00C40BD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r w:rsidRPr="00C40BDC">
        <w:rPr>
          <w:rFonts w:ascii="Calibri" w:hAnsi="Calibri" w:cs="Calibri"/>
          <w:color w:val="000000"/>
          <w:szCs w:val="18"/>
        </w:rPr>
        <w:t>stables, three boot makers, two blacksmith shops, a butcher shop, a clock maker, a barber, three lawyers, and a physician.</w:t>
      </w:r>
      <w:r w:rsidRPr="00C40BDC">
        <w:rPr>
          <w:rFonts w:ascii="Calibri" w:hAnsi="Calibri" w:cs="Calibri"/>
          <w:color w:val="000000"/>
          <w:szCs w:val="18"/>
          <w:vertAlign w:val="superscript"/>
        </w:rPr>
        <w:footnoteReference w:id="12"/>
      </w:r>
      <w:r w:rsidRPr="00C40BDC">
        <w:rPr>
          <w:rFonts w:ascii="Calibri" w:hAnsi="Calibri" w:cs="Calibri"/>
          <w:color w:val="000000"/>
          <w:szCs w:val="18"/>
        </w:rPr>
        <w:t xml:space="preserve"> </w:t>
      </w:r>
      <w:r w:rsidRPr="00C40BD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C40BDC">
        <w:rPr>
          <w:rFonts w:ascii="Calibri" w:hAnsi="Calibri" w:cs="Calibri"/>
          <w:color w:val="000000"/>
          <w:szCs w:val="18"/>
        </w:rPr>
        <w:t xml:space="preserve"> </w:t>
      </w:r>
      <w:r w:rsidRPr="00C40BDC">
        <w:rPr>
          <w:rFonts w:ascii="Calibri" w:hAnsi="Calibri" w:cs="Calibri"/>
          <w:szCs w:val="18"/>
        </w:rPr>
        <w:t xml:space="preserve">By the 1890’s San Rafael was a commercial and cultural center and was taking on a shape we can recognize today. </w:t>
      </w:r>
      <w:r w:rsidRPr="00C40BDC">
        <w:rPr>
          <w:rFonts w:ascii="Calibri" w:hAnsi="Calibri" w:cs="Calibri"/>
          <w:color w:val="000000"/>
          <w:szCs w:val="18"/>
        </w:rPr>
        <w:t xml:space="preserve">Fourth Street was a premier shopping area, with the largest department store in Marin County (owned by Jacob Albert and located at 1216 Fourth </w:t>
      </w:r>
      <w:r w:rsidRPr="00C40BDC">
        <w:rPr>
          <w:rFonts w:ascii="Calibri" w:hAnsi="Calibri" w:cs="Calibri"/>
          <w:szCs w:val="18"/>
        </w:rPr>
        <w:t>Street</w:t>
      </w:r>
      <w:r w:rsidRPr="00C40BDC">
        <w:rPr>
          <w:rFonts w:ascii="Calibri" w:hAnsi="Calibri" w:cs="Calibri"/>
          <w:color w:val="000000"/>
          <w:szCs w:val="18"/>
        </w:rPr>
        <w:t>). A Chinese community had begun to grow around the east side of C Street.</w:t>
      </w:r>
      <w:r w:rsidRPr="00C40BDC">
        <w:rPr>
          <w:rFonts w:ascii="Calibri" w:hAnsi="Calibri" w:cs="Calibri"/>
          <w:color w:val="000000"/>
          <w:szCs w:val="18"/>
          <w:vertAlign w:val="superscript"/>
        </w:rPr>
        <w:footnoteReference w:id="13"/>
      </w:r>
      <w:r w:rsidRPr="00C40BDC">
        <w:rPr>
          <w:rFonts w:ascii="Calibri" w:hAnsi="Calibri" w:cs="Calibri"/>
          <w:szCs w:val="18"/>
        </w:rPr>
        <w:t xml:space="preserve"> This period saw the construction of many large residential buildings, some of which still stand today.</w:t>
      </w:r>
      <w:r w:rsidRPr="00C40BDC">
        <w:rPr>
          <w:rFonts w:ascii="Calibri" w:hAnsi="Calibri" w:cs="Calibri"/>
          <w:szCs w:val="18"/>
          <w:vertAlign w:val="superscript"/>
        </w:rPr>
        <w:footnoteReference w:id="14"/>
      </w:r>
      <w:r w:rsidRPr="00C40BD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w:t>
      </w:r>
      <w:r w:rsidRPr="00C40BDC">
        <w:rPr>
          <w:rFonts w:ascii="Calibri" w:hAnsi="Calibri" w:cs="Calibri"/>
          <w:color w:val="000000"/>
          <w:szCs w:val="18"/>
        </w:rPr>
        <w:lastRenderedPageBreak/>
        <w:t>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C40BDC">
        <w:rPr>
          <w:rFonts w:ascii="Calibri" w:hAnsi="Calibri" w:cs="Calibri"/>
          <w:color w:val="000000"/>
          <w:szCs w:val="18"/>
          <w:vertAlign w:val="superscript"/>
        </w:rPr>
        <w:footnoteReference w:id="15"/>
      </w:r>
      <w:r w:rsidRPr="00C40BDC">
        <w:rPr>
          <w:rFonts w:ascii="Calibri" w:hAnsi="Calibri" w:cs="Calibri"/>
          <w:color w:val="000000"/>
          <w:szCs w:val="18"/>
        </w:rPr>
        <w:t xml:space="preserve"> </w:t>
      </w:r>
    </w:p>
    <w:bookmarkEnd w:id="13"/>
    <w:p w14:paraId="79486187" w14:textId="67ACDB4C" w:rsidR="00DF7E4A" w:rsidRPr="00FF7859"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bCs/>
          <w:spacing w:val="-2"/>
          <w:szCs w:val="18"/>
          <w:u w:val="single"/>
        </w:rPr>
      </w:pPr>
    </w:p>
    <w:p w14:paraId="7AF044BB" w14:textId="1808BC6A" w:rsidR="00FF7859" w:rsidRDefault="00FF7859" w:rsidP="00FF7859">
      <w:pPr>
        <w:rPr>
          <w:rFonts w:ascii="Calibri" w:hAnsi="Calibri" w:cs="Calibri"/>
          <w:bCs/>
          <w:color w:val="000000"/>
          <w:szCs w:val="18"/>
          <w:u w:val="single"/>
        </w:rPr>
      </w:pPr>
      <w:r w:rsidRPr="00FF7859">
        <w:rPr>
          <w:rFonts w:ascii="Calibri" w:hAnsi="Calibri" w:cs="Calibri"/>
          <w:bCs/>
          <w:color w:val="000000"/>
          <w:szCs w:val="18"/>
          <w:u w:val="single"/>
        </w:rPr>
        <w:t>1906-1937: Post Earthquake to the opening of the Golden Gate Bridge</w:t>
      </w:r>
    </w:p>
    <w:p w14:paraId="03B4F7C0" w14:textId="49372D1E" w:rsidR="00FF7859" w:rsidRDefault="00FF7859" w:rsidP="00FF7859">
      <w:pPr>
        <w:rPr>
          <w:rFonts w:ascii="Calibri" w:hAnsi="Calibri" w:cs="Calibri"/>
          <w:szCs w:val="18"/>
        </w:rPr>
      </w:pPr>
      <w:r w:rsidRPr="00FF7859">
        <w:rPr>
          <w:rFonts w:ascii="Calibri" w:hAnsi="Calibri" w:cs="Calibri"/>
          <w:szCs w:val="18"/>
        </w:rPr>
        <w:t>In the later years of the 19</w:t>
      </w:r>
      <w:r w:rsidRPr="00FF7859">
        <w:rPr>
          <w:rFonts w:ascii="Calibri" w:hAnsi="Calibri" w:cs="Calibri"/>
          <w:szCs w:val="18"/>
          <w:vertAlign w:val="superscript"/>
        </w:rPr>
        <w:t>th</w:t>
      </w:r>
      <w:r w:rsidRPr="00FF7859">
        <w:rPr>
          <w:rFonts w:ascii="Calibri" w:hAnsi="Calibri" w:cs="Calibri"/>
          <w:szCs w:val="18"/>
        </w:rPr>
        <w:t xml:space="preserve"> century San Rafael had begun to be seen by some San Franciscans as a desirable escape from city life. Wealthy San Franciscans such as AP </w:t>
      </w:r>
      <w:proofErr w:type="spellStart"/>
      <w:r w:rsidRPr="00FF7859">
        <w:rPr>
          <w:rFonts w:ascii="Calibri" w:hAnsi="Calibri" w:cs="Calibri"/>
          <w:szCs w:val="18"/>
        </w:rPr>
        <w:t>Hotaling</w:t>
      </w:r>
      <w:proofErr w:type="spellEnd"/>
      <w:r w:rsidRPr="00FF7859">
        <w:rPr>
          <w:rFonts w:ascii="Calibri" w:hAnsi="Calibri" w:cs="Calibri"/>
          <w:szCs w:val="18"/>
        </w:rPr>
        <w:t>,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w:t>
      </w:r>
      <w:r>
        <w:rPr>
          <w:rFonts w:ascii="Calibri" w:hAnsi="Calibri" w:cs="Calibri"/>
          <w:szCs w:val="18"/>
        </w:rPr>
        <w:t xml:space="preserve"> </w:t>
      </w:r>
      <w:r w:rsidRPr="00FF7859">
        <w:rPr>
          <w:rFonts w:ascii="Calibri" w:hAnsi="Calibri" w:cs="Calibri"/>
          <w:szCs w:val="18"/>
        </w:rPr>
        <w:t>downtown such as the Proposed Conservation District One.</w:t>
      </w:r>
      <w:r w:rsidRPr="00FF7859">
        <w:rPr>
          <w:rFonts w:ascii="Calibri" w:hAnsi="Calibri" w:cs="Calibri"/>
          <w:color w:val="000000"/>
          <w:szCs w:val="18"/>
        </w:rPr>
        <w:t xml:space="preserve"> </w:t>
      </w:r>
      <w:r w:rsidRPr="00FF7859">
        <w:rPr>
          <w:rFonts w:ascii="Calibri" w:hAnsi="Calibri" w:cs="Calibri"/>
          <w:szCs w:val="18"/>
        </w:rPr>
        <w:t>The early twentieth century saw a huge interest in the civic life of San Rafael, with the establishment of a Marin County Board of Supervisors, a local National Guard company, and construction of new civic buildings.</w:t>
      </w:r>
      <w:r w:rsidRPr="00FF7859">
        <w:rPr>
          <w:rFonts w:ascii="Calibri" w:hAnsi="Calibri" w:cs="Calibri"/>
          <w:szCs w:val="18"/>
          <w:vertAlign w:val="superscript"/>
        </w:rPr>
        <w:footnoteReference w:id="16"/>
      </w:r>
      <w:r w:rsidRPr="00FF7859">
        <w:rPr>
          <w:rFonts w:ascii="Calibri" w:hAnsi="Calibri" w:cs="Calibri"/>
          <w:szCs w:val="18"/>
        </w:rPr>
        <w:t xml:space="preserve"> </w:t>
      </w:r>
    </w:p>
    <w:p w14:paraId="6E791C23" w14:textId="380EB0C7" w:rsidR="00FF7859" w:rsidRPr="00FF7859" w:rsidRDefault="00FF7859" w:rsidP="00FF7859">
      <w:pPr>
        <w:rPr>
          <w:rFonts w:ascii="Calibri" w:eastAsia="Calibri" w:hAnsi="Calibri"/>
          <w:szCs w:val="18"/>
        </w:rPr>
      </w:pPr>
    </w:p>
    <w:p w14:paraId="039F8653" w14:textId="26A08BCD" w:rsidR="00FF7859" w:rsidRPr="00FF7859" w:rsidRDefault="00B5617E" w:rsidP="00FF7859">
      <w:pPr>
        <w:rPr>
          <w:rFonts w:ascii="Calibri" w:hAnsi="Calibri" w:cs="Calibri"/>
          <w:szCs w:val="18"/>
        </w:rPr>
      </w:pPr>
      <w:r w:rsidRPr="00FF7859">
        <w:rPr>
          <w:rFonts w:ascii="Calibri" w:hAnsi="Calibri" w:cs="Calibri"/>
          <w:noProof/>
          <w:szCs w:val="18"/>
        </w:rPr>
        <w:drawing>
          <wp:anchor distT="0" distB="0" distL="114300" distR="114300" simplePos="0" relativeHeight="251677696" behindDoc="0" locked="0" layoutInCell="1" allowOverlap="1" wp14:anchorId="5517E6C1" wp14:editId="7D0FE059">
            <wp:simplePos x="0" y="0"/>
            <wp:positionH relativeFrom="column">
              <wp:posOffset>24765</wp:posOffset>
            </wp:positionH>
            <wp:positionV relativeFrom="page">
              <wp:posOffset>3784519</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00FF7859" w:rsidRPr="00FF7859">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00FF7859" w:rsidRPr="00FF7859">
        <w:rPr>
          <w:rFonts w:ascii="Calibri" w:hAnsi="Calibri" w:cs="Calibri"/>
          <w:szCs w:val="18"/>
          <w:vertAlign w:val="superscript"/>
        </w:rPr>
        <w:footnoteReference w:id="17"/>
      </w:r>
      <w:r w:rsidR="00FF7859" w:rsidRPr="00FF7859">
        <w:rPr>
          <w:rFonts w:ascii="Calibri" w:hAnsi="Calibri" w:cs="Calibri"/>
          <w:szCs w:val="18"/>
        </w:rPr>
        <w:t xml:space="preserve"> </w:t>
      </w:r>
    </w:p>
    <w:p w14:paraId="2C104170" w14:textId="3EF162D2" w:rsidR="00FF7859" w:rsidRPr="00FF7859" w:rsidRDefault="00FF7859" w:rsidP="00FF7859">
      <w:pPr>
        <w:rPr>
          <w:rFonts w:ascii="Calibri" w:hAnsi="Calibri" w:cs="Calibri"/>
          <w:bCs/>
          <w:color w:val="000000"/>
          <w:szCs w:val="18"/>
        </w:rPr>
      </w:pPr>
      <w:r w:rsidRPr="00FF7859">
        <w:rPr>
          <w:rFonts w:ascii="Calibri" w:hAnsi="Calibri" w:cs="Calibri"/>
          <w:bCs/>
          <w:color w:val="000000"/>
          <w:szCs w:val="18"/>
        </w:rPr>
        <w:t xml:space="preserve">Figure </w:t>
      </w:r>
      <w:r w:rsidR="00E03941">
        <w:rPr>
          <w:rFonts w:ascii="Calibri" w:hAnsi="Calibri" w:cs="Calibri"/>
          <w:bCs/>
          <w:color w:val="000000"/>
          <w:szCs w:val="18"/>
        </w:rPr>
        <w:t>5</w:t>
      </w:r>
      <w:r w:rsidRPr="00FF7859">
        <w:rPr>
          <w:rFonts w:ascii="Calibri" w:hAnsi="Calibri" w:cs="Calibri"/>
          <w:bCs/>
          <w:color w:val="000000"/>
          <w:szCs w:val="18"/>
        </w:rPr>
        <w:t>: Intersection of A and Fourth Streets looking west, c1920. Anne T. Kent California Room.</w:t>
      </w:r>
    </w:p>
    <w:p w14:paraId="06AB242E" w14:textId="114642EB" w:rsidR="00FF7859" w:rsidRPr="00FF7859" w:rsidRDefault="00FF7859" w:rsidP="00FF7859">
      <w:pPr>
        <w:rPr>
          <w:rFonts w:ascii="Calibri" w:hAnsi="Calibri" w:cs="Calibri"/>
          <w:szCs w:val="18"/>
        </w:rPr>
      </w:pPr>
    </w:p>
    <w:p w14:paraId="6E97BEEB" w14:textId="592442C4" w:rsidR="00FF7859" w:rsidRPr="00FF7859" w:rsidRDefault="00B5617E" w:rsidP="00FF7859">
      <w:pPr>
        <w:rPr>
          <w:rFonts w:ascii="Calibri" w:hAnsi="Calibri" w:cs="Calibri"/>
          <w:szCs w:val="18"/>
        </w:rPr>
      </w:pPr>
      <w:r w:rsidRPr="00FF7859">
        <w:rPr>
          <w:rFonts w:ascii="Calibri" w:hAnsi="Calibri" w:cs="Calibri"/>
          <w:noProof/>
          <w:color w:val="000000"/>
          <w:szCs w:val="18"/>
        </w:rPr>
        <w:lastRenderedPageBreak/>
        <w:drawing>
          <wp:anchor distT="0" distB="0" distL="114300" distR="114300" simplePos="0" relativeHeight="251675648" behindDoc="0" locked="0" layoutInCell="1" allowOverlap="1" wp14:anchorId="05EF6610" wp14:editId="5614A673">
            <wp:simplePos x="0" y="0"/>
            <wp:positionH relativeFrom="margin">
              <wp:posOffset>29156</wp:posOffset>
            </wp:positionH>
            <wp:positionV relativeFrom="paragraph">
              <wp:posOffset>330741</wp:posOffset>
            </wp:positionV>
            <wp:extent cx="4572000" cy="286766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867660"/>
                    </a:xfrm>
                    <a:prstGeom prst="rect">
                      <a:avLst/>
                    </a:prstGeom>
                  </pic:spPr>
                </pic:pic>
              </a:graphicData>
            </a:graphic>
            <wp14:sizeRelH relativeFrom="margin">
              <wp14:pctWidth>0</wp14:pctWidth>
            </wp14:sizeRelH>
            <wp14:sizeRelV relativeFrom="margin">
              <wp14:pctHeight>0</wp14:pctHeight>
            </wp14:sizeRelV>
          </wp:anchor>
        </w:drawing>
      </w:r>
      <w:r w:rsidR="00FF7859" w:rsidRPr="00FF7859">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00FF7859" w:rsidRPr="00FF7859">
        <w:rPr>
          <w:rFonts w:ascii="Calibri" w:eastAsia="Calibri" w:hAnsi="Calibri"/>
          <w:szCs w:val="18"/>
        </w:rPr>
        <w:t>.</w:t>
      </w:r>
    </w:p>
    <w:p w14:paraId="4E841EC7" w14:textId="07351F2D" w:rsidR="00FF7859" w:rsidRPr="00FF7859" w:rsidRDefault="00FF7859" w:rsidP="00FF7859">
      <w:pPr>
        <w:rPr>
          <w:rFonts w:ascii="Calibri" w:hAnsi="Calibri" w:cs="Calibri"/>
          <w:bCs/>
          <w:color w:val="000000"/>
          <w:szCs w:val="18"/>
        </w:rPr>
      </w:pPr>
      <w:r w:rsidRPr="00FF7859">
        <w:rPr>
          <w:rFonts w:ascii="Calibri" w:hAnsi="Calibri" w:cs="Calibri"/>
          <w:bCs/>
          <w:color w:val="000000"/>
          <w:szCs w:val="18"/>
        </w:rPr>
        <w:t xml:space="preserve">Figure </w:t>
      </w:r>
      <w:r w:rsidR="00E03941">
        <w:rPr>
          <w:rFonts w:ascii="Calibri" w:hAnsi="Calibri" w:cs="Calibri"/>
          <w:bCs/>
          <w:color w:val="000000"/>
          <w:szCs w:val="18"/>
        </w:rPr>
        <w:t>6</w:t>
      </w:r>
      <w:r w:rsidRPr="00FF7859">
        <w:rPr>
          <w:rFonts w:ascii="Calibri" w:hAnsi="Calibri" w:cs="Calibri"/>
          <w:bCs/>
          <w:color w:val="000000"/>
          <w:szCs w:val="18"/>
        </w:rPr>
        <w:t>: Map of the City of San Rafael, 1929. J.C Oglesby collection in the Anne T. Kent California Room.</w:t>
      </w:r>
    </w:p>
    <w:p w14:paraId="3D9D973A" w14:textId="1620865D" w:rsidR="00FF7859" w:rsidRPr="00FF7859" w:rsidRDefault="00FF7859" w:rsidP="00FF7859">
      <w:pPr>
        <w:rPr>
          <w:rFonts w:ascii="Calibri" w:hAnsi="Calibri" w:cs="Calibri"/>
          <w:bCs/>
          <w:color w:val="000000"/>
          <w:szCs w:val="18"/>
        </w:rPr>
      </w:pPr>
    </w:p>
    <w:p w14:paraId="6D39DC0F" w14:textId="5F2230F1" w:rsidR="00E03941" w:rsidRPr="00FF7859" w:rsidRDefault="00B5617E" w:rsidP="00FF7859">
      <w:pPr>
        <w:rPr>
          <w:rFonts w:ascii="Calibri" w:hAnsi="Calibri" w:cs="Calibri"/>
          <w:szCs w:val="18"/>
        </w:rPr>
      </w:pPr>
      <w:r w:rsidRPr="00FF7859">
        <w:rPr>
          <w:rFonts w:ascii="Calibri" w:hAnsi="Calibri" w:cs="Calibri"/>
          <w:noProof/>
          <w:szCs w:val="18"/>
        </w:rPr>
        <w:drawing>
          <wp:anchor distT="0" distB="0" distL="114300" distR="114300" simplePos="0" relativeHeight="251676672" behindDoc="0" locked="0" layoutInCell="1" allowOverlap="1" wp14:anchorId="2FD10512" wp14:editId="23710D24">
            <wp:simplePos x="0" y="0"/>
            <wp:positionH relativeFrom="margin">
              <wp:posOffset>28521</wp:posOffset>
            </wp:positionH>
            <wp:positionV relativeFrom="page">
              <wp:posOffset>5436235</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00FF7859" w:rsidRPr="00FF7859">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07818423" w14:textId="1163BF19" w:rsidR="00FF7859" w:rsidRPr="00FF7859" w:rsidRDefault="00FF7859" w:rsidP="00FF7859">
      <w:pPr>
        <w:rPr>
          <w:rFonts w:ascii="Calibri" w:hAnsi="Calibri" w:cs="Calibri"/>
          <w:bCs/>
          <w:color w:val="000000"/>
          <w:szCs w:val="18"/>
        </w:rPr>
      </w:pPr>
      <w:r w:rsidRPr="00FF7859">
        <w:rPr>
          <w:rFonts w:ascii="Calibri" w:hAnsi="Calibri" w:cs="Calibri"/>
          <w:bCs/>
          <w:color w:val="000000"/>
          <w:szCs w:val="18"/>
        </w:rPr>
        <w:t xml:space="preserve">Figure </w:t>
      </w:r>
      <w:r w:rsidR="00E03941">
        <w:rPr>
          <w:rFonts w:ascii="Calibri" w:hAnsi="Calibri" w:cs="Calibri"/>
          <w:bCs/>
          <w:color w:val="000000"/>
          <w:szCs w:val="18"/>
        </w:rPr>
        <w:t>7</w:t>
      </w:r>
      <w:r w:rsidRPr="00FF7859">
        <w:rPr>
          <w:rFonts w:ascii="Calibri" w:hAnsi="Calibri" w:cs="Calibri"/>
          <w:bCs/>
          <w:color w:val="000000"/>
          <w:szCs w:val="18"/>
        </w:rPr>
        <w:t>: View of Fourth Street looking east, 1932. Anne T. Kent California Room.</w:t>
      </w:r>
    </w:p>
    <w:p w14:paraId="1BBD7F8D" w14:textId="7F3B6CF8" w:rsidR="00FF7859" w:rsidRPr="00FF7859" w:rsidRDefault="00FF7859" w:rsidP="00FF7859">
      <w:pPr>
        <w:rPr>
          <w:rFonts w:ascii="Calibri" w:hAnsi="Calibri" w:cs="Calibri"/>
          <w:szCs w:val="18"/>
        </w:rPr>
      </w:pPr>
    </w:p>
    <w:p w14:paraId="4FD2FC1E" w14:textId="33AA8D8B" w:rsidR="00FF7859" w:rsidRPr="00FF7859" w:rsidRDefault="00FF7859" w:rsidP="00FF7859">
      <w:pPr>
        <w:rPr>
          <w:rFonts w:ascii="Calibri" w:hAnsi="Calibri" w:cs="Calibri"/>
          <w:color w:val="000000"/>
          <w:szCs w:val="18"/>
        </w:rPr>
      </w:pPr>
      <w:r w:rsidRPr="00FF7859">
        <w:rPr>
          <w:rFonts w:ascii="Calibri" w:hAnsi="Calibri" w:cs="Calibri"/>
          <w:szCs w:val="18"/>
        </w:rPr>
        <w:t xml:space="preserve">As late as 1903, nearly two decades after their invention, </w:t>
      </w:r>
      <w:r w:rsidRPr="00FF7859">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w:t>
      </w:r>
      <w:r w:rsidRPr="00FF7859">
        <w:rPr>
          <w:rFonts w:ascii="Calibri" w:hAnsi="Calibri" w:cs="Calibri"/>
          <w:color w:val="000000"/>
          <w:szCs w:val="18"/>
        </w:rPr>
        <w:lastRenderedPageBreak/>
        <w:t>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FF7859">
        <w:rPr>
          <w:rFonts w:ascii="Calibri" w:hAnsi="Calibri" w:cs="Calibri"/>
          <w:color w:val="000000"/>
          <w:szCs w:val="18"/>
          <w:vertAlign w:val="superscript"/>
        </w:rPr>
        <w:footnoteReference w:id="18"/>
      </w:r>
    </w:p>
    <w:p w14:paraId="686AE761" w14:textId="203709BC" w:rsidR="00FF7859" w:rsidRPr="001D5420" w:rsidRDefault="00FF7859"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0C346B88"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167CDFFC" w:rsidR="00DF7E4A" w:rsidRPr="001D5420" w:rsidRDefault="001F7151"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zCs w:val="18"/>
        </w:rPr>
      </w:pPr>
      <w:r>
        <w:rPr>
          <w:rFonts w:asciiTheme="minorHAnsi" w:hAnsiTheme="minorHAnsi" w:cstheme="minorHAnsi"/>
          <w:spacing w:val="-2"/>
          <w:szCs w:val="18"/>
        </w:rPr>
        <w:t>1011 Irwin Street</w:t>
      </w:r>
      <w:r w:rsidR="00DF7E4A" w:rsidRPr="001D5420">
        <w:rPr>
          <w:rFonts w:asciiTheme="minorHAnsi" w:hAnsiTheme="minorHAnsi" w:cstheme="minorHAnsi"/>
          <w:spacing w:val="-2"/>
          <w:szCs w:val="18"/>
        </w:rPr>
        <w:t xml:space="preserve"> was constructed during a time of transition in prevailing architectural styles both in San Rafael and around the country. The residence features formal elements of the Queen Anne Style</w:t>
      </w:r>
      <w:r w:rsidR="00EC60FC">
        <w:rPr>
          <w:rFonts w:asciiTheme="minorHAnsi" w:hAnsiTheme="minorHAnsi" w:cstheme="minorHAnsi"/>
          <w:spacing w:val="-2"/>
          <w:szCs w:val="18"/>
        </w:rPr>
        <w:t xml:space="preserve"> while maintaining an overall Cottage style appearance</w:t>
      </w:r>
      <w:r w:rsidR="00DF7E4A" w:rsidRPr="001D5420">
        <w:rPr>
          <w:rFonts w:asciiTheme="minorHAnsi" w:hAnsiTheme="minorHAnsi" w:cstheme="minorHAnsi"/>
          <w:spacing w:val="-2"/>
          <w:szCs w:val="18"/>
        </w:rPr>
        <w:t xml:space="preserve">, combined with elements </w:t>
      </w:r>
      <w:r w:rsidR="00EC60FC">
        <w:rPr>
          <w:rFonts w:asciiTheme="minorHAnsi" w:hAnsiTheme="minorHAnsi" w:cstheme="minorHAnsi"/>
          <w:spacing w:val="-2"/>
          <w:szCs w:val="18"/>
        </w:rPr>
        <w:t xml:space="preserve">of </w:t>
      </w:r>
      <w:r w:rsidR="00DF7E4A" w:rsidRPr="001D5420">
        <w:rPr>
          <w:rFonts w:asciiTheme="minorHAnsi" w:hAnsiTheme="minorHAnsi" w:cstheme="minorHAnsi"/>
          <w:spacing w:val="-2"/>
          <w:szCs w:val="18"/>
        </w:rPr>
        <w:t xml:space="preserve">Shingle and of the </w:t>
      </w:r>
      <w:r w:rsidR="00454D7D">
        <w:rPr>
          <w:rFonts w:asciiTheme="minorHAnsi" w:hAnsiTheme="minorHAnsi" w:cstheme="minorHAnsi"/>
          <w:spacing w:val="-2"/>
          <w:szCs w:val="18"/>
        </w:rPr>
        <w:t xml:space="preserve">emerging </w:t>
      </w:r>
      <w:r w:rsidR="00DF7E4A" w:rsidRPr="001D5420">
        <w:rPr>
          <w:rFonts w:asciiTheme="minorHAnsi" w:hAnsiTheme="minorHAnsi" w:cstheme="minorHAnsi"/>
          <w:spacing w:val="-2"/>
          <w:szCs w:val="18"/>
        </w:rPr>
        <w:t xml:space="preserve">styles </w:t>
      </w:r>
      <w:r w:rsidR="00EC60FC">
        <w:rPr>
          <w:rFonts w:asciiTheme="minorHAnsi" w:hAnsiTheme="minorHAnsi" w:cstheme="minorHAnsi"/>
          <w:spacing w:val="-2"/>
          <w:szCs w:val="18"/>
        </w:rPr>
        <w:t xml:space="preserve">that </w:t>
      </w:r>
      <w:r w:rsidR="00454D7D">
        <w:rPr>
          <w:rFonts w:asciiTheme="minorHAnsi" w:hAnsiTheme="minorHAnsi" w:cstheme="minorHAnsi"/>
          <w:spacing w:val="-2"/>
          <w:szCs w:val="18"/>
        </w:rPr>
        <w:t>became</w:t>
      </w:r>
      <w:r w:rsidR="00DF7E4A" w:rsidRPr="001D5420">
        <w:rPr>
          <w:rFonts w:asciiTheme="minorHAnsi" w:hAnsiTheme="minorHAnsi" w:cstheme="minorHAnsi"/>
          <w:spacing w:val="-2"/>
          <w:szCs w:val="18"/>
        </w:rPr>
        <w:t xml:space="preserve"> popular </w:t>
      </w:r>
      <w:r w:rsidR="00454D7D">
        <w:rPr>
          <w:rFonts w:asciiTheme="minorHAnsi" w:hAnsiTheme="minorHAnsi" w:cstheme="minorHAnsi"/>
          <w:spacing w:val="-2"/>
          <w:szCs w:val="18"/>
        </w:rPr>
        <w:t>after</w:t>
      </w:r>
      <w:r w:rsidR="00DF7E4A" w:rsidRPr="001D5420">
        <w:rPr>
          <w:rFonts w:asciiTheme="minorHAnsi" w:hAnsiTheme="minorHAnsi" w:cstheme="minorHAnsi"/>
          <w:spacing w:val="-2"/>
          <w:szCs w:val="18"/>
        </w:rPr>
        <w:t xml:space="preserve"> the turn of the century. Queen Anne (1880-1910) is characterized by asymmetric massing, steeply pitched roofs with irregular form, projecting porches, and a profusion of decorative detail. Scrolled brackets, turned porch posts, shingle siding in a variety of shapes, and cutaway window bays were among the styles most common ornamental features. Shingle Style was contemporaneous with Queen Anne and featured similar massing with a somewhat more horizontal emphasis</w:t>
      </w:r>
      <w:r w:rsidR="00EC60FC">
        <w:rPr>
          <w:rFonts w:asciiTheme="minorHAnsi" w:hAnsiTheme="minorHAnsi" w:cstheme="minorHAnsi"/>
          <w:spacing w:val="-2"/>
          <w:szCs w:val="18"/>
        </w:rPr>
        <w:t>.</w:t>
      </w:r>
      <w:r w:rsidR="00DF7E4A" w:rsidRPr="001D5420">
        <w:rPr>
          <w:rFonts w:asciiTheme="minorHAnsi" w:hAnsiTheme="minorHAnsi" w:cstheme="minorHAnsi"/>
          <w:spacing w:val="-2"/>
          <w:szCs w:val="18"/>
        </w:rPr>
        <w:t xml:space="preserve"> More decoratively restrained than Queen Anne, the use of frequently unpainted shingled cladding was emphasized (though not always utilized), presaging the move toward natural materials in twentieth-century styles such as Craftsman. </w:t>
      </w:r>
    </w:p>
    <w:p w14:paraId="2C8F6333" w14:textId="77777777" w:rsidR="00A843D1" w:rsidRPr="001D5420" w:rsidRDefault="00A843D1" w:rsidP="00DF7E4A">
      <w:pPr>
        <w:rPr>
          <w:rFonts w:asciiTheme="minorHAnsi" w:hAnsiTheme="minorHAnsi" w:cstheme="minorHAnsi"/>
          <w:b/>
          <w:szCs w:val="18"/>
        </w:rPr>
      </w:pPr>
    </w:p>
    <w:p w14:paraId="65315908" w14:textId="4FBB6A42"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69A582C9"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1F7151">
        <w:rPr>
          <w:rFonts w:asciiTheme="minorHAnsi" w:hAnsiTheme="minorHAnsi" w:cstheme="minorHAnsi"/>
          <w:szCs w:val="18"/>
        </w:rPr>
        <w:t>1011 Irwin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7CDF344B"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C/3: The property at </w:t>
      </w:r>
      <w:r w:rsidR="001F7151">
        <w:rPr>
          <w:rFonts w:asciiTheme="minorHAnsi" w:hAnsiTheme="minorHAnsi" w:cstheme="minorHAnsi"/>
          <w:szCs w:val="18"/>
        </w:rPr>
        <w:t>1011 Irwin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significant for its architecture. It is an excellent example of a </w:t>
      </w:r>
      <w:r w:rsidR="00424CA8">
        <w:rPr>
          <w:rFonts w:asciiTheme="minorHAnsi" w:hAnsiTheme="minorHAnsi" w:cstheme="minorHAnsi"/>
          <w:szCs w:val="18"/>
        </w:rPr>
        <w:t>hipped roof cottage</w:t>
      </w:r>
      <w:r w:rsidRPr="001D5420">
        <w:rPr>
          <w:rFonts w:asciiTheme="minorHAnsi" w:hAnsiTheme="minorHAnsi" w:cstheme="minorHAnsi"/>
          <w:szCs w:val="18"/>
        </w:rPr>
        <w:t xml:space="preserve"> that exhibits hybrid features from Queen Anne and Shingle architecture. Its </w:t>
      </w:r>
      <w:r w:rsidR="00424CA8">
        <w:rPr>
          <w:rFonts w:asciiTheme="minorHAnsi" w:hAnsiTheme="minorHAnsi" w:cstheme="minorHAnsi"/>
          <w:szCs w:val="18"/>
        </w:rPr>
        <w:t xml:space="preserve">decretive gable ends, half porch and </w:t>
      </w:r>
      <w:r w:rsidR="009B4A63">
        <w:rPr>
          <w:rFonts w:asciiTheme="minorHAnsi" w:hAnsiTheme="minorHAnsi" w:cstheme="minorHAnsi"/>
          <w:szCs w:val="18"/>
        </w:rPr>
        <w:t>large</w:t>
      </w:r>
      <w:r w:rsidR="00424CA8">
        <w:rPr>
          <w:rFonts w:asciiTheme="minorHAnsi" w:hAnsiTheme="minorHAnsi" w:cstheme="minorHAnsi"/>
          <w:szCs w:val="18"/>
        </w:rPr>
        <w:t xml:space="preserve"> </w:t>
      </w:r>
      <w:r w:rsidRPr="001D5420">
        <w:rPr>
          <w:rFonts w:asciiTheme="minorHAnsi" w:hAnsiTheme="minorHAnsi" w:cstheme="minorHAnsi"/>
          <w:szCs w:val="18"/>
        </w:rPr>
        <w:t xml:space="preserve">bay window </w:t>
      </w:r>
      <w:r w:rsidR="00424CA8">
        <w:rPr>
          <w:rFonts w:asciiTheme="minorHAnsi" w:hAnsiTheme="minorHAnsi" w:cstheme="minorHAnsi"/>
          <w:szCs w:val="18"/>
        </w:rPr>
        <w:t xml:space="preserve">on the </w:t>
      </w:r>
      <w:r w:rsidR="009B4A63">
        <w:rPr>
          <w:rFonts w:asciiTheme="minorHAnsi" w:hAnsiTheme="minorHAnsi" w:cstheme="minorHAnsi"/>
          <w:szCs w:val="18"/>
        </w:rPr>
        <w:t xml:space="preserve">front </w:t>
      </w:r>
      <w:r w:rsidR="00424CA8">
        <w:rPr>
          <w:rFonts w:asciiTheme="minorHAnsi" w:hAnsiTheme="minorHAnsi" w:cstheme="minorHAnsi"/>
          <w:szCs w:val="18"/>
        </w:rPr>
        <w:t xml:space="preserve">facade </w:t>
      </w:r>
      <w:r w:rsidRPr="001D5420">
        <w:rPr>
          <w:rFonts w:asciiTheme="minorHAnsi" w:hAnsiTheme="minorHAnsi" w:cstheme="minorHAnsi"/>
          <w:szCs w:val="18"/>
        </w:rPr>
        <w:t xml:space="preserve">are typical of Queen Anne architecture. Meanwhile, the shingle siding on the </w:t>
      </w:r>
      <w:r w:rsidR="00424CA8">
        <w:rPr>
          <w:rFonts w:asciiTheme="minorHAnsi" w:hAnsiTheme="minorHAnsi" w:cstheme="minorHAnsi"/>
          <w:szCs w:val="18"/>
        </w:rPr>
        <w:t>gable end</w:t>
      </w:r>
      <w:r w:rsidRPr="001D5420">
        <w:rPr>
          <w:rFonts w:asciiTheme="minorHAnsi" w:hAnsiTheme="minorHAnsi" w:cstheme="minorHAnsi"/>
          <w:szCs w:val="18"/>
        </w:rPr>
        <w:t xml:space="preserve"> references the more restrained Shingle Style. The building lacks the decorative exuberance of a typical Queen Anne, with simple detailing and no scrolled brackets on the porch. Elements such as the Tuscan columns and simple door would not be out of place on a twentieth-century Foursquare or Craftsman house. The building manages to blend these disparate influences into a harmonious overall design. For these reasons, the property is recommended eligible to the NRHP and CRHR under Criterion C/3.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B8050" w14:textId="77777777" w:rsidR="00F109BD" w:rsidRDefault="00F109BD">
      <w:r>
        <w:separator/>
      </w:r>
    </w:p>
  </w:endnote>
  <w:endnote w:type="continuationSeparator" w:id="0">
    <w:p w14:paraId="1F52B5D0" w14:textId="77777777" w:rsidR="00F109BD" w:rsidRDefault="00F10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8FBCC" w14:textId="77777777" w:rsidR="00713AC2" w:rsidRPr="00593D8D" w:rsidRDefault="00713AC2" w:rsidP="00713AC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A5B12" w14:textId="77777777" w:rsidR="00F109BD" w:rsidRDefault="00F109BD">
      <w:r>
        <w:separator/>
      </w:r>
    </w:p>
  </w:footnote>
  <w:footnote w:type="continuationSeparator" w:id="0">
    <w:p w14:paraId="116A1BE4" w14:textId="77777777" w:rsidR="00F109BD" w:rsidRDefault="00F109BD">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6B3E00C8" w14:textId="77777777" w:rsidR="007A2CD9" w:rsidRPr="00CB19F6" w:rsidRDefault="007A2CD9" w:rsidP="003561A1">
      <w:pPr>
        <w:pStyle w:val="FootnoteText"/>
        <w:spacing w:after="0"/>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Images of America: Early San Rafael, 28.</w:t>
      </w:r>
      <w:r w:rsidRPr="00CB19F6">
        <w:rPr>
          <w:sz w:val="16"/>
          <w:szCs w:val="16"/>
        </w:rPr>
        <w:t xml:space="preserve"> </w:t>
      </w:r>
    </w:p>
  </w:footnote>
  <w:footnote w:id="7">
    <w:p w14:paraId="44B0E2AE" w14:textId="77777777" w:rsidR="007A2CD9" w:rsidRPr="00CB19F6" w:rsidRDefault="007A2CD9" w:rsidP="003561A1">
      <w:pPr>
        <w:pStyle w:val="FootnoteText"/>
        <w:spacing w:after="0"/>
        <w:rPr>
          <w:rFonts w:ascii="Calibri" w:hAnsi="Calibri" w:cs="Calibri"/>
          <w:sz w:val="16"/>
          <w:szCs w:val="16"/>
        </w:rPr>
      </w:pPr>
      <w:r w:rsidRPr="00CB19F6">
        <w:rPr>
          <w:rStyle w:val="FootnoteReference1"/>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37.</w:t>
      </w:r>
    </w:p>
  </w:footnote>
  <w:footnote w:id="8">
    <w:p w14:paraId="633ECDD7"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9">
    <w:p w14:paraId="7B6BA5C4"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0">
    <w:p w14:paraId="6BC34949"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1">
    <w:p w14:paraId="39004D59" w14:textId="77777777" w:rsidR="007A2CD9" w:rsidRPr="00CB19F6" w:rsidRDefault="007A2CD9" w:rsidP="00013186">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2">
    <w:p w14:paraId="3DDF63BD" w14:textId="77777777" w:rsidR="007A2CD9" w:rsidRPr="00CB19F6" w:rsidRDefault="007A2CD9" w:rsidP="003561A1">
      <w:pPr>
        <w:pStyle w:val="FootnoteText"/>
        <w:spacing w:after="0"/>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3">
    <w:p w14:paraId="3E022AFE"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59-70. </w:t>
      </w:r>
    </w:p>
  </w:footnote>
  <w:footnote w:id="14">
    <w:p w14:paraId="74382A3D" w14:textId="77777777" w:rsidR="007A2CD9" w:rsidRPr="004628F0" w:rsidRDefault="007A2CD9" w:rsidP="003561A1">
      <w:pPr>
        <w:pStyle w:val="FootnoteText"/>
        <w:spacing w:after="0"/>
        <w:rPr>
          <w:rFonts w:ascii="Calibri" w:hAnsi="Calibri" w:cs="Calibri"/>
          <w:szCs w:val="18"/>
        </w:rPr>
      </w:pPr>
      <w:r w:rsidRPr="00CB19F6">
        <w:rPr>
          <w:rStyle w:val="FootnoteReference"/>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67-68.</w:t>
      </w:r>
    </w:p>
  </w:footnote>
  <w:footnote w:id="15">
    <w:p w14:paraId="29B9497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City and County of San Francisco Planning Department, </w:t>
      </w:r>
      <w:r w:rsidRPr="00CB19F6">
        <w:rPr>
          <w:rFonts w:asciiTheme="minorHAnsi" w:hAnsiTheme="minorHAnsi" w:cstheme="minorHAnsi"/>
          <w:i/>
          <w:sz w:val="16"/>
          <w:szCs w:val="16"/>
        </w:rPr>
        <w:t>Neighborhood Commercial Buildings: Historic Context Statement 1865-1965</w:t>
      </w:r>
      <w:r w:rsidRPr="00CB19F6">
        <w:rPr>
          <w:rFonts w:asciiTheme="minorHAnsi" w:hAnsiTheme="minorHAnsi" w:cstheme="minorHAnsi"/>
          <w:sz w:val="16"/>
          <w:szCs w:val="16"/>
        </w:rPr>
        <w:t>-Draft for Public Review, February 17, 2016.</w:t>
      </w:r>
    </w:p>
  </w:footnote>
  <w:footnote w:id="16">
    <w:p w14:paraId="6833DBFB" w14:textId="77777777" w:rsidR="00FF7859" w:rsidRPr="004628F0" w:rsidRDefault="00FF7859" w:rsidP="00FF7859">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17">
    <w:p w14:paraId="288B2D23" w14:textId="77777777" w:rsidR="00FF7859" w:rsidRDefault="00FF7859" w:rsidP="00FF7859">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18">
    <w:p w14:paraId="7E4F6257" w14:textId="77777777" w:rsidR="00FF7859" w:rsidRPr="00FF7859" w:rsidRDefault="00FF7859" w:rsidP="00FF7859">
      <w:pPr>
        <w:pStyle w:val="FootnoteText"/>
        <w:rPr>
          <w:rFonts w:ascii="Calibri" w:hAnsi="Calibri" w:cs="Calibri"/>
          <w:szCs w:val="18"/>
        </w:rPr>
      </w:pPr>
      <w:r w:rsidRPr="00FF7859">
        <w:rPr>
          <w:rStyle w:val="FootnoteReference"/>
          <w:rFonts w:ascii="Calibri" w:hAnsi="Calibri" w:cs="Calibri"/>
          <w:szCs w:val="18"/>
        </w:rPr>
        <w:footnoteRef/>
      </w:r>
      <w:r w:rsidRPr="00FF7859">
        <w:rPr>
          <w:rFonts w:ascii="Calibri" w:hAnsi="Calibri" w:cs="Calibri"/>
          <w:szCs w:val="18"/>
        </w:rPr>
        <w:t xml:space="preserve"> Jim Wood, History of a Highway, Marin Magazine, April 17, 2009, </w:t>
      </w:r>
      <w:hyperlink r:id="rId2" w:history="1">
        <w:r w:rsidRPr="00FF7859">
          <w:rPr>
            <w:rStyle w:val="Hyperlink"/>
            <w:rFonts w:ascii="Calibri" w:hAnsi="Calibri" w:cs="Calibri"/>
            <w:szCs w:val="18"/>
          </w:rPr>
          <w:t>https://marinmagazine.com/community/history/history-of-a-highway/</w:t>
        </w:r>
      </w:hyperlink>
      <w:r w:rsidRPr="00FF7859">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4A53E86C"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9B4A63">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7E10CE78"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Pr>
        <w:rFonts w:asciiTheme="minorHAnsi" w:eastAsia="MS Mincho" w:hAnsiTheme="minorHAnsi" w:cstheme="minorHAnsi"/>
        <w:szCs w:val="24"/>
        <w:u w:val="single"/>
      </w:rPr>
      <w:t>9</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1F7151">
      <w:rPr>
        <w:rFonts w:asciiTheme="minorHAnsi" w:eastAsia="MS Mincho" w:hAnsiTheme="minorHAnsi" w:cstheme="minorHAnsi"/>
        <w:spacing w:val="-2"/>
        <w:sz w:val="20"/>
        <w:u w:val="single"/>
      </w:rPr>
      <w:t>1011 Irwin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005622D6"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9B4A6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0E9A22F8"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1F7151">
      <w:rPr>
        <w:rFonts w:asciiTheme="minorHAnsi" w:eastAsia="MS Mincho" w:hAnsiTheme="minorHAnsi" w:cstheme="minorHAnsi"/>
        <w:szCs w:val="18"/>
        <w:u w:val="single"/>
      </w:rPr>
      <w:t>1011 Irwin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74816383"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0FC48561"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9B4A6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4828ACD7"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1F7151">
      <w:rPr>
        <w:rFonts w:asciiTheme="minorHAnsi" w:eastAsia="MS Mincho" w:hAnsiTheme="minorHAnsi" w:cstheme="minorHAnsi"/>
        <w:szCs w:val="18"/>
        <w:u w:val="single"/>
      </w:rPr>
      <w:t>1011 Irwin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77777777"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03B672BE"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1F7151">
      <w:rPr>
        <w:rFonts w:asciiTheme="minorHAnsi" w:hAnsiTheme="minorHAnsi" w:cstheme="minorHAnsi"/>
        <w:szCs w:val="18"/>
        <w:u w:val="single"/>
      </w:rPr>
      <w:t>1011 Irwin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1A8A520E"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1F7151">
      <w:rPr>
        <w:rFonts w:asciiTheme="minorHAnsi" w:hAnsiTheme="minorHAnsi" w:cstheme="minorHAnsi"/>
        <w:szCs w:val="18"/>
        <w:u w:val="single"/>
      </w:rPr>
      <w:t>1011 Irwin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169C"/>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9C9"/>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1F7151"/>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21B4"/>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B1B"/>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5884"/>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4D3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690B"/>
    <w:rsid w:val="003373B6"/>
    <w:rsid w:val="003375B2"/>
    <w:rsid w:val="00337A27"/>
    <w:rsid w:val="00337B1D"/>
    <w:rsid w:val="00337D39"/>
    <w:rsid w:val="00337E82"/>
    <w:rsid w:val="003402AC"/>
    <w:rsid w:val="003405E5"/>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59F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2DE2"/>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3AC2"/>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4404"/>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4C1"/>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4A63"/>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058"/>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0B7"/>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B537B"/>
    <w:rsid w:val="00CC066B"/>
    <w:rsid w:val="00CC08A0"/>
    <w:rsid w:val="00CC0C47"/>
    <w:rsid w:val="00CC1284"/>
    <w:rsid w:val="00CC4830"/>
    <w:rsid w:val="00CC587B"/>
    <w:rsid w:val="00CC5BDF"/>
    <w:rsid w:val="00CC6BB2"/>
    <w:rsid w:val="00CC7717"/>
    <w:rsid w:val="00CC77C9"/>
    <w:rsid w:val="00CD060F"/>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143"/>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09BD"/>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2902</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17</cp:revision>
  <cp:lastPrinted>2020-08-02T00:13:00Z</cp:lastPrinted>
  <dcterms:created xsi:type="dcterms:W3CDTF">2020-08-10T19:36:00Z</dcterms:created>
  <dcterms:modified xsi:type="dcterms:W3CDTF">2020-08-11T21:10:00Z</dcterms:modified>
</cp:coreProperties>
</file>