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AFD4977"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979EB">
        <w:rPr>
          <w:rFonts w:asciiTheme="minorHAnsi" w:eastAsia="MS Mincho" w:hAnsiTheme="minorHAnsi" w:cstheme="minorHAnsi"/>
          <w:szCs w:val="24"/>
          <w:u w:val="single"/>
        </w:rPr>
        <w:t>30 Latham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124F3DBC" w14:textId="5256EC26" w:rsidR="00044563" w:rsidRDefault="001D5420"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D5503A">
        <w:rPr>
          <w:rFonts w:asciiTheme="minorHAnsi" w:eastAsia="MS Mincho" w:hAnsiTheme="minorHAnsi" w:cstheme="minorHAnsi"/>
          <w:spacing w:val="-2"/>
          <w:szCs w:val="18"/>
        </w:rPr>
        <w:t xml:space="preserve">APN </w:t>
      </w:r>
      <w:bookmarkEnd w:id="0"/>
      <w:r w:rsidR="000979EB" w:rsidRPr="000979EB">
        <w:rPr>
          <w:rFonts w:ascii="Calibri" w:hAnsi="Calibri" w:cs="Calibri"/>
          <w:szCs w:val="18"/>
        </w:rPr>
        <w:t>011-242-22</w:t>
      </w:r>
    </w:p>
    <w:p w14:paraId="3A2EE5E8" w14:textId="77777777" w:rsidR="002D5247" w:rsidRPr="001D5420" w:rsidRDefault="002D5247" w:rsidP="002D5247">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68A4C057" w14:textId="440D4D3A" w:rsidR="000979EB" w:rsidRDefault="000979EB" w:rsidP="000979EB">
      <w:pPr>
        <w:autoSpaceDE w:val="0"/>
        <w:autoSpaceDN w:val="0"/>
        <w:adjustRightInd w:val="0"/>
        <w:rPr>
          <w:rFonts w:ascii="Calibri" w:hAnsi="Calibri" w:cs="Calibri"/>
          <w:szCs w:val="18"/>
        </w:rPr>
      </w:pPr>
      <w:r w:rsidRPr="000979EB">
        <w:rPr>
          <w:rFonts w:ascii="Calibri" w:hAnsi="Calibri" w:cs="Calibri"/>
          <w:szCs w:val="18"/>
        </w:rPr>
        <w:t>The two-story house has a roughly rectangular plan. The second-story entrance</w:t>
      </w:r>
      <w:r w:rsidRPr="000979EB">
        <w:rPr>
          <w:rFonts w:ascii="Calibri" w:hAnsi="Calibri" w:cs="Calibri"/>
          <w:szCs w:val="18"/>
        </w:rPr>
        <w:t xml:space="preserve"> </w:t>
      </w:r>
      <w:r w:rsidRPr="000979EB">
        <w:rPr>
          <w:rFonts w:ascii="Calibri" w:hAnsi="Calibri" w:cs="Calibri"/>
          <w:szCs w:val="18"/>
        </w:rPr>
        <w:t>is sheltered under a partial-width integral porch with its own, slightly projecting</w:t>
      </w:r>
      <w:r w:rsidRPr="000979EB">
        <w:rPr>
          <w:rFonts w:ascii="Calibri" w:hAnsi="Calibri" w:cs="Calibri"/>
          <w:szCs w:val="18"/>
        </w:rPr>
        <w:t xml:space="preserve"> </w:t>
      </w:r>
      <w:r w:rsidRPr="000979EB">
        <w:rPr>
          <w:rFonts w:ascii="Calibri" w:hAnsi="Calibri" w:cs="Calibri"/>
          <w:szCs w:val="18"/>
        </w:rPr>
        <w:t>gable. The entrance faces into the side of the building. There is a garage on the</w:t>
      </w:r>
      <w:r w:rsidRPr="000979EB">
        <w:rPr>
          <w:rFonts w:ascii="Calibri" w:hAnsi="Calibri" w:cs="Calibri"/>
          <w:szCs w:val="18"/>
        </w:rPr>
        <w:t xml:space="preserve"> </w:t>
      </w:r>
      <w:r w:rsidRPr="000979EB">
        <w:rPr>
          <w:rFonts w:ascii="Calibri" w:hAnsi="Calibri" w:cs="Calibri"/>
          <w:szCs w:val="18"/>
        </w:rPr>
        <w:t>first floor opposite the porch on the main façade. The building is clad in smooth</w:t>
      </w:r>
      <w:r w:rsidRPr="000979EB">
        <w:rPr>
          <w:rFonts w:ascii="Calibri" w:hAnsi="Calibri" w:cs="Calibri"/>
          <w:szCs w:val="18"/>
        </w:rPr>
        <w:t xml:space="preserve"> </w:t>
      </w:r>
      <w:r w:rsidRPr="000979EB">
        <w:rPr>
          <w:rFonts w:ascii="Calibri" w:hAnsi="Calibri" w:cs="Calibri"/>
          <w:szCs w:val="18"/>
        </w:rPr>
        <w:t>stucco.</w:t>
      </w:r>
    </w:p>
    <w:p w14:paraId="4D588615" w14:textId="77777777" w:rsidR="000979EB" w:rsidRPr="000979EB" w:rsidRDefault="000979EB" w:rsidP="000979EB">
      <w:pPr>
        <w:autoSpaceDE w:val="0"/>
        <w:autoSpaceDN w:val="0"/>
        <w:adjustRightInd w:val="0"/>
        <w:rPr>
          <w:rFonts w:ascii="Calibri" w:hAnsi="Calibri" w:cs="Calibri"/>
          <w:szCs w:val="18"/>
        </w:rPr>
      </w:pPr>
    </w:p>
    <w:p w14:paraId="5F77CDC0" w14:textId="40E9E937"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2A5CEE" w:rsidRPr="001D5420">
        <w:rPr>
          <w:rFonts w:asciiTheme="minorHAnsi" w:hAnsiTheme="minorHAnsi" w:cstheme="minorHAnsi"/>
          <w:sz w:val="18"/>
          <w:szCs w:val="18"/>
        </w:rPr>
        <w:t>HP</w:t>
      </w:r>
      <w:r w:rsidR="00E91B5D">
        <w:rPr>
          <w:rFonts w:asciiTheme="minorHAnsi" w:hAnsiTheme="minorHAnsi" w:cstheme="minorHAnsi"/>
          <w:sz w:val="18"/>
          <w:szCs w:val="18"/>
        </w:rPr>
        <w:t>2</w:t>
      </w:r>
      <w:r w:rsidR="002A5CEE" w:rsidRPr="001D5420">
        <w:rPr>
          <w:rFonts w:asciiTheme="minorHAnsi" w:hAnsiTheme="minorHAnsi" w:cstheme="minorHAnsi"/>
          <w:sz w:val="18"/>
          <w:szCs w:val="18"/>
        </w:rPr>
        <w:t>.</w:t>
      </w:r>
      <w:r w:rsidR="006E1A79" w:rsidRPr="001D5420">
        <w:rPr>
          <w:rFonts w:asciiTheme="minorHAnsi" w:hAnsiTheme="minorHAnsi" w:cstheme="minorHAnsi"/>
          <w:sz w:val="18"/>
          <w:szCs w:val="18"/>
        </w:rPr>
        <w:t xml:space="preserve"> </w:t>
      </w:r>
      <w:r w:rsidR="00E91B5D">
        <w:rPr>
          <w:rFonts w:asciiTheme="minorHAnsi" w:hAnsiTheme="minorHAnsi" w:cstheme="minorHAnsi"/>
          <w:sz w:val="18"/>
          <w:szCs w:val="18"/>
        </w:rPr>
        <w:t>Single Family residence</w:t>
      </w:r>
      <w:r w:rsidR="00D970FF">
        <w:rPr>
          <w:rFonts w:asciiTheme="minorHAnsi" w:hAnsiTheme="minorHAnsi" w:cstheme="minorHAnsi"/>
          <w:sz w:val="18"/>
          <w:szCs w:val="18"/>
        </w:rPr>
        <w:t>.</w:t>
      </w:r>
      <w:bookmarkEnd w:id="1"/>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5E17AFAD" w:rsidR="00F67779" w:rsidRDefault="000979EB" w:rsidP="00D5503A">
                            <w:pPr>
                              <w:jc w:val="center"/>
                              <w:rPr>
                                <w:rFonts w:ascii="Tahoma" w:hAnsi="Tahoma" w:cs="Tahoma"/>
                                <w:sz w:val="16"/>
                              </w:rPr>
                            </w:pPr>
                            <w:r w:rsidRPr="000979EB">
                              <w:rPr>
                                <w:rFonts w:ascii="Tahoma" w:hAnsi="Tahoma" w:cs="Tahoma"/>
                                <w:noProof/>
                                <w:sz w:val="16"/>
                              </w:rPr>
                              <w:drawing>
                                <wp:inline distT="0" distB="0" distL="0" distR="0" wp14:anchorId="1A61B602" wp14:editId="3689A5B5">
                                  <wp:extent cx="4506595" cy="33756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5660"/>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5E17AFAD" w:rsidR="00F67779" w:rsidRDefault="000979EB" w:rsidP="00D5503A">
                      <w:pPr>
                        <w:jc w:val="center"/>
                        <w:rPr>
                          <w:rFonts w:ascii="Tahoma" w:hAnsi="Tahoma" w:cs="Tahoma"/>
                          <w:sz w:val="16"/>
                        </w:rPr>
                      </w:pPr>
                      <w:r w:rsidRPr="000979EB">
                        <w:rPr>
                          <w:rFonts w:ascii="Tahoma" w:hAnsi="Tahoma" w:cs="Tahoma"/>
                          <w:noProof/>
                          <w:sz w:val="16"/>
                        </w:rPr>
                        <w:drawing>
                          <wp:inline distT="0" distB="0" distL="0" distR="0" wp14:anchorId="1A61B602" wp14:editId="3689A5B5">
                            <wp:extent cx="4506595" cy="337566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75660"/>
                                    </a:xfrm>
                                    <a:prstGeom prst="rect">
                                      <a:avLst/>
                                    </a:prstGeom>
                                    <a:noFill/>
                                    <a:ln>
                                      <a:noFill/>
                                    </a:ln>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2796297C"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0979EB">
        <w:rPr>
          <w:rFonts w:asciiTheme="minorHAnsi" w:hAnsiTheme="minorHAnsi" w:cstheme="minorHAnsi"/>
          <w:szCs w:val="18"/>
          <w:u w:val="single"/>
        </w:rPr>
        <w:t>30 Latham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D5503A">
        <w:rPr>
          <w:rFonts w:asciiTheme="minorHAnsi" w:hAnsiTheme="minorHAnsi" w:cstheme="minorHAnsi"/>
          <w:szCs w:val="18"/>
          <w:u w:val="single"/>
        </w:rPr>
        <w:t>across Second Street</w:t>
      </w:r>
      <w:r w:rsidR="00D05B04" w:rsidRPr="001D5420">
        <w:rPr>
          <w:rFonts w:asciiTheme="minorHAnsi" w:hAnsiTheme="minorHAnsi" w:cstheme="minorHAnsi"/>
          <w:szCs w:val="18"/>
          <w:u w:val="single"/>
        </w:rPr>
        <w:t xml:space="preserve">, looking </w:t>
      </w:r>
      <w:r w:rsidR="00D5503A">
        <w:rPr>
          <w:rFonts w:asciiTheme="minorHAnsi" w:hAnsiTheme="minorHAnsi" w:cstheme="minorHAnsi"/>
          <w:szCs w:val="18"/>
          <w:u w:val="single"/>
        </w:rPr>
        <w:t>south</w:t>
      </w:r>
      <w:r w:rsidR="00934D27">
        <w:rPr>
          <w:rFonts w:asciiTheme="minorHAnsi" w:hAnsiTheme="minorHAnsi" w:cstheme="minorHAnsi"/>
          <w:szCs w:val="18"/>
          <w:u w:val="single"/>
        </w:rPr>
        <w:t>-</w:t>
      </w:r>
      <w:r w:rsidR="00D5503A">
        <w:rPr>
          <w:rFonts w:asciiTheme="minorHAnsi" w:hAnsiTheme="minorHAnsi" w:cstheme="minorHAnsi"/>
          <w:szCs w:val="18"/>
          <w:u w:val="single"/>
        </w:rPr>
        <w:t>we</w:t>
      </w:r>
      <w:r w:rsidR="00934D27">
        <w:rPr>
          <w:rFonts w:asciiTheme="minorHAnsi" w:hAnsiTheme="minorHAnsi" w:cstheme="minorHAnsi"/>
          <w:szCs w:val="18"/>
          <w:u w:val="single"/>
        </w:rPr>
        <w:t>st</w:t>
      </w:r>
      <w:r w:rsidR="00D05B04" w:rsidRPr="001D5420">
        <w:rPr>
          <w:rFonts w:asciiTheme="minorHAnsi" w:hAnsiTheme="minorHAnsi" w:cstheme="minorHAnsi"/>
          <w:szCs w:val="18"/>
          <w:u w:val="single"/>
        </w:rPr>
        <w:t xml:space="preserve">. </w:t>
      </w:r>
    </w:p>
    <w:p w14:paraId="6E56085E" w14:textId="7B0A8BA8" w:rsidR="00044563" w:rsidRPr="001D5420" w:rsidRDefault="00B445F3" w:rsidP="00D05B04">
      <w:pPr>
        <w:rPr>
          <w:rFonts w:asciiTheme="minorHAnsi" w:hAnsiTheme="minorHAnsi" w:cstheme="minorHAnsi"/>
          <w:szCs w:val="18"/>
        </w:rPr>
      </w:pPr>
      <w:r>
        <w:rPr>
          <w:rFonts w:asciiTheme="minorHAnsi" w:hAnsiTheme="minorHAnsi" w:cstheme="minorHAnsi"/>
          <w:szCs w:val="18"/>
          <w:u w:val="single"/>
        </w:rPr>
        <w:t>September</w:t>
      </w:r>
      <w:r w:rsidR="00D05B04" w:rsidRPr="001D5420">
        <w:rPr>
          <w:rFonts w:asciiTheme="minorHAnsi" w:hAnsiTheme="minorHAnsi" w:cstheme="minorHAnsi"/>
          <w:szCs w:val="18"/>
          <w:u w:val="single"/>
        </w:rPr>
        <w:t xml:space="preserve">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03B22835"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979EB">
        <w:rPr>
          <w:rFonts w:asciiTheme="minorHAnsi" w:hAnsiTheme="minorHAnsi" w:cstheme="minorHAnsi"/>
          <w:szCs w:val="18"/>
          <w:u w:val="single"/>
        </w:rPr>
        <w:t>28</w:t>
      </w:r>
      <w:r w:rsidR="002D5247">
        <w:rPr>
          <w:rFonts w:asciiTheme="minorHAnsi" w:hAnsiTheme="minorHAnsi" w:cstheme="minorHAnsi"/>
          <w:szCs w:val="18"/>
          <w:u w:val="single"/>
        </w:rPr>
        <w:t xml:space="preserve"> (City Data)</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77777777" w:rsidR="002F1DB4" w:rsidRPr="001D5420" w:rsidRDefault="002F1DB4"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2840427B"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979EB">
        <w:rPr>
          <w:rFonts w:asciiTheme="minorHAnsi" w:hAnsiTheme="minorHAnsi" w:cstheme="minorHAnsi"/>
          <w:szCs w:val="18"/>
          <w:u w:val="single"/>
        </w:rPr>
        <w:t>30 Latham Street</w:t>
      </w:r>
      <w:r w:rsidR="00B31DA5" w:rsidRPr="001D5420">
        <w:rPr>
          <w:rFonts w:asciiTheme="minorHAnsi" w:hAnsiTheme="minorHAnsi" w:cstheme="minorHAnsi"/>
          <w:szCs w:val="18"/>
          <w:u w:val="single"/>
        </w:rPr>
        <w:t xml:space="preserve">                                                                      </w:t>
      </w:r>
    </w:p>
    <w:p w14:paraId="3BEE187C" w14:textId="4A82FB63"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E91B5D">
        <w:rPr>
          <w:rFonts w:asciiTheme="minorHAnsi" w:hAnsiTheme="minorHAnsi" w:cstheme="minorHAnsi"/>
          <w:szCs w:val="18"/>
          <w:u w:val="single"/>
        </w:rPr>
        <w:t xml:space="preserve">Single Family </w:t>
      </w:r>
      <w:r w:rsidR="00E91B5D" w:rsidRPr="001D5420">
        <w:rPr>
          <w:rFonts w:asciiTheme="minorHAnsi" w:hAnsiTheme="minorHAnsi" w:cstheme="minorHAnsi"/>
          <w:szCs w:val="18"/>
          <w:u w:val="single"/>
        </w:rPr>
        <w:t>Residence</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66A99F9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979EB">
        <w:rPr>
          <w:rFonts w:ascii="Calibri" w:hAnsi="Calibri" w:cs="Calibri"/>
          <w:szCs w:val="18"/>
          <w:u w:val="single"/>
        </w:rPr>
        <w:t>Craftsman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43172494"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979EB">
        <w:rPr>
          <w:rFonts w:asciiTheme="minorHAnsi" w:hAnsiTheme="minorHAnsi" w:cstheme="minorHAnsi"/>
          <w:szCs w:val="18"/>
        </w:rPr>
        <w:t>28</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2EF9AA20"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E91B5D">
        <w:rPr>
          <w:rFonts w:asciiTheme="minorHAnsi" w:hAnsiTheme="minorHAnsi" w:cstheme="minorHAnsi"/>
          <w:szCs w:val="18"/>
          <w:u w:val="single"/>
        </w:rPr>
        <w:t>Residential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49D2D5E1"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979EB">
        <w:rPr>
          <w:rFonts w:asciiTheme="minorHAnsi" w:hAnsiTheme="minorHAnsi" w:cstheme="minorHAnsi"/>
          <w:szCs w:val="18"/>
          <w:u w:val="single"/>
        </w:rPr>
        <w:t>28</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E91B5D">
        <w:rPr>
          <w:rFonts w:asciiTheme="minorHAnsi" w:hAnsiTheme="minorHAnsi" w:cstheme="minorHAnsi"/>
          <w:szCs w:val="18"/>
          <w:u w:val="single"/>
        </w:rPr>
        <w:t>Residential</w:t>
      </w:r>
      <w:r w:rsidR="00306DB0" w:rsidRPr="001D5420">
        <w:rPr>
          <w:rFonts w:asciiTheme="minorHAnsi" w:hAnsiTheme="minorHAnsi" w:cstheme="minorHAnsi"/>
          <w:szCs w:val="18"/>
          <w:u w:val="single"/>
        </w:rPr>
        <w:t xml:space="preserve">   </w:t>
      </w:r>
      <w:proofErr w:type="gramStart"/>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w:t>
      </w:r>
      <w:proofErr w:type="gramEnd"/>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bookmarkEnd w:id="6"/>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4D1770CB" w:rsidR="00C50BDD" w:rsidRPr="001D5420" w:rsidRDefault="000979EB"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Pr>
          <w:noProof/>
        </w:rPr>
        <w:drawing>
          <wp:inline distT="0" distB="0" distL="0" distR="0" wp14:anchorId="36C81A68" wp14:editId="58873988">
            <wp:extent cx="4677508" cy="350813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4692104" cy="3519078"/>
                    </a:xfrm>
                    <a:prstGeom prst="rect">
                      <a:avLst/>
                    </a:prstGeom>
                    <a:noFill/>
                    <a:ln>
                      <a:noFill/>
                    </a:ln>
                  </pic:spPr>
                </pic:pic>
              </a:graphicData>
            </a:graphic>
          </wp:inline>
        </w:drawing>
      </w:r>
      <w:r w:rsidR="00E91B5D" w:rsidRPr="00E91B5D">
        <w:rPr>
          <w:rFonts w:asciiTheme="minorHAnsi" w:hAnsiTheme="minorHAnsi" w:cstheme="minorHAnsi"/>
          <w:bCs/>
          <w:noProof/>
          <w:szCs w:val="18"/>
        </w:rPr>
        <w:t xml:space="preserve"> </w:t>
      </w:r>
    </w:p>
    <w:p w14:paraId="65124EF0" w14:textId="51755C37"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B445F3">
        <w:rPr>
          <w:rFonts w:asciiTheme="minorHAnsi" w:hAnsiTheme="minorHAnsi" w:cstheme="minorHAnsi"/>
          <w:bCs/>
          <w:szCs w:val="18"/>
        </w:rPr>
        <w:t>South</w:t>
      </w:r>
      <w:r w:rsidR="00451050">
        <w:rPr>
          <w:rFonts w:asciiTheme="minorHAnsi" w:hAnsiTheme="minorHAnsi" w:cstheme="minorHAnsi"/>
          <w:bCs/>
          <w:szCs w:val="18"/>
        </w:rPr>
        <w:t xml:space="preserve"> side of </w:t>
      </w:r>
      <w:r w:rsidR="00B445F3">
        <w:rPr>
          <w:rFonts w:asciiTheme="minorHAnsi" w:hAnsiTheme="minorHAnsi" w:cstheme="minorHAnsi"/>
          <w:bCs/>
          <w:szCs w:val="18"/>
        </w:rPr>
        <w:t>Latham</w:t>
      </w:r>
      <w:r w:rsidR="00D5503A">
        <w:rPr>
          <w:rFonts w:asciiTheme="minorHAnsi" w:hAnsiTheme="minorHAnsi" w:cstheme="minorHAnsi"/>
          <w:bCs/>
          <w:szCs w:val="18"/>
        </w:rPr>
        <w:t xml:space="preserve"> St</w:t>
      </w:r>
      <w:r w:rsidRPr="001D5420">
        <w:rPr>
          <w:rFonts w:asciiTheme="minorHAnsi" w:hAnsiTheme="minorHAnsi" w:cstheme="minorHAnsi"/>
          <w:bCs/>
          <w:szCs w:val="18"/>
        </w:rPr>
        <w:t>, camera facing</w:t>
      </w:r>
      <w:r w:rsidR="00B445F3">
        <w:rPr>
          <w:rFonts w:asciiTheme="minorHAnsi" w:hAnsiTheme="minorHAnsi" w:cstheme="minorHAnsi"/>
          <w:bCs/>
          <w:szCs w:val="18"/>
        </w:rPr>
        <w:t xml:space="preserve"> North</w:t>
      </w:r>
      <w:r w:rsidRPr="001D5420">
        <w:rPr>
          <w:rFonts w:asciiTheme="minorHAnsi" w:hAnsiTheme="minorHAnsi" w:cstheme="minorHAnsi"/>
          <w:bCs/>
          <w:szCs w:val="18"/>
        </w:rPr>
        <w:t xml:space="preserve">, </w:t>
      </w:r>
      <w:r w:rsidR="00B445F3">
        <w:rPr>
          <w:rFonts w:asciiTheme="minorHAnsi" w:hAnsiTheme="minorHAnsi" w:cstheme="minorHAnsi"/>
          <w:bCs/>
          <w:szCs w:val="18"/>
        </w:rPr>
        <w:t>September</w:t>
      </w:r>
      <w:r w:rsidRPr="001D5420">
        <w:rPr>
          <w:rFonts w:asciiTheme="minorHAnsi" w:hAnsiTheme="minorHAnsi" w:cstheme="minorHAnsi"/>
          <w:bCs/>
          <w:szCs w:val="18"/>
        </w:rPr>
        <w:t xml:space="preserve"> 201</w:t>
      </w:r>
      <w:r w:rsidR="00D5503A">
        <w:rPr>
          <w:rFonts w:asciiTheme="minorHAnsi" w:hAnsiTheme="minorHAnsi" w:cstheme="minorHAnsi"/>
          <w:bCs/>
          <w:szCs w:val="18"/>
        </w:rPr>
        <w:t>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72053A7"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0979EB">
        <w:rPr>
          <w:rFonts w:asciiTheme="minorHAnsi" w:hAnsiTheme="minorHAnsi" w:cstheme="minorHAnsi"/>
          <w:bCs/>
          <w:szCs w:val="18"/>
          <w:u w:val="single"/>
        </w:rPr>
        <w:t>30 Latham Street</w:t>
      </w:r>
      <w:r w:rsidRPr="001D5420">
        <w:rPr>
          <w:rFonts w:asciiTheme="minorHAnsi" w:hAnsiTheme="minorHAnsi" w:cstheme="minorHAnsi"/>
          <w:bCs/>
          <w:szCs w:val="18"/>
          <w:u w:val="single"/>
        </w:rPr>
        <w:t>:</w:t>
      </w:r>
    </w:p>
    <w:p w14:paraId="0EED67AE" w14:textId="284ACF3F"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B445F3">
        <w:rPr>
          <w:rFonts w:asciiTheme="minorHAnsi" w:hAnsiTheme="minorHAnsi" w:cstheme="minorHAnsi"/>
          <w:szCs w:val="18"/>
        </w:rPr>
        <w:t>Low gambrel roof with exposed rafter tails</w:t>
      </w:r>
      <w:r w:rsidR="00E91B5D">
        <w:rPr>
          <w:rFonts w:asciiTheme="minorHAnsi" w:hAnsiTheme="minorHAnsi" w:cstheme="minorHAnsi"/>
          <w:szCs w:val="18"/>
        </w:rPr>
        <w:t>.</w:t>
      </w:r>
    </w:p>
    <w:p w14:paraId="44AF3B21" w14:textId="687D5F31"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B445F3">
        <w:rPr>
          <w:rFonts w:asciiTheme="minorHAnsi" w:hAnsiTheme="minorHAnsi" w:cstheme="minorHAnsi"/>
          <w:szCs w:val="18"/>
        </w:rPr>
        <w:t>Separate gabled porch roof with exposed rafter tails</w:t>
      </w:r>
      <w:r w:rsidR="0050131D">
        <w:rPr>
          <w:rFonts w:asciiTheme="minorHAnsi" w:hAnsiTheme="minorHAnsi" w:cstheme="minorHAnsi"/>
          <w:szCs w:val="18"/>
        </w:rPr>
        <w:t>.</w:t>
      </w:r>
      <w:r w:rsidR="00BF21B5">
        <w:rPr>
          <w:rFonts w:asciiTheme="minorHAnsi" w:hAnsiTheme="minorHAnsi" w:cstheme="minorHAnsi"/>
          <w:szCs w:val="18"/>
        </w:rPr>
        <w:t xml:space="preserve"> </w:t>
      </w:r>
    </w:p>
    <w:p w14:paraId="117C2E51" w14:textId="3D24D49B"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2D5247">
        <w:rPr>
          <w:rFonts w:asciiTheme="minorHAnsi" w:hAnsiTheme="minorHAnsi" w:cstheme="minorHAnsi"/>
          <w:szCs w:val="18"/>
        </w:rPr>
        <w:t>Partial width integrated porch</w:t>
      </w:r>
      <w:r w:rsidR="0050131D">
        <w:rPr>
          <w:rFonts w:asciiTheme="minorHAnsi" w:hAnsiTheme="minorHAnsi" w:cstheme="minorHAnsi"/>
          <w:szCs w:val="18"/>
        </w:rPr>
        <w:t>.</w:t>
      </w:r>
      <w:r w:rsidR="00934D27">
        <w:rPr>
          <w:rFonts w:asciiTheme="minorHAnsi" w:hAnsiTheme="minorHAnsi" w:cstheme="minorHAnsi"/>
          <w:szCs w:val="18"/>
        </w:rPr>
        <w:t xml:space="preserve"> </w:t>
      </w:r>
    </w:p>
    <w:p w14:paraId="64099E48" w14:textId="0B51D513"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B445F3">
        <w:rPr>
          <w:rFonts w:asciiTheme="minorHAnsi" w:hAnsiTheme="minorHAnsi" w:cstheme="minorHAnsi"/>
          <w:szCs w:val="18"/>
        </w:rPr>
        <w:t>Second floor entrance facing away from the street.</w:t>
      </w:r>
    </w:p>
    <w:p w14:paraId="600A2D96" w14:textId="7D48F89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22728C">
        <w:rPr>
          <w:rFonts w:asciiTheme="minorHAnsi" w:hAnsiTheme="minorHAnsi" w:cstheme="minorHAnsi"/>
          <w:szCs w:val="18"/>
        </w:rPr>
        <w:t xml:space="preserve"> Large</w:t>
      </w:r>
      <w:r w:rsidR="002D5247">
        <w:rPr>
          <w:rFonts w:asciiTheme="minorHAnsi" w:hAnsiTheme="minorHAnsi" w:cstheme="minorHAnsi"/>
          <w:szCs w:val="18"/>
        </w:rPr>
        <w:t xml:space="preserve"> bay window on front facade</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0183AFE2" w14:textId="65D0E1C8"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B445F3">
        <w:rPr>
          <w:rFonts w:asciiTheme="minorHAnsi" w:hAnsiTheme="minorHAnsi" w:cstheme="minorHAnsi"/>
          <w:szCs w:val="18"/>
        </w:rPr>
        <w:t xml:space="preserve">Smooth stucco siding. </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2" w:name="_Hlk47205385"/>
      <w:bookmarkStart w:id="13"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4" w:name="_Hlk47205415"/>
      <w:bookmarkStart w:id="15" w:name="_Hlk46822228"/>
      <w:bookmarkEnd w:id="12"/>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3"/>
    <w:p w14:paraId="5FE497E7" w14:textId="6D710D88"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7E213137">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06318C4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72F4879F"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6E154383">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p w14:paraId="342FA50D" w14:textId="77777777" w:rsidR="0022728C" w:rsidRPr="0022728C" w:rsidRDefault="0022728C" w:rsidP="0022728C">
      <w:pPr>
        <w:rPr>
          <w:rFonts w:ascii="Calibri" w:hAnsi="Calibri" w:cs="Calibri"/>
          <w:bCs/>
          <w:color w:val="000000"/>
          <w:szCs w:val="18"/>
          <w:u w:val="single"/>
        </w:rPr>
      </w:pPr>
      <w:bookmarkStart w:id="20" w:name="_Hlk47026838"/>
      <w:bookmarkEnd w:id="14"/>
      <w:r w:rsidRPr="0022728C">
        <w:rPr>
          <w:rFonts w:ascii="Calibri" w:hAnsi="Calibri" w:cs="Calibri"/>
          <w:bCs/>
          <w:color w:val="000000"/>
          <w:szCs w:val="18"/>
          <w:u w:val="single"/>
        </w:rPr>
        <w:t xml:space="preserve">1850-1906: Early Growth of San Rafael </w:t>
      </w:r>
    </w:p>
    <w:p w14:paraId="78DB3442" w14:textId="5C3B0F15" w:rsidR="0022728C" w:rsidRDefault="0022728C" w:rsidP="0022728C">
      <w:pPr>
        <w:rPr>
          <w:rFonts w:ascii="Calibri" w:hAnsi="Calibri" w:cs="Calibri"/>
          <w:color w:val="000000"/>
          <w:szCs w:val="18"/>
        </w:rPr>
      </w:pPr>
      <w:r w:rsidRPr="0022728C">
        <w:rPr>
          <w:rFonts w:ascii="Calibri" w:hAnsi="Calibri" w:cs="Calibri"/>
          <w:szCs w:val="18"/>
        </w:rPr>
        <w:t xml:space="preserve">San Rafael grew gradually after California statehood in 1850, and was named seat of Marin County in 1851. Following the completion of the Transcontinental Railroad in 1869, the construction of Marin County Courthouse in 1872, and incorporation in 1874, San Rafael entered a period of accelerated growth. The discovery of gold in California led to a massive influx of new residents to California and eventually San Rafael. </w:t>
      </w:r>
      <w:r w:rsidRPr="0022728C">
        <w:rPr>
          <w:rFonts w:ascii="Calibri" w:hAnsi="Calibri" w:cs="Calibri"/>
          <w:color w:val="000000"/>
          <w:szCs w:val="18"/>
        </w:rPr>
        <w:t>Several individuals who immigrated to California during the Gold Rush played foundational roles in the civic development of the city. William Tell Coleman, who had moved to San Rafael in 1871, was influential in the construction of the Marin County Courthouse, in the development of the water system, promotion of the railroad, and construction of the Hotel Rafael.</w:t>
      </w:r>
      <w:r w:rsidRPr="0022728C">
        <w:rPr>
          <w:rFonts w:ascii="Calibri" w:hAnsi="Calibri" w:cs="Calibri"/>
          <w:color w:val="000000"/>
          <w:szCs w:val="18"/>
          <w:vertAlign w:val="superscript"/>
        </w:rPr>
        <w:footnoteReference w:id="6"/>
      </w:r>
      <w:r w:rsidRPr="0022728C">
        <w:rPr>
          <w:rFonts w:ascii="Calibri" w:hAnsi="Calibri" w:cs="Calibri"/>
          <w:szCs w:val="18"/>
        </w:rPr>
        <w:t xml:space="preserve"> During this period nearly all of San Rafael’s first generation of buildings were</w:t>
      </w:r>
      <w:r w:rsidRPr="0022728C" w:rsidDel="00B12BDB">
        <w:rPr>
          <w:rFonts w:ascii="Calibri" w:hAnsi="Calibri" w:cs="Calibri"/>
          <w:szCs w:val="18"/>
        </w:rPr>
        <w:t xml:space="preserve"> </w:t>
      </w:r>
      <w:r w:rsidRPr="0022728C">
        <w:rPr>
          <w:rFonts w:ascii="Calibri" w:hAnsi="Calibri" w:cs="Calibri"/>
          <w:szCs w:val="18"/>
        </w:rPr>
        <w:t xml:space="preserve"> lost </w:t>
      </w:r>
      <w:r w:rsidRPr="0022728C">
        <w:rPr>
          <w:rFonts w:ascii="Calibri" w:hAnsi="Calibri" w:cs="Calibri"/>
          <w:szCs w:val="18"/>
        </w:rPr>
        <w:lastRenderedPageBreak/>
        <w:t>including the original Mission buildings. Over the ensuing decades leading into the twentieth century, the town built out as freight, passenger, and interurban railway to Sausalito ferry extensions were completed.</w:t>
      </w:r>
      <w:r w:rsidRPr="0022728C">
        <w:rPr>
          <w:rFonts w:ascii="Calibri" w:hAnsi="Calibri" w:cs="Calibri"/>
          <w:szCs w:val="18"/>
          <w:vertAlign w:val="superscript"/>
        </w:rPr>
        <w:footnoteReference w:id="7"/>
      </w:r>
      <w:r w:rsidRPr="0022728C">
        <w:rPr>
          <w:rFonts w:ascii="Calibri" w:hAnsi="Calibri" w:cs="Calibri"/>
          <w:szCs w:val="18"/>
        </w:rPr>
        <w:t xml:space="preserve"> </w:t>
      </w:r>
      <w:r w:rsidRPr="0022728C">
        <w:rPr>
          <w:rFonts w:ascii="Calibri" w:hAnsi="Calibri" w:cs="Calibri"/>
          <w:color w:val="000000"/>
          <w:szCs w:val="18"/>
        </w:rPr>
        <w:t>The streetscape of San Rafael’s commercial downtown continued to develop along a typical pattern of regional growth from the late 1860s to the 1890s, when the advances in transportation technologies and expansion in services determined the location for housing and businesses. In 1870, the San Rafael and San Quentin Railroad was established, offering regular service to Point San Quentin.</w:t>
      </w:r>
      <w:r w:rsidRPr="0022728C">
        <w:rPr>
          <w:rFonts w:ascii="Calibri" w:hAnsi="Calibri" w:cs="Calibri"/>
          <w:color w:val="000000"/>
          <w:szCs w:val="18"/>
          <w:vertAlign w:val="superscript"/>
        </w:rPr>
        <w:footnoteReference w:id="8"/>
      </w:r>
      <w:r w:rsidRPr="0022728C">
        <w:rPr>
          <w:rFonts w:ascii="Calibri" w:hAnsi="Calibri" w:cs="Calibri"/>
          <w:color w:val="000000"/>
          <w:szCs w:val="18"/>
        </w:rPr>
        <w:t xml:space="preserve"> The North Pacific Coast Railroad (NPC) followed in 1871, which provided San Rafael with a spur track that connected San Anselmo to the station at B Street. A new depot was constructed on Tamalpais Avenue between Third and Fourth Streets in 1884.</w:t>
      </w:r>
    </w:p>
    <w:p w14:paraId="60BE8799" w14:textId="77777777" w:rsidR="0022728C" w:rsidRPr="0022728C" w:rsidRDefault="0022728C" w:rsidP="0022728C">
      <w:pPr>
        <w:rPr>
          <w:rFonts w:ascii="Calibri" w:hAnsi="Calibri" w:cs="Calibri"/>
          <w:color w:val="000000"/>
          <w:szCs w:val="18"/>
        </w:rPr>
      </w:pPr>
    </w:p>
    <w:p w14:paraId="0C70BC0B" w14:textId="77777777" w:rsidR="0022728C" w:rsidRPr="0022728C" w:rsidRDefault="0022728C" w:rsidP="0022728C">
      <w:pPr>
        <w:rPr>
          <w:rFonts w:ascii="Calibri" w:hAnsi="Calibri" w:cs="Calibri"/>
          <w:szCs w:val="18"/>
        </w:rPr>
      </w:pPr>
      <w:r w:rsidRPr="0022728C">
        <w:rPr>
          <w:rFonts w:ascii="Calibri" w:hAnsi="Calibri" w:cs="Calibri"/>
          <w:color w:val="000000"/>
          <w:szCs w:val="18"/>
        </w:rPr>
        <w:t>Transportation infrastructure also included the inauguration of ferry</w:t>
      </w:r>
      <w:r w:rsidRPr="0022728C">
        <w:rPr>
          <w:rFonts w:ascii="Calibri" w:hAnsi="Calibri" w:cs="Calibri"/>
          <w:szCs w:val="18"/>
        </w:rPr>
        <w:t xml:space="preserve"> service from Point San Quentin including a short rail line connecting San Rafael to the ferry and the completion a railroad from Petaluma through San Rafael to Tiburon. </w:t>
      </w:r>
      <w:r w:rsidRPr="0022728C">
        <w:rPr>
          <w:rFonts w:ascii="Calibri" w:hAnsi="Calibri" w:cs="Calibri"/>
          <w:color w:val="000000"/>
          <w:szCs w:val="18"/>
        </w:rPr>
        <w:t>Faster and more reliable electric train service was introduced in 1903.</w:t>
      </w:r>
      <w:r w:rsidRPr="0022728C">
        <w:rPr>
          <w:rFonts w:ascii="Calibri" w:hAnsi="Calibri" w:cs="Calibri"/>
          <w:color w:val="000000"/>
          <w:szCs w:val="18"/>
          <w:vertAlign w:val="superscript"/>
        </w:rPr>
        <w:footnoteReference w:id="9"/>
      </w:r>
      <w:r w:rsidRPr="0022728C">
        <w:rPr>
          <w:rFonts w:ascii="Calibri" w:hAnsi="Calibri" w:cs="Calibri"/>
          <w:color w:val="000000"/>
          <w:szCs w:val="18"/>
        </w:rPr>
        <w:t xml:space="preserve"> </w:t>
      </w:r>
      <w:bookmarkStart w:id="21" w:name="_Hlk46927795"/>
      <w:r w:rsidRPr="0022728C">
        <w:rPr>
          <w:rFonts w:ascii="Calibri" w:hAnsi="Calibri" w:cs="Calibri"/>
          <w:color w:val="000000"/>
          <w:szCs w:val="18"/>
        </w:rPr>
        <w:t>The railroad’s arrival started</w:t>
      </w:r>
      <w:bookmarkEnd w:id="21"/>
      <w:r w:rsidRPr="0022728C">
        <w:rPr>
          <w:rFonts w:ascii="Calibri" w:hAnsi="Calibri" w:cs="Calibri"/>
          <w:color w:val="000000"/>
          <w:szCs w:val="18"/>
        </w:rPr>
        <w:t xml:space="preserve"> a modest hospitality industry for summer and weekend visitors that contributed to the growth of the town, with the opening of several hotels, saloons, and specialty shops.</w:t>
      </w:r>
      <w:r w:rsidRPr="0022728C">
        <w:rPr>
          <w:rFonts w:ascii="Calibri" w:hAnsi="Calibri" w:cs="Calibri"/>
          <w:color w:val="000000"/>
          <w:szCs w:val="18"/>
          <w:vertAlign w:val="superscript"/>
        </w:rPr>
        <w:footnoteReference w:id="10"/>
      </w:r>
      <w:r w:rsidRPr="0022728C">
        <w:rPr>
          <w:rFonts w:ascii="Calibri" w:hAnsi="Calibri" w:cs="Calibri"/>
          <w:color w:val="000000"/>
          <w:szCs w:val="18"/>
        </w:rPr>
        <w:t xml:space="preserve"> </w:t>
      </w:r>
      <w:r w:rsidRPr="0022728C">
        <w:rPr>
          <w:rFonts w:ascii="Calibri" w:hAnsi="Calibri" w:cs="Calibri"/>
          <w:szCs w:val="18"/>
        </w:rPr>
        <w:t xml:space="preserve">Development of the San Rafael Canal (San Rafael  Creek) led to the emergence of commercial activity around the tidal estuary linking San Francisco to the communities, ranches, and farms along the bay and sloughs. The most notable remaining example of this industry is the </w:t>
      </w:r>
      <w:proofErr w:type="spellStart"/>
      <w:r w:rsidRPr="0022728C">
        <w:rPr>
          <w:rFonts w:ascii="Calibri" w:hAnsi="Calibri" w:cs="Calibri"/>
          <w:szCs w:val="18"/>
        </w:rPr>
        <w:t>McNear</w:t>
      </w:r>
      <w:proofErr w:type="spellEnd"/>
      <w:r w:rsidRPr="0022728C">
        <w:rPr>
          <w:rFonts w:ascii="Calibri" w:hAnsi="Calibri" w:cs="Calibri"/>
          <w:szCs w:val="18"/>
        </w:rPr>
        <w:t xml:space="preserve"> Brick Yard adjacent to the Dutra Quarry. </w:t>
      </w:r>
    </w:p>
    <w:p w14:paraId="5BEAB368" w14:textId="77777777" w:rsidR="0022728C" w:rsidRPr="0022728C" w:rsidRDefault="0022728C" w:rsidP="0022728C">
      <w:pPr>
        <w:rPr>
          <w:rFonts w:ascii="Calibri" w:eastAsia="Calibri" w:hAnsi="Calibri"/>
          <w:szCs w:val="18"/>
        </w:rPr>
      </w:pPr>
    </w:p>
    <w:p w14:paraId="55F18C93" w14:textId="69575DE1" w:rsidR="0022728C" w:rsidRDefault="0022728C" w:rsidP="0022728C">
      <w:pPr>
        <w:rPr>
          <w:rFonts w:ascii="Calibri" w:hAnsi="Calibri" w:cs="Calibri"/>
          <w:color w:val="000000"/>
          <w:szCs w:val="18"/>
        </w:rPr>
      </w:pPr>
      <w:r w:rsidRPr="0022728C">
        <w:rPr>
          <w:rFonts w:ascii="Calibri" w:hAnsi="Calibri" w:cs="Calibri"/>
          <w:color w:val="000000"/>
          <w:szCs w:val="18"/>
        </w:rPr>
        <w:t>Commercial development in the downtown began in the mid-1860s. John A. Davis and Daniel T. Taylor were credited with opening the first general store, which was immediately followed by a meat market.</w:t>
      </w:r>
      <w:r w:rsidRPr="0022728C">
        <w:rPr>
          <w:rFonts w:ascii="Calibri" w:hAnsi="Calibri" w:cs="Calibri"/>
          <w:color w:val="000000"/>
          <w:szCs w:val="18"/>
          <w:vertAlign w:val="superscript"/>
        </w:rPr>
        <w:footnoteReference w:id="11"/>
      </w:r>
      <w:r w:rsidRPr="0022728C">
        <w:rPr>
          <w:rFonts w:ascii="Calibri" w:hAnsi="Calibri" w:cs="Calibri"/>
          <w:color w:val="000000"/>
          <w:szCs w:val="18"/>
        </w:rPr>
        <w:t xml:space="preserve"> By 1866, the town had three stores, two hotels, two boarding houses, one restaurant, two stables, three boot makers, two blacksmith shops, a butcher shop, a clock maker, a barber, three lawyers, and a physician.</w:t>
      </w:r>
      <w:r w:rsidRPr="0022728C">
        <w:rPr>
          <w:rFonts w:ascii="Calibri" w:hAnsi="Calibri" w:cs="Calibri"/>
          <w:color w:val="000000"/>
          <w:szCs w:val="18"/>
          <w:vertAlign w:val="superscript"/>
        </w:rPr>
        <w:footnoteReference w:id="12"/>
      </w:r>
      <w:r w:rsidRPr="0022728C">
        <w:rPr>
          <w:rFonts w:ascii="Calibri" w:hAnsi="Calibri" w:cs="Calibri"/>
          <w:color w:val="000000"/>
          <w:szCs w:val="18"/>
        </w:rPr>
        <w:t xml:space="preserve"> </w:t>
      </w:r>
      <w:r w:rsidRPr="0022728C">
        <w:rPr>
          <w:rFonts w:ascii="Calibri" w:hAnsi="Calibri" w:cs="Calibri"/>
          <w:szCs w:val="18"/>
        </w:rPr>
        <w:t>This period saw Fourth Street become San Rafael’s “Main Street” with retail and commerce centered on the east-west thoroughfare. The rail station at B and Second streets also became a hub of activity with a smaller commercial district beginning to grow on the north-south axis connecting the rail junction to Fourth Street.  Commercial activity also sprang up along Fourth and B Streets, in the pocket connecting both rail lines.</w:t>
      </w:r>
      <w:r w:rsidRPr="0022728C">
        <w:rPr>
          <w:rFonts w:ascii="Calibri" w:hAnsi="Calibri" w:cs="Calibri"/>
          <w:color w:val="000000"/>
          <w:szCs w:val="18"/>
        </w:rPr>
        <w:t xml:space="preserve"> </w:t>
      </w:r>
      <w:r w:rsidRPr="0022728C">
        <w:rPr>
          <w:rFonts w:ascii="Calibri" w:hAnsi="Calibri" w:cs="Calibri"/>
          <w:szCs w:val="18"/>
        </w:rPr>
        <w:t xml:space="preserve">By the 1890’s San Rafael was a commercial and cultural center and was taking on a shape we can recognize today. </w:t>
      </w:r>
      <w:r w:rsidRPr="0022728C">
        <w:rPr>
          <w:rFonts w:ascii="Calibri" w:hAnsi="Calibri" w:cs="Calibri"/>
          <w:color w:val="000000"/>
          <w:szCs w:val="18"/>
        </w:rPr>
        <w:t xml:space="preserve">Fourth Street was a premier shopping area, with the largest department store in Marin County (owned by Jacob Albert and located at 1216 Fourth </w:t>
      </w:r>
      <w:r w:rsidRPr="0022728C">
        <w:rPr>
          <w:rFonts w:ascii="Calibri" w:hAnsi="Calibri" w:cs="Calibri"/>
          <w:szCs w:val="18"/>
        </w:rPr>
        <w:t>Street</w:t>
      </w:r>
      <w:r w:rsidRPr="0022728C">
        <w:rPr>
          <w:rFonts w:ascii="Calibri" w:hAnsi="Calibri" w:cs="Calibri"/>
          <w:color w:val="000000"/>
          <w:szCs w:val="18"/>
        </w:rPr>
        <w:t>). A Chinese community had begun to grow around the east side of C Street.</w:t>
      </w:r>
      <w:r w:rsidRPr="0022728C">
        <w:rPr>
          <w:rFonts w:ascii="Calibri" w:hAnsi="Calibri" w:cs="Calibri"/>
          <w:color w:val="000000"/>
          <w:szCs w:val="18"/>
          <w:vertAlign w:val="superscript"/>
        </w:rPr>
        <w:footnoteReference w:id="13"/>
      </w:r>
      <w:r w:rsidRPr="0022728C">
        <w:rPr>
          <w:rFonts w:ascii="Calibri" w:hAnsi="Calibri" w:cs="Calibri"/>
          <w:szCs w:val="18"/>
        </w:rPr>
        <w:t xml:space="preserve"> This period saw the construction of many large residential buildings, some of which still stand today.</w:t>
      </w:r>
      <w:r w:rsidRPr="0022728C">
        <w:rPr>
          <w:rFonts w:ascii="Calibri" w:hAnsi="Calibri" w:cs="Calibri"/>
          <w:szCs w:val="18"/>
          <w:vertAlign w:val="superscript"/>
        </w:rPr>
        <w:footnoteReference w:id="14"/>
      </w:r>
      <w:r w:rsidRPr="0022728C">
        <w:rPr>
          <w:rFonts w:ascii="Calibri" w:hAnsi="Calibri" w:cs="Calibri"/>
          <w:color w:val="000000"/>
          <w:szCs w:val="18"/>
        </w:rPr>
        <w:t xml:space="preserve"> Commercial streets developed during this period feature a mixture of one-story single-business establishments and multi-story mixed-use buildings (typically residential, hotel rooms, or offices above ground-floor storefronts). Commercial buildings aligned with turn-of-the century regional trends, and increasingly featured multiple, narrow storefronts. Stylistically, the design of commercial buildings from this period was closely aligned with Victorian-period residential architectural styles.</w:t>
      </w:r>
      <w:r w:rsidRPr="0022728C">
        <w:rPr>
          <w:rFonts w:ascii="Calibri" w:hAnsi="Calibri" w:cs="Calibri"/>
          <w:color w:val="000000"/>
          <w:szCs w:val="18"/>
          <w:vertAlign w:val="superscript"/>
        </w:rPr>
        <w:footnoteReference w:id="15"/>
      </w:r>
      <w:r w:rsidRPr="0022728C">
        <w:rPr>
          <w:rFonts w:ascii="Calibri" w:hAnsi="Calibri" w:cs="Calibri"/>
          <w:color w:val="000000"/>
          <w:szCs w:val="18"/>
        </w:rPr>
        <w:t xml:space="preserve"> </w:t>
      </w:r>
    </w:p>
    <w:p w14:paraId="57B96956" w14:textId="77777777" w:rsidR="0050131D" w:rsidRPr="0022728C" w:rsidRDefault="0050131D" w:rsidP="0022728C">
      <w:pPr>
        <w:rPr>
          <w:rFonts w:ascii="Calibri" w:hAnsi="Calibri" w:cs="Calibri"/>
          <w:color w:val="000000"/>
          <w:szCs w:val="18"/>
        </w:rPr>
      </w:pPr>
    </w:p>
    <w:bookmarkEnd w:id="20"/>
    <w:p w14:paraId="06D5BB45" w14:textId="77777777" w:rsidR="0050131D" w:rsidRPr="0050131D" w:rsidRDefault="0050131D" w:rsidP="0050131D">
      <w:pPr>
        <w:rPr>
          <w:rFonts w:ascii="Calibri" w:hAnsi="Calibri" w:cs="Calibri"/>
          <w:bCs/>
          <w:color w:val="000000"/>
          <w:szCs w:val="18"/>
          <w:u w:val="single"/>
        </w:rPr>
      </w:pPr>
      <w:r w:rsidRPr="0050131D">
        <w:rPr>
          <w:rFonts w:ascii="Calibri" w:hAnsi="Calibri" w:cs="Calibri"/>
          <w:bCs/>
          <w:color w:val="000000"/>
          <w:szCs w:val="18"/>
          <w:u w:val="single"/>
        </w:rPr>
        <w:t xml:space="preserve">1906-1937: Post Earthquake to the opening of the Golden Gate Bridge </w:t>
      </w:r>
    </w:p>
    <w:p w14:paraId="72FD48D5" w14:textId="382FC508" w:rsidR="0050131D" w:rsidRPr="0050131D" w:rsidRDefault="0050131D" w:rsidP="0050131D">
      <w:pPr>
        <w:rPr>
          <w:rFonts w:ascii="Calibri" w:hAnsi="Calibri" w:cs="Calibri"/>
          <w:szCs w:val="18"/>
        </w:rPr>
      </w:pPr>
      <w:r w:rsidRPr="0050131D">
        <w:rPr>
          <w:rFonts w:ascii="Calibri" w:hAnsi="Calibri" w:cs="Calibri"/>
          <w:szCs w:val="18"/>
        </w:rPr>
        <w:t>In the later years of the 19</w:t>
      </w:r>
      <w:r w:rsidRPr="0050131D">
        <w:rPr>
          <w:rFonts w:ascii="Calibri" w:hAnsi="Calibri" w:cs="Calibri"/>
          <w:szCs w:val="18"/>
          <w:vertAlign w:val="superscript"/>
        </w:rPr>
        <w:t>th</w:t>
      </w:r>
      <w:r w:rsidRPr="0050131D">
        <w:rPr>
          <w:rFonts w:ascii="Calibri" w:hAnsi="Calibri" w:cs="Calibri"/>
          <w:szCs w:val="18"/>
        </w:rPr>
        <w:t xml:space="preserve"> century San Rafael had begun to be seen by some San Franciscans as a desirable escape from city life. Wealthy San Franciscans such as AP </w:t>
      </w:r>
      <w:proofErr w:type="spellStart"/>
      <w:r w:rsidRPr="0050131D">
        <w:rPr>
          <w:rFonts w:ascii="Calibri" w:hAnsi="Calibri" w:cs="Calibri"/>
          <w:szCs w:val="18"/>
        </w:rPr>
        <w:t>Hotaling</w:t>
      </w:r>
      <w:proofErr w:type="spellEnd"/>
      <w:r w:rsidRPr="0050131D">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50131D">
        <w:rPr>
          <w:rFonts w:ascii="Calibri" w:hAnsi="Calibri" w:cs="Calibri"/>
          <w:szCs w:val="18"/>
        </w:rPr>
        <w:lastRenderedPageBreak/>
        <w:t>downtown such as the Proposed Conservation District One.</w:t>
      </w:r>
      <w:r w:rsidRPr="0050131D">
        <w:rPr>
          <w:rFonts w:ascii="Calibri" w:hAnsi="Calibri" w:cs="Calibri"/>
          <w:color w:val="000000"/>
          <w:szCs w:val="18"/>
        </w:rPr>
        <w:t xml:space="preserve"> </w:t>
      </w:r>
      <w:r w:rsidRPr="0050131D">
        <w:rPr>
          <w:rFonts w:ascii="Calibri" w:hAnsi="Calibri" w:cs="Calibri"/>
          <w:szCs w:val="18"/>
        </w:rPr>
        <w:t xml:space="preserve">The early twentieth century saw a huge interest in the civic life of San Rafael, with the </w:t>
      </w:r>
      <w:r w:rsidRPr="0050131D">
        <w:rPr>
          <w:rFonts w:ascii="Calibri" w:hAnsi="Calibri" w:cs="Calibri"/>
          <w:noProof/>
          <w:szCs w:val="18"/>
        </w:rPr>
        <w:drawing>
          <wp:anchor distT="0" distB="0" distL="114300" distR="114300" simplePos="0" relativeHeight="251673600" behindDoc="0" locked="0" layoutInCell="1" allowOverlap="1" wp14:anchorId="6FB176B0" wp14:editId="2C4E9317">
            <wp:simplePos x="0" y="0"/>
            <wp:positionH relativeFrom="margin">
              <wp:posOffset>28832</wp:posOffset>
            </wp:positionH>
            <wp:positionV relativeFrom="paragraph">
              <wp:posOffset>379095</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establishment of a Marin County Board of Supervisors, a local National Guard company, and construction of new civic buildings.</w:t>
      </w:r>
      <w:r w:rsidRPr="0050131D">
        <w:rPr>
          <w:rFonts w:ascii="Calibri" w:hAnsi="Calibri" w:cs="Calibri"/>
          <w:szCs w:val="18"/>
          <w:vertAlign w:val="superscript"/>
        </w:rPr>
        <w:footnoteReference w:id="16"/>
      </w:r>
      <w:r w:rsidRPr="0050131D">
        <w:rPr>
          <w:rFonts w:ascii="Calibri" w:hAnsi="Calibri" w:cs="Calibri"/>
          <w:szCs w:val="18"/>
        </w:rPr>
        <w:t xml:space="preserve"> </w:t>
      </w:r>
    </w:p>
    <w:p w14:paraId="79DFF9BA" w14:textId="49909A42"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3: Grand Carnival Parade, Fourth Street San Rafael. September 9</w:t>
      </w:r>
      <w:r w:rsidRPr="0050131D">
        <w:rPr>
          <w:rFonts w:ascii="Calibri" w:hAnsi="Calibri" w:cs="Calibri"/>
          <w:bCs/>
          <w:color w:val="000000"/>
          <w:szCs w:val="18"/>
          <w:vertAlign w:val="superscript"/>
        </w:rPr>
        <w:t>th</w:t>
      </w:r>
      <w:r w:rsidRPr="0050131D">
        <w:rPr>
          <w:rFonts w:ascii="Calibri" w:hAnsi="Calibri" w:cs="Calibri"/>
          <w:bCs/>
          <w:color w:val="000000"/>
          <w:szCs w:val="18"/>
        </w:rPr>
        <w:t>, 1908.</w:t>
      </w:r>
    </w:p>
    <w:p w14:paraId="207C5992" w14:textId="77777777" w:rsidR="0050131D" w:rsidRPr="0050131D" w:rsidRDefault="0050131D" w:rsidP="0050131D">
      <w:pPr>
        <w:rPr>
          <w:rFonts w:ascii="Calibri" w:eastAsia="Calibri" w:hAnsi="Calibri"/>
          <w:szCs w:val="18"/>
        </w:rPr>
      </w:pPr>
    </w:p>
    <w:p w14:paraId="5D84F966" w14:textId="77777777" w:rsidR="0050131D" w:rsidRPr="0050131D" w:rsidRDefault="0050131D" w:rsidP="0050131D">
      <w:pPr>
        <w:rPr>
          <w:rFonts w:ascii="Calibri" w:hAnsi="Calibri" w:cs="Calibri"/>
          <w:bCs/>
          <w:color w:val="000000"/>
          <w:szCs w:val="18"/>
        </w:rPr>
      </w:pPr>
      <w:r w:rsidRPr="0050131D">
        <w:rPr>
          <w:rFonts w:ascii="Calibri" w:hAnsi="Calibri" w:cs="Calibri"/>
          <w:noProof/>
          <w:color w:val="000000"/>
          <w:szCs w:val="18"/>
        </w:rPr>
        <w:drawing>
          <wp:anchor distT="0" distB="0" distL="114300" distR="114300" simplePos="0" relativeHeight="251674624" behindDoc="0" locked="0" layoutInCell="1" allowOverlap="1" wp14:anchorId="0E8FD9CC" wp14:editId="3FA32380">
            <wp:simplePos x="0" y="0"/>
            <wp:positionH relativeFrom="margin">
              <wp:align>left</wp:align>
            </wp:positionH>
            <wp:positionV relativeFrom="page">
              <wp:posOffset>5619750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50131D">
        <w:rPr>
          <w:rFonts w:ascii="Calibri" w:hAnsi="Calibri" w:cs="Calibri"/>
          <w:szCs w:val="18"/>
          <w:vertAlign w:val="superscript"/>
        </w:rPr>
        <w:footnoteReference w:id="17"/>
      </w:r>
      <w:r w:rsidRPr="0050131D">
        <w:rPr>
          <w:rFonts w:ascii="Calibri" w:hAnsi="Calibri" w:cs="Calibri"/>
          <w:szCs w:val="18"/>
        </w:rPr>
        <w:t xml:space="preserve"> </w:t>
      </w:r>
    </w:p>
    <w:p w14:paraId="5160A335"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4: Intersection of A and Fourth Streets looking west, c1920. Anne T. Kent California Room.</w:t>
      </w:r>
    </w:p>
    <w:p w14:paraId="03620A57" w14:textId="77777777" w:rsidR="0050131D" w:rsidRPr="0050131D" w:rsidRDefault="0050131D" w:rsidP="0050131D">
      <w:pPr>
        <w:rPr>
          <w:rFonts w:ascii="Calibri" w:hAnsi="Calibri" w:cs="Calibri"/>
          <w:szCs w:val="18"/>
        </w:rPr>
      </w:pPr>
    </w:p>
    <w:p w14:paraId="6333562A" w14:textId="77777777" w:rsidR="0050131D" w:rsidRPr="0050131D" w:rsidRDefault="0050131D" w:rsidP="0050131D">
      <w:pPr>
        <w:rPr>
          <w:rFonts w:ascii="Calibri" w:hAnsi="Calibri" w:cs="Calibri"/>
          <w:szCs w:val="18"/>
        </w:rPr>
      </w:pPr>
      <w:r w:rsidRPr="0050131D">
        <w:rPr>
          <w:rFonts w:ascii="Calibri" w:hAnsi="Calibri" w:cs="Calibri"/>
          <w:noProof/>
          <w:szCs w:val="18"/>
        </w:rPr>
        <w:lastRenderedPageBreak/>
        <w:drawing>
          <wp:anchor distT="0" distB="0" distL="114300" distR="114300" simplePos="0" relativeHeight="251675648" behindDoc="0" locked="0" layoutInCell="1" allowOverlap="1" wp14:anchorId="7095CEC6" wp14:editId="1203A72B">
            <wp:simplePos x="0" y="0"/>
            <wp:positionH relativeFrom="margin">
              <wp:posOffset>48638</wp:posOffset>
            </wp:positionH>
            <wp:positionV relativeFrom="page">
              <wp:posOffset>1818938</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50131D">
        <w:rPr>
          <w:rFonts w:ascii="Calibri" w:eastAsia="Calibri" w:hAnsi="Calibri"/>
          <w:szCs w:val="18"/>
        </w:rPr>
        <w:t>.</w:t>
      </w:r>
    </w:p>
    <w:p w14:paraId="437D69B1" w14:textId="77777777"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5: Map of the City of San Rafael, 1929. J.C Oglesby collection in the Anne T. Kent California Room.</w:t>
      </w:r>
    </w:p>
    <w:p w14:paraId="3D4C7C60" w14:textId="77777777" w:rsidR="0050131D" w:rsidRPr="0050131D" w:rsidRDefault="0050131D" w:rsidP="0050131D">
      <w:pPr>
        <w:rPr>
          <w:rFonts w:ascii="Calibri" w:hAnsi="Calibri" w:cs="Calibri"/>
          <w:bCs/>
          <w:color w:val="000000"/>
          <w:szCs w:val="18"/>
        </w:rPr>
      </w:pPr>
    </w:p>
    <w:p w14:paraId="3A4C36E2" w14:textId="6AB4E73E" w:rsidR="0050131D" w:rsidRPr="0050131D" w:rsidRDefault="0050131D" w:rsidP="0050131D">
      <w:pPr>
        <w:rPr>
          <w:rFonts w:ascii="Calibri" w:hAnsi="Calibri" w:cs="Calibri"/>
          <w:szCs w:val="18"/>
        </w:rPr>
      </w:pPr>
      <w:r w:rsidRPr="0050131D">
        <w:rPr>
          <w:rFonts w:ascii="Calibri" w:hAnsi="Calibri" w:cs="Calibri"/>
          <w:noProof/>
          <w:szCs w:val="18"/>
        </w:rPr>
        <w:drawing>
          <wp:anchor distT="0" distB="0" distL="114300" distR="114300" simplePos="0" relativeHeight="251676672" behindDoc="0" locked="0" layoutInCell="1" allowOverlap="1" wp14:anchorId="7B3D38A8" wp14:editId="46E58BF5">
            <wp:simplePos x="0" y="0"/>
            <wp:positionH relativeFrom="column">
              <wp:posOffset>45085</wp:posOffset>
            </wp:positionH>
            <wp:positionV relativeFrom="page">
              <wp:posOffset>5702300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50131D">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18E244EF" w14:textId="4E8BF7F9" w:rsidR="0050131D" w:rsidRPr="0050131D" w:rsidRDefault="0050131D" w:rsidP="0050131D">
      <w:pPr>
        <w:rPr>
          <w:rFonts w:ascii="Calibri" w:hAnsi="Calibri" w:cs="Calibri"/>
          <w:bCs/>
          <w:color w:val="000000"/>
          <w:szCs w:val="18"/>
        </w:rPr>
      </w:pPr>
      <w:r w:rsidRPr="0050131D">
        <w:rPr>
          <w:rFonts w:ascii="Calibri" w:hAnsi="Calibri" w:cs="Calibri"/>
          <w:bCs/>
          <w:color w:val="000000"/>
          <w:szCs w:val="18"/>
        </w:rPr>
        <w:t>Figure 6: View of Fourth Street looking east, 1932. Anne T. Kent California Room.</w:t>
      </w:r>
    </w:p>
    <w:p w14:paraId="3B7B4D95" w14:textId="49DB3C8F" w:rsidR="0050131D" w:rsidRPr="0050131D" w:rsidRDefault="0050131D" w:rsidP="0050131D">
      <w:pPr>
        <w:rPr>
          <w:rFonts w:ascii="Calibri" w:hAnsi="Calibri" w:cs="Calibri"/>
          <w:szCs w:val="18"/>
        </w:rPr>
      </w:pPr>
    </w:p>
    <w:p w14:paraId="045C0EEB" w14:textId="331160B6" w:rsidR="0050131D" w:rsidRPr="0050131D" w:rsidRDefault="0050131D" w:rsidP="0050131D">
      <w:pPr>
        <w:rPr>
          <w:rFonts w:ascii="Calibri" w:hAnsi="Calibri" w:cs="Calibri"/>
          <w:szCs w:val="18"/>
        </w:rPr>
      </w:pPr>
    </w:p>
    <w:p w14:paraId="5AB51347" w14:textId="77777777" w:rsidR="0050131D" w:rsidRPr="0050131D" w:rsidRDefault="0050131D" w:rsidP="0050131D">
      <w:pPr>
        <w:rPr>
          <w:rFonts w:ascii="Calibri" w:hAnsi="Calibri" w:cs="Calibri"/>
          <w:color w:val="000000"/>
          <w:szCs w:val="18"/>
        </w:rPr>
      </w:pPr>
      <w:r w:rsidRPr="0050131D">
        <w:rPr>
          <w:rFonts w:ascii="Calibri" w:hAnsi="Calibri" w:cs="Calibri"/>
          <w:szCs w:val="18"/>
        </w:rPr>
        <w:t xml:space="preserve">As late as 1903, nearly two decades after their invention, </w:t>
      </w:r>
      <w:r w:rsidRPr="0050131D">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w:t>
      </w:r>
      <w:r w:rsidRPr="0050131D">
        <w:rPr>
          <w:rFonts w:ascii="Calibri" w:hAnsi="Calibri" w:cs="Calibri"/>
          <w:color w:val="000000"/>
          <w:szCs w:val="18"/>
        </w:rPr>
        <w:lastRenderedPageBreak/>
        <w:t>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50131D">
        <w:rPr>
          <w:rFonts w:ascii="Calibri" w:hAnsi="Calibri" w:cs="Calibri"/>
          <w:color w:val="000000"/>
          <w:szCs w:val="18"/>
          <w:vertAlign w:val="superscript"/>
        </w:rPr>
        <w:footnoteReference w:id="1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6EFF87C0" w14:textId="66DE0864" w:rsidR="00DF7E4A" w:rsidRDefault="000979EB"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rPr>
      </w:pPr>
      <w:r>
        <w:rPr>
          <w:rFonts w:asciiTheme="minorHAnsi" w:hAnsiTheme="minorHAnsi" w:cstheme="minorHAnsi"/>
          <w:spacing w:val="-2"/>
          <w:szCs w:val="18"/>
        </w:rPr>
        <w:t>30 Latham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n</w:t>
      </w:r>
      <w:r w:rsidR="00D970FF">
        <w:rPr>
          <w:rFonts w:asciiTheme="minorHAnsi" w:hAnsiTheme="minorHAnsi" w:cstheme="minorHAnsi"/>
          <w:spacing w:val="-2"/>
          <w:szCs w:val="18"/>
        </w:rPr>
        <w:t xml:space="preserve"> </w:t>
      </w:r>
      <w:r w:rsidR="0022728C">
        <w:rPr>
          <w:rFonts w:asciiTheme="minorHAnsi" w:hAnsiTheme="minorHAnsi" w:cstheme="minorHAnsi"/>
          <w:spacing w:val="-2"/>
          <w:szCs w:val="18"/>
        </w:rPr>
        <w:t xml:space="preserve">excellent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proofErr w:type="gramStart"/>
      <w:r w:rsidR="00B445F3">
        <w:rPr>
          <w:rFonts w:asciiTheme="minorHAnsi" w:hAnsiTheme="minorHAnsi" w:cstheme="minorHAnsi"/>
          <w:spacing w:val="-2"/>
          <w:szCs w:val="18"/>
        </w:rPr>
        <w:t xml:space="preserve">Craftsman </w:t>
      </w:r>
      <w:r w:rsidR="0050131D">
        <w:rPr>
          <w:rFonts w:asciiTheme="minorHAnsi" w:hAnsiTheme="minorHAnsi" w:cstheme="minorHAnsi"/>
          <w:spacing w:val="-2"/>
          <w:szCs w:val="18"/>
        </w:rPr>
        <w:t xml:space="preserve"> style</w:t>
      </w:r>
      <w:proofErr w:type="gramEnd"/>
      <w:r w:rsidR="0050131D">
        <w:rPr>
          <w:rFonts w:asciiTheme="minorHAnsi" w:hAnsiTheme="minorHAnsi" w:cstheme="minorHAnsi"/>
          <w:spacing w:val="-2"/>
          <w:szCs w:val="18"/>
        </w:rPr>
        <w:t xml:space="preserve"> architecture</w:t>
      </w:r>
      <w:r w:rsidR="0022728C">
        <w:rPr>
          <w:rFonts w:asciiTheme="minorHAnsi" w:hAnsiTheme="minorHAnsi" w:cstheme="minorHAnsi"/>
          <w:spacing w:val="-2"/>
          <w:szCs w:val="18"/>
        </w:rPr>
        <w:t xml:space="preserve">. The structure includes many </w:t>
      </w:r>
      <w:r w:rsidR="0050131D">
        <w:rPr>
          <w:rFonts w:asciiTheme="minorHAnsi" w:hAnsiTheme="minorHAnsi" w:cstheme="minorHAnsi"/>
          <w:spacing w:val="-2"/>
          <w:szCs w:val="18"/>
        </w:rPr>
        <w:t xml:space="preserve">some features </w:t>
      </w:r>
      <w:r w:rsidR="0022728C">
        <w:rPr>
          <w:rFonts w:asciiTheme="minorHAnsi" w:hAnsiTheme="minorHAnsi" w:cstheme="minorHAnsi"/>
          <w:spacing w:val="-2"/>
          <w:szCs w:val="18"/>
        </w:rPr>
        <w:t xml:space="preserve">characteristic </w:t>
      </w:r>
      <w:r w:rsidR="0050131D">
        <w:rPr>
          <w:rFonts w:asciiTheme="minorHAnsi" w:hAnsiTheme="minorHAnsi" w:cstheme="minorHAnsi"/>
          <w:spacing w:val="-2"/>
          <w:szCs w:val="18"/>
        </w:rPr>
        <w:t xml:space="preserve">of </w:t>
      </w:r>
      <w:r w:rsidR="00B445F3">
        <w:rPr>
          <w:rFonts w:asciiTheme="minorHAnsi" w:hAnsiTheme="minorHAnsi" w:cstheme="minorHAnsi"/>
          <w:spacing w:val="-2"/>
          <w:szCs w:val="18"/>
        </w:rPr>
        <w:t xml:space="preserve">the </w:t>
      </w:r>
      <w:r w:rsidR="0050131D">
        <w:rPr>
          <w:rFonts w:asciiTheme="minorHAnsi" w:hAnsiTheme="minorHAnsi" w:cstheme="minorHAnsi"/>
          <w:spacing w:val="-2"/>
          <w:szCs w:val="18"/>
        </w:rPr>
        <w:t xml:space="preserve">Craftsman style buildings </w:t>
      </w:r>
      <w:r w:rsidR="0022728C">
        <w:rPr>
          <w:rFonts w:asciiTheme="minorHAnsi" w:hAnsiTheme="minorHAnsi" w:cstheme="minorHAnsi"/>
          <w:spacing w:val="-2"/>
          <w:szCs w:val="18"/>
        </w:rPr>
        <w:t>including integrated porch</w:t>
      </w:r>
      <w:r w:rsidR="003116D8">
        <w:rPr>
          <w:rFonts w:asciiTheme="minorHAnsi" w:hAnsiTheme="minorHAnsi" w:cstheme="minorHAnsi"/>
          <w:spacing w:val="-2"/>
          <w:szCs w:val="18"/>
        </w:rPr>
        <w:t xml:space="preserve"> and more modest decorations and materials than those seen in contemporary Queen Anne styles</w:t>
      </w:r>
      <w:r w:rsidR="00B445F3">
        <w:rPr>
          <w:rFonts w:asciiTheme="minorHAnsi" w:hAnsiTheme="minorHAnsi" w:cstheme="minorHAnsi"/>
          <w:spacing w:val="-2"/>
          <w:szCs w:val="18"/>
        </w:rPr>
        <w:t>.</w:t>
      </w:r>
      <w:r w:rsidR="002D5247">
        <w:rPr>
          <w:rFonts w:asciiTheme="minorHAnsi" w:hAnsiTheme="minorHAnsi" w:cstheme="minorHAnsi"/>
          <w:spacing w:val="-2"/>
          <w:szCs w:val="18"/>
        </w:rPr>
        <w:t xml:space="preserve"> </w:t>
      </w: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201AD7BE"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0979EB">
        <w:rPr>
          <w:rFonts w:asciiTheme="minorHAnsi" w:hAnsiTheme="minorHAnsi" w:cstheme="minorHAnsi"/>
          <w:szCs w:val="18"/>
        </w:rPr>
        <w:t>30 Latham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6A8E8A5E" w14:textId="7363DE85" w:rsidR="0050131D"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0979EB">
        <w:rPr>
          <w:rFonts w:asciiTheme="minorHAnsi" w:hAnsiTheme="minorHAnsi" w:cstheme="minorHAnsi"/>
          <w:szCs w:val="18"/>
        </w:rPr>
        <w:t>30 Latham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E074F5">
        <w:rPr>
          <w:rFonts w:asciiTheme="minorHAnsi" w:hAnsiTheme="minorHAnsi" w:cstheme="minorHAnsi"/>
          <w:szCs w:val="18"/>
        </w:rPr>
        <w:t xml:space="preserve">Craftsman </w:t>
      </w:r>
      <w:r w:rsidR="00802D3F" w:rsidRPr="00802D3F">
        <w:rPr>
          <w:rFonts w:asciiTheme="minorHAnsi" w:hAnsiTheme="minorHAnsi" w:cstheme="minorHAnsi"/>
          <w:szCs w:val="18"/>
        </w:rPr>
        <w:t>architecture displaying features characteristic</w:t>
      </w:r>
      <w:r w:rsidR="0050131D" w:rsidRPr="0050131D">
        <w:rPr>
          <w:rFonts w:asciiTheme="minorHAnsi" w:hAnsiTheme="minorHAnsi" w:cstheme="minorHAnsi"/>
          <w:szCs w:val="18"/>
        </w:rPr>
        <w:t xml:space="preserve"> </w:t>
      </w:r>
      <w:r w:rsidR="00802D3F" w:rsidRPr="00802D3F">
        <w:rPr>
          <w:rFonts w:asciiTheme="minorHAnsi" w:hAnsiTheme="minorHAnsi" w:cstheme="minorHAnsi"/>
          <w:szCs w:val="18"/>
        </w:rPr>
        <w:t>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5"/>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7F8215" w14:textId="77777777" w:rsidR="006C0C29" w:rsidRDefault="006C0C29">
      <w:r>
        <w:separator/>
      </w:r>
    </w:p>
  </w:endnote>
  <w:endnote w:type="continuationSeparator" w:id="0">
    <w:p w14:paraId="6DBD5AD6" w14:textId="77777777" w:rsidR="006C0C29" w:rsidRDefault="006C0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25E7" w14:textId="77777777" w:rsidR="00126B8E" w:rsidRPr="00593D8D" w:rsidRDefault="00126B8E" w:rsidP="00126B8E">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A4F77" w14:textId="77777777" w:rsidR="006C0C29" w:rsidRDefault="006C0C29">
      <w:r>
        <w:separator/>
      </w:r>
    </w:p>
  </w:footnote>
  <w:footnote w:type="continuationSeparator" w:id="0">
    <w:p w14:paraId="34A06AE3" w14:textId="77777777" w:rsidR="006C0C29" w:rsidRDefault="006C0C29">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6" w:name="_Hlk46227211"/>
      <w:r w:rsidRPr="00CB19F6">
        <w:rPr>
          <w:rFonts w:asciiTheme="minorHAnsi" w:hAnsiTheme="minorHAnsi" w:cstheme="minorHAnsi"/>
          <w:sz w:val="16"/>
          <w:szCs w:val="16"/>
        </w:rPr>
        <w:t>“History of San Rafael,” San Rafael Chamber, website. Accessed April 24, 2019</w:t>
      </w:r>
      <w:bookmarkEnd w:id="16"/>
      <w:r w:rsidRPr="00CB19F6">
        <w:rPr>
          <w:rFonts w:asciiTheme="minorHAnsi" w:hAnsiTheme="minorHAnsi" w:cstheme="minorHAnsi"/>
          <w:sz w:val="16"/>
          <w:szCs w:val="16"/>
        </w:rPr>
        <w:t xml:space="preserve">. http://srchamber.com/history-of-san-rafael/.; and, </w:t>
      </w:r>
      <w:bookmarkStart w:id="17" w:name="_Hlk46227262"/>
      <w:r w:rsidRPr="00CB19F6">
        <w:rPr>
          <w:rFonts w:asciiTheme="minorHAnsi" w:hAnsiTheme="minorHAnsi" w:cstheme="minorHAnsi"/>
          <w:sz w:val="16"/>
          <w:szCs w:val="16"/>
        </w:rPr>
        <w:t>“History of Mission San Rafael Arcangel,” California Missions Foundatin, website. Accessed April 24, 2019.</w:t>
      </w:r>
      <w:bookmarkEnd w:id="17"/>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923803"/>
      <w:r w:rsidRPr="00CB19F6">
        <w:rPr>
          <w:rFonts w:asciiTheme="minorHAnsi" w:hAnsiTheme="minorHAnsi" w:cstheme="minorHAnsi"/>
          <w:sz w:val="16"/>
          <w:szCs w:val="16"/>
        </w:rPr>
        <w:t>Images of America: Early San Rafael</w:t>
      </w:r>
      <w:bookmarkEnd w:id="18"/>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9"/>
    </w:p>
  </w:footnote>
  <w:footnote w:id="6">
    <w:p w14:paraId="19CAE3EC"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Images of America: Early San Rafael, 28.</w:t>
      </w:r>
      <w:r w:rsidRPr="0054250E">
        <w:rPr>
          <w:sz w:val="16"/>
          <w:szCs w:val="16"/>
        </w:rPr>
        <w:t xml:space="preserve"> </w:t>
      </w:r>
    </w:p>
  </w:footnote>
  <w:footnote w:id="7">
    <w:p w14:paraId="17968943" w14:textId="77777777" w:rsidR="0022728C" w:rsidRPr="004628F0" w:rsidRDefault="0022728C" w:rsidP="0022728C">
      <w:pPr>
        <w:pStyle w:val="FootnoteText"/>
        <w:rPr>
          <w:rFonts w:ascii="Calibri" w:hAnsi="Calibri" w:cs="Calibri"/>
          <w:szCs w:val="18"/>
        </w:rPr>
      </w:pPr>
      <w:r w:rsidRPr="004628F0">
        <w:rPr>
          <w:rStyle w:val="FootnoteReference1"/>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051C8F7B"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9">
    <w:p w14:paraId="33B927B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0">
    <w:p w14:paraId="6136777E"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37.</w:t>
      </w:r>
    </w:p>
  </w:footnote>
  <w:footnote w:id="11">
    <w:p w14:paraId="019303F4"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2">
    <w:p w14:paraId="000B5FB1" w14:textId="77777777" w:rsidR="0022728C" w:rsidRPr="0054250E" w:rsidRDefault="0022728C" w:rsidP="0022728C">
      <w:pPr>
        <w:pStyle w:val="FootnoteText"/>
        <w:rPr>
          <w:sz w:val="16"/>
          <w:szCs w:val="16"/>
        </w:rPr>
      </w:pPr>
      <w:r w:rsidRPr="004628F0">
        <w:rPr>
          <w:rStyle w:val="FootnoteReference"/>
          <w:rFonts w:ascii="Calibri" w:hAnsi="Calibri" w:cs="Calibri"/>
          <w:szCs w:val="18"/>
        </w:rPr>
        <w:footnoteRef/>
      </w:r>
      <w:r w:rsidRPr="004628F0">
        <w:rPr>
          <w:rFonts w:ascii="Calibri" w:hAnsi="Calibri" w:cs="Calibri"/>
          <w:szCs w:val="18"/>
        </w:rPr>
        <w:t xml:space="preserve"> Ibid, 59.</w:t>
      </w:r>
    </w:p>
  </w:footnote>
  <w:footnote w:id="13">
    <w:p w14:paraId="4F62B7AF"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Ibid., 59-70. </w:t>
      </w:r>
    </w:p>
  </w:footnote>
  <w:footnote w:id="14">
    <w:p w14:paraId="192D8443"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67-68.</w:t>
      </w:r>
    </w:p>
  </w:footnote>
  <w:footnote w:id="15">
    <w:p w14:paraId="0237B6D7" w14:textId="77777777" w:rsidR="0022728C" w:rsidRPr="004628F0" w:rsidRDefault="0022728C" w:rsidP="0022728C">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City and County of San Francisco Planning Department, </w:t>
      </w:r>
      <w:r w:rsidRPr="004628F0">
        <w:rPr>
          <w:rFonts w:ascii="Calibri" w:hAnsi="Calibri" w:cs="Calibri"/>
          <w:i/>
          <w:szCs w:val="18"/>
        </w:rPr>
        <w:t>Neighborhood Commercial Buildings: Historic Context Statement 1865-1965</w:t>
      </w:r>
      <w:r w:rsidRPr="004628F0">
        <w:rPr>
          <w:rFonts w:ascii="Calibri" w:hAnsi="Calibri" w:cs="Calibri"/>
          <w:szCs w:val="18"/>
        </w:rPr>
        <w:t>-Draft for Public Review, February 17, 2016.</w:t>
      </w:r>
    </w:p>
  </w:footnote>
  <w:footnote w:id="16">
    <w:p w14:paraId="76F39316" w14:textId="77777777" w:rsidR="0050131D" w:rsidRPr="004628F0" w:rsidRDefault="0050131D" w:rsidP="0050131D">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17">
    <w:p w14:paraId="795EBB35" w14:textId="77777777" w:rsidR="0050131D" w:rsidRDefault="0050131D" w:rsidP="0050131D">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18">
    <w:p w14:paraId="4240E926" w14:textId="77777777" w:rsidR="0050131D" w:rsidRPr="0050131D" w:rsidRDefault="0050131D" w:rsidP="0050131D">
      <w:pPr>
        <w:pStyle w:val="FootnoteText"/>
        <w:rPr>
          <w:rFonts w:ascii="Calibri" w:hAnsi="Calibri" w:cs="Calibri"/>
          <w:szCs w:val="18"/>
        </w:rPr>
      </w:pPr>
      <w:r w:rsidRPr="0050131D">
        <w:rPr>
          <w:rStyle w:val="FootnoteReference"/>
          <w:rFonts w:ascii="Calibri" w:hAnsi="Calibri" w:cs="Calibri"/>
          <w:szCs w:val="18"/>
        </w:rPr>
        <w:footnoteRef/>
      </w:r>
      <w:r w:rsidRPr="0050131D">
        <w:rPr>
          <w:rFonts w:ascii="Calibri" w:hAnsi="Calibri" w:cs="Calibri"/>
          <w:szCs w:val="18"/>
        </w:rPr>
        <w:t xml:space="preserve"> Jim Wood, History of a Highway, Marin Magazine, April 17, 2009, </w:t>
      </w:r>
      <w:hyperlink r:id="rId2" w:history="1">
        <w:r w:rsidRPr="0050131D">
          <w:rPr>
            <w:rStyle w:val="Hyperlink"/>
            <w:rFonts w:ascii="Calibri" w:hAnsi="Calibri" w:cs="Calibri"/>
            <w:szCs w:val="18"/>
          </w:rPr>
          <w:t>https://marinmagazine.com/community/history/history-of-a-highway/</w:t>
        </w:r>
      </w:hyperlink>
      <w:r w:rsidRPr="0050131D">
        <w:rPr>
          <w:rFonts w:ascii="Calibri" w:hAnsi="Calibri" w:cs="Calibri"/>
          <w:szCs w:val="18"/>
        </w:rPr>
        <w:t>, accessed July 20,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7500D099"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2C13F5">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63BA0320"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proofErr w:type="gramStart"/>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1</w:t>
    </w:r>
    <w:proofErr w:type="gramEnd"/>
    <w:r w:rsidRPr="00CA1086">
      <w:rPr>
        <w:rFonts w:asciiTheme="minorHAnsi" w:eastAsia="MS Mincho" w:hAnsiTheme="minorHAnsi" w:cstheme="minorHAnsi"/>
        <w:szCs w:val="24"/>
        <w:u w:val="single"/>
      </w:rPr>
      <w:t xml:space="preserve">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7D4707">
      <w:rPr>
        <w:rFonts w:asciiTheme="minorHAnsi" w:eastAsia="MS Mincho" w:hAnsiTheme="minorHAnsi" w:cstheme="minorHAnsi"/>
        <w:szCs w:val="24"/>
        <w:u w:val="single"/>
      </w:rPr>
      <w:t>9</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0979EB">
      <w:rPr>
        <w:rFonts w:asciiTheme="minorHAnsi" w:eastAsia="MS Mincho" w:hAnsiTheme="minorHAnsi" w:cstheme="minorHAnsi"/>
        <w:spacing w:val="-2"/>
        <w:sz w:val="20"/>
        <w:u w:val="single"/>
      </w:rPr>
      <w:t>30 Latham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5821ED13"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C13F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D4ADCBB"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979EB">
      <w:rPr>
        <w:rFonts w:asciiTheme="minorHAnsi" w:eastAsia="MS Mincho" w:hAnsiTheme="minorHAnsi" w:cstheme="minorHAnsi"/>
        <w:szCs w:val="18"/>
        <w:u w:val="single"/>
      </w:rPr>
      <w:t>30 Latham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351F8F62"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36CDAA2B"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2C13F5">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79FA7F05"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979EB">
      <w:rPr>
        <w:rFonts w:asciiTheme="minorHAnsi" w:eastAsia="MS Mincho" w:hAnsiTheme="minorHAnsi" w:cstheme="minorHAnsi"/>
        <w:szCs w:val="18"/>
        <w:u w:val="single"/>
      </w:rPr>
      <w:t>30 Latham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35E22FE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7D4707">
      <w:rPr>
        <w:rFonts w:asciiTheme="minorHAnsi" w:eastAsia="MS Mincho" w:hAnsiTheme="minorHAnsi" w:cstheme="minorHAnsi"/>
        <w:spacing w:val="-2"/>
        <w:szCs w:val="18"/>
        <w:u w:val="single"/>
      </w:rPr>
      <w:t>9</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61568C75"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979EB">
      <w:rPr>
        <w:rFonts w:asciiTheme="minorHAnsi" w:hAnsiTheme="minorHAnsi" w:cstheme="minorHAnsi"/>
        <w:szCs w:val="18"/>
        <w:u w:val="single"/>
      </w:rPr>
      <w:t>30 Latham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6311798F"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7D4707">
      <w:rPr>
        <w:rStyle w:val="PageNumber"/>
        <w:rFonts w:asciiTheme="minorHAnsi" w:hAnsiTheme="minorHAnsi" w:cstheme="minorHAnsi"/>
        <w:szCs w:val="18"/>
        <w:u w:val="single"/>
      </w:rPr>
      <w:t>9</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979EB">
      <w:rPr>
        <w:rFonts w:asciiTheme="minorHAnsi" w:hAnsiTheme="minorHAnsi" w:cstheme="minorHAnsi"/>
        <w:szCs w:val="18"/>
        <w:u w:val="single"/>
      </w:rPr>
      <w:t>30 Latham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9EB"/>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6B8E"/>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477D5"/>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3F5"/>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247"/>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6D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131D"/>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09C6"/>
    <w:rsid w:val="006B21C5"/>
    <w:rsid w:val="006B313B"/>
    <w:rsid w:val="006B43B2"/>
    <w:rsid w:val="006B4970"/>
    <w:rsid w:val="006B55CE"/>
    <w:rsid w:val="006B5A9C"/>
    <w:rsid w:val="006B5B3E"/>
    <w:rsid w:val="006B70BA"/>
    <w:rsid w:val="006B78D0"/>
    <w:rsid w:val="006B7DE1"/>
    <w:rsid w:val="006C06B9"/>
    <w:rsid w:val="006C0C2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4707"/>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6C8F"/>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5F3"/>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6E5"/>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03A"/>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074F5"/>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0870"/>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18</cp:revision>
  <cp:lastPrinted>2020-08-02T00:13:00Z</cp:lastPrinted>
  <dcterms:created xsi:type="dcterms:W3CDTF">2020-08-10T23:10:00Z</dcterms:created>
  <dcterms:modified xsi:type="dcterms:W3CDTF">2020-08-14T16:53:00Z</dcterms:modified>
</cp:coreProperties>
</file>