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4355E" w14:textId="77777777" w:rsidR="005C2461" w:rsidRPr="00055595" w:rsidRDefault="005C2461" w:rsidP="009F628F">
      <w:pPr>
        <w:pBdr>
          <w:bottom w:val="single" w:sz="4" w:space="1" w:color="auto"/>
        </w:pBdr>
        <w:rPr>
          <w:rFonts w:ascii="Century Gothic" w:hAnsi="Century Gothic"/>
          <w:sz w:val="10"/>
          <w:szCs w:val="10"/>
        </w:rPr>
      </w:pPr>
    </w:p>
    <w:p w14:paraId="51401C88" w14:textId="77777777" w:rsidR="005C2461" w:rsidRPr="00055595" w:rsidRDefault="005C2461" w:rsidP="005C2461">
      <w:pPr>
        <w:rPr>
          <w:rFonts w:ascii="Century Gothic" w:hAnsi="Century Gothic"/>
          <w:sz w:val="10"/>
          <w:szCs w:val="10"/>
        </w:rPr>
      </w:pPr>
    </w:p>
    <w:p w14:paraId="208CFEF9" w14:textId="77777777" w:rsidR="005C2461" w:rsidRPr="005C2461" w:rsidRDefault="005C2461" w:rsidP="004C29B3">
      <w:pPr>
        <w:pBdr>
          <w:bottom w:val="single" w:sz="4" w:space="1" w:color="auto"/>
        </w:pBdr>
        <w:tabs>
          <w:tab w:val="left" w:pos="1584"/>
          <w:tab w:val="center" w:pos="4680"/>
        </w:tabs>
        <w:rPr>
          <w:rFonts w:ascii="Century Gothic" w:hAnsi="Century Gothic"/>
          <w:b/>
          <w:bCs/>
          <w:sz w:val="4"/>
          <w:szCs w:val="4"/>
        </w:rPr>
      </w:pPr>
    </w:p>
    <w:p w14:paraId="53F6E74D" w14:textId="3919910E" w:rsidR="005C2461" w:rsidRPr="00AA4E52" w:rsidRDefault="005C2461" w:rsidP="005C2461">
      <w:pPr>
        <w:pBdr>
          <w:bottom w:val="single" w:sz="4" w:space="1" w:color="auto"/>
        </w:pBdr>
        <w:tabs>
          <w:tab w:val="left" w:pos="1584"/>
          <w:tab w:val="center" w:pos="4680"/>
        </w:tabs>
        <w:jc w:val="center"/>
        <w:rPr>
          <w:rFonts w:ascii="Century Gothic" w:hAnsi="Century Gothic"/>
          <w:b/>
          <w:bCs/>
          <w:sz w:val="52"/>
          <w:szCs w:val="40"/>
        </w:rPr>
      </w:pPr>
      <w:r w:rsidRPr="00AA4E52">
        <w:rPr>
          <w:rFonts w:ascii="Century Gothic" w:hAnsi="Century Gothic"/>
          <w:b/>
          <w:bCs/>
          <w:sz w:val="52"/>
          <w:szCs w:val="40"/>
        </w:rPr>
        <w:t xml:space="preserve">SUMMARY </w:t>
      </w:r>
    </w:p>
    <w:p w14:paraId="2CF603CE" w14:textId="3919910E" w:rsidR="005C2461" w:rsidRPr="00AA4E52" w:rsidRDefault="005C2461" w:rsidP="005C2461">
      <w:pPr>
        <w:pBdr>
          <w:bottom w:val="single" w:sz="4" w:space="1" w:color="auto"/>
        </w:pBdr>
        <w:tabs>
          <w:tab w:val="left" w:pos="1584"/>
          <w:tab w:val="center" w:pos="4680"/>
        </w:tabs>
        <w:jc w:val="center"/>
        <w:rPr>
          <w:rFonts w:ascii="Century Gothic" w:hAnsi="Century Gothic"/>
          <w:b/>
          <w:bCs/>
          <w:sz w:val="4"/>
          <w:szCs w:val="4"/>
        </w:rPr>
      </w:pPr>
    </w:p>
    <w:p w14:paraId="13339F54" w14:textId="77777777" w:rsidR="005C2461" w:rsidRPr="00AA4E52" w:rsidRDefault="005C2461" w:rsidP="005C2461">
      <w:pPr>
        <w:jc w:val="center"/>
        <w:rPr>
          <w:rFonts w:ascii="Century Gothic" w:hAnsi="Century Gothic"/>
          <w:b/>
          <w:bCs/>
          <w:sz w:val="28"/>
          <w:szCs w:val="40"/>
        </w:rPr>
      </w:pPr>
    </w:p>
    <w:p w14:paraId="239CA7A7" w14:textId="53649019" w:rsidR="005C2461" w:rsidRPr="00AA4E52" w:rsidRDefault="007D241D" w:rsidP="005C2461">
      <w:pPr>
        <w:jc w:val="center"/>
        <w:rPr>
          <w:rFonts w:ascii="Century Gothic" w:hAnsi="Century Gothic"/>
          <w:b/>
          <w:bCs/>
          <w:sz w:val="28"/>
          <w:szCs w:val="40"/>
        </w:rPr>
      </w:pPr>
      <w:r w:rsidRPr="00AA4E52">
        <w:rPr>
          <w:rFonts w:ascii="Century Gothic" w:hAnsi="Century Gothic"/>
          <w:b/>
          <w:bCs/>
          <w:sz w:val="28"/>
          <w:szCs w:val="40"/>
        </w:rPr>
        <w:t>COVID-19 Response</w:t>
      </w:r>
      <w:r w:rsidR="005C2461" w:rsidRPr="00AA4E52">
        <w:rPr>
          <w:rFonts w:ascii="Century Gothic" w:hAnsi="Century Gothic"/>
          <w:b/>
          <w:bCs/>
          <w:sz w:val="28"/>
          <w:szCs w:val="40"/>
        </w:rPr>
        <w:t xml:space="preserve"> Call</w:t>
      </w:r>
    </w:p>
    <w:p w14:paraId="14FEBA5F" w14:textId="517949F1" w:rsidR="005C2461" w:rsidRPr="00AA4E52" w:rsidRDefault="00881A4A" w:rsidP="005C2461">
      <w:pPr>
        <w:jc w:val="center"/>
        <w:rPr>
          <w:rFonts w:ascii="Century Gothic" w:hAnsi="Century Gothic"/>
          <w:b/>
          <w:bCs/>
          <w:sz w:val="28"/>
          <w:szCs w:val="40"/>
        </w:rPr>
      </w:pPr>
      <w:r w:rsidRPr="00AA4E52">
        <w:rPr>
          <w:rFonts w:ascii="Century Gothic" w:hAnsi="Century Gothic"/>
          <w:b/>
          <w:bCs/>
          <w:sz w:val="28"/>
          <w:szCs w:val="40"/>
        </w:rPr>
        <w:t>Friday</w:t>
      </w:r>
      <w:r w:rsidR="005C2461" w:rsidRPr="00AA4E52">
        <w:rPr>
          <w:rFonts w:ascii="Century Gothic" w:hAnsi="Century Gothic"/>
          <w:b/>
          <w:bCs/>
          <w:sz w:val="28"/>
          <w:szCs w:val="40"/>
        </w:rPr>
        <w:t xml:space="preserve">, March </w:t>
      </w:r>
      <w:r w:rsidRPr="00AA4E52">
        <w:rPr>
          <w:rFonts w:ascii="Century Gothic" w:hAnsi="Century Gothic"/>
          <w:b/>
          <w:bCs/>
          <w:sz w:val="28"/>
          <w:szCs w:val="40"/>
        </w:rPr>
        <w:t>20</w:t>
      </w:r>
      <w:r w:rsidR="005C2461" w:rsidRPr="00AA4E52">
        <w:rPr>
          <w:rFonts w:ascii="Century Gothic" w:hAnsi="Century Gothic"/>
          <w:b/>
          <w:bCs/>
          <w:sz w:val="28"/>
          <w:szCs w:val="40"/>
        </w:rPr>
        <w:t xml:space="preserve">, 2020 </w:t>
      </w:r>
    </w:p>
    <w:p w14:paraId="04325D3A" w14:textId="3123AFB2" w:rsidR="005C2461" w:rsidRPr="00AA4E52" w:rsidRDefault="005C2461" w:rsidP="005C2461">
      <w:pPr>
        <w:jc w:val="center"/>
        <w:rPr>
          <w:rFonts w:ascii="Century Gothic" w:hAnsi="Century Gothic"/>
          <w:b/>
          <w:bCs/>
          <w:sz w:val="28"/>
          <w:szCs w:val="40"/>
        </w:rPr>
      </w:pPr>
      <w:r w:rsidRPr="00AA4E52">
        <w:rPr>
          <w:rFonts w:ascii="Century Gothic" w:hAnsi="Century Gothic"/>
          <w:b/>
          <w:bCs/>
          <w:sz w:val="28"/>
          <w:szCs w:val="40"/>
        </w:rPr>
        <w:t>1:</w:t>
      </w:r>
      <w:r w:rsidR="00881A4A" w:rsidRPr="00AA4E52">
        <w:rPr>
          <w:rFonts w:ascii="Century Gothic" w:hAnsi="Century Gothic"/>
          <w:b/>
          <w:bCs/>
          <w:sz w:val="28"/>
          <w:szCs w:val="40"/>
        </w:rPr>
        <w:t>00p</w:t>
      </w:r>
      <w:r w:rsidRPr="00AA4E52">
        <w:rPr>
          <w:rFonts w:ascii="Century Gothic" w:hAnsi="Century Gothic"/>
          <w:b/>
          <w:bCs/>
          <w:sz w:val="28"/>
          <w:szCs w:val="40"/>
        </w:rPr>
        <w:t>m -</w:t>
      </w:r>
      <w:r w:rsidR="00881A4A" w:rsidRPr="00AA4E52">
        <w:rPr>
          <w:rFonts w:ascii="Century Gothic" w:hAnsi="Century Gothic"/>
          <w:b/>
          <w:bCs/>
          <w:sz w:val="28"/>
          <w:szCs w:val="40"/>
        </w:rPr>
        <w:t>2</w:t>
      </w:r>
      <w:r w:rsidRPr="00AA4E52">
        <w:rPr>
          <w:rFonts w:ascii="Century Gothic" w:hAnsi="Century Gothic"/>
          <w:b/>
          <w:bCs/>
          <w:sz w:val="28"/>
          <w:szCs w:val="40"/>
        </w:rPr>
        <w:t>:</w:t>
      </w:r>
      <w:r w:rsidR="007D241D" w:rsidRPr="00AA4E52">
        <w:rPr>
          <w:rFonts w:ascii="Century Gothic" w:hAnsi="Century Gothic"/>
          <w:b/>
          <w:bCs/>
          <w:sz w:val="28"/>
          <w:szCs w:val="40"/>
        </w:rPr>
        <w:t>0</w:t>
      </w:r>
      <w:r w:rsidRPr="00AA4E52">
        <w:rPr>
          <w:rFonts w:ascii="Century Gothic" w:hAnsi="Century Gothic"/>
          <w:b/>
          <w:bCs/>
          <w:sz w:val="28"/>
          <w:szCs w:val="40"/>
        </w:rPr>
        <w:t>0</w:t>
      </w:r>
      <w:r w:rsidR="00881A4A" w:rsidRPr="00AA4E52">
        <w:rPr>
          <w:rFonts w:ascii="Century Gothic" w:hAnsi="Century Gothic"/>
          <w:b/>
          <w:bCs/>
          <w:sz w:val="28"/>
          <w:szCs w:val="40"/>
        </w:rPr>
        <w:t>p</w:t>
      </w:r>
      <w:r w:rsidRPr="00AA4E52">
        <w:rPr>
          <w:rFonts w:ascii="Century Gothic" w:hAnsi="Century Gothic"/>
          <w:b/>
          <w:bCs/>
          <w:sz w:val="28"/>
          <w:szCs w:val="40"/>
        </w:rPr>
        <w:t>m</w:t>
      </w:r>
    </w:p>
    <w:p w14:paraId="101CA5A9" w14:textId="77777777" w:rsidR="005C2461" w:rsidRPr="00AA4E52" w:rsidRDefault="005C2461" w:rsidP="005C2461">
      <w:pPr>
        <w:jc w:val="center"/>
        <w:rPr>
          <w:rFonts w:ascii="Century Gothic" w:hAnsi="Century Gothic"/>
          <w:b/>
          <w:bCs/>
          <w:sz w:val="28"/>
          <w:szCs w:val="40"/>
        </w:rPr>
      </w:pPr>
    </w:p>
    <w:p w14:paraId="462350B0" w14:textId="5B6A0DDA" w:rsidR="005C2461" w:rsidRPr="00AA4E52" w:rsidRDefault="005C2461" w:rsidP="007D241D">
      <w:pPr>
        <w:tabs>
          <w:tab w:val="center" w:pos="4680"/>
          <w:tab w:val="left" w:pos="6816"/>
        </w:tabs>
        <w:spacing w:line="288" w:lineRule="auto"/>
        <w:rPr>
          <w:rFonts w:ascii="Century Gothic" w:hAnsi="Century Gothic" w:cstheme="minorHAnsi"/>
          <w:iCs/>
        </w:rPr>
      </w:pPr>
      <w:r w:rsidRPr="00AA4E52">
        <w:rPr>
          <w:rFonts w:ascii="Century Gothic" w:hAnsi="Century Gothic" w:cstheme="minorHAnsi"/>
          <w:b/>
          <w:iCs/>
        </w:rPr>
        <w:t>Jurisdictions in Attendance:</w:t>
      </w:r>
      <w:r w:rsidRPr="00AA4E52">
        <w:rPr>
          <w:rFonts w:ascii="Century Gothic" w:hAnsi="Century Gothic" w:cstheme="minorHAnsi"/>
          <w:iCs/>
        </w:rPr>
        <w:t xml:space="preserve"> </w:t>
      </w:r>
      <w:r w:rsidR="00881A4A" w:rsidRPr="00AA4E52">
        <w:rPr>
          <w:rFonts w:ascii="Century Gothic" w:hAnsi="Century Gothic" w:cstheme="minorHAnsi"/>
          <w:iCs/>
        </w:rPr>
        <w:t>Gilroy, Morgan Hill, Sunnyvale, Santa Clara (city), Los Gatos, Gilroy, Palo Alto, County of Santa Clara, Campbell, Cupertino, Mountain View</w:t>
      </w:r>
      <w:r w:rsidR="00AA4E52">
        <w:rPr>
          <w:rFonts w:ascii="Century Gothic" w:hAnsi="Century Gothic" w:cstheme="minorHAnsi"/>
          <w:iCs/>
        </w:rPr>
        <w:t>, Los Altos Hills, Milpitas, Saratoga, MTC/ABAG</w:t>
      </w:r>
    </w:p>
    <w:p w14:paraId="6F3AA476" w14:textId="77777777" w:rsidR="00AA4E52" w:rsidRPr="00AA4E52" w:rsidRDefault="00AA4E52" w:rsidP="007D241D">
      <w:pPr>
        <w:tabs>
          <w:tab w:val="center" w:pos="4680"/>
          <w:tab w:val="left" w:pos="6816"/>
        </w:tabs>
        <w:spacing w:line="288" w:lineRule="auto"/>
        <w:rPr>
          <w:rFonts w:ascii="Century Gothic" w:hAnsi="Century Gothic" w:cstheme="minorHAnsi"/>
          <w:iCs/>
        </w:rPr>
      </w:pPr>
    </w:p>
    <w:p w14:paraId="0B8FB62D" w14:textId="77777777" w:rsidR="00AA4E52" w:rsidRDefault="00AA4E52" w:rsidP="00AA4E52">
      <w:pPr>
        <w:pStyle w:val="NormalWeb"/>
        <w:numPr>
          <w:ilvl w:val="0"/>
          <w:numId w:val="42"/>
        </w:numPr>
        <w:textAlignment w:val="baseline"/>
        <w:rPr>
          <w:rFonts w:ascii="Century Gothic" w:hAnsi="Century Gothic"/>
          <w:b/>
          <w:bCs/>
          <w:color w:val="000000"/>
        </w:rPr>
      </w:pPr>
      <w:r w:rsidRPr="00AA4E52">
        <w:rPr>
          <w:rFonts w:ascii="Century Gothic" w:hAnsi="Century Gothic"/>
          <w:b/>
          <w:bCs/>
          <w:color w:val="000000"/>
        </w:rPr>
        <w:t>Welcome, Review Agenda</w:t>
      </w:r>
    </w:p>
    <w:p w14:paraId="5DD44AF6" w14:textId="77777777" w:rsidR="00AA4E52" w:rsidRDefault="00AA4E52" w:rsidP="00AA4E52">
      <w:pPr>
        <w:pStyle w:val="NormalWeb"/>
        <w:numPr>
          <w:ilvl w:val="0"/>
          <w:numId w:val="42"/>
        </w:numPr>
        <w:textAlignment w:val="baseline"/>
        <w:rPr>
          <w:rFonts w:ascii="Century Gothic" w:hAnsi="Century Gothic"/>
          <w:b/>
          <w:bCs/>
          <w:color w:val="000000"/>
        </w:rPr>
      </w:pPr>
      <w:r w:rsidRPr="00AA4E52">
        <w:rPr>
          <w:rFonts w:ascii="Century Gothic" w:hAnsi="Century Gothic"/>
          <w:b/>
          <w:bCs/>
          <w:color w:val="000000"/>
        </w:rPr>
        <w:t>Overview of Planning Collaborative</w:t>
      </w:r>
    </w:p>
    <w:p w14:paraId="603CB879"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Santa Clara County - SCAPO Meeting (next week) can continue with COVID discussion and Planning Collaborative focuses on housing. </w:t>
      </w:r>
    </w:p>
    <w:p w14:paraId="5BE07F1F" w14:textId="77777777" w:rsidR="00AA4E52" w:rsidRDefault="00AA4E52" w:rsidP="00AA4E52">
      <w:pPr>
        <w:pStyle w:val="NormalWeb"/>
        <w:numPr>
          <w:ilvl w:val="0"/>
          <w:numId w:val="42"/>
        </w:numPr>
        <w:textAlignment w:val="baseline"/>
        <w:rPr>
          <w:rFonts w:ascii="Century Gothic" w:hAnsi="Century Gothic"/>
          <w:b/>
          <w:bCs/>
          <w:color w:val="000000"/>
        </w:rPr>
      </w:pPr>
      <w:r w:rsidRPr="00AA4E52">
        <w:rPr>
          <w:rFonts w:ascii="Century Gothic" w:hAnsi="Century Gothic"/>
          <w:b/>
          <w:bCs/>
          <w:color w:val="000000"/>
        </w:rPr>
        <w:t>New State Law</w:t>
      </w:r>
      <w:r>
        <w:rPr>
          <w:rFonts w:ascii="Century Gothic" w:hAnsi="Century Gothic"/>
          <w:b/>
          <w:bCs/>
          <w:color w:val="000000"/>
        </w:rPr>
        <w:t>s</w:t>
      </w:r>
    </w:p>
    <w:p w14:paraId="63A4BD45"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General (2019)</w:t>
      </w:r>
    </w:p>
    <w:p w14:paraId="46609610"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Cities Association representative from Milpitas spoke about RHNA numbers in relation to BART station. Cities Association is putting a lot of stock into Planning Collaborative conversations: “Sharing the burden” for the RHNA numbers. </w:t>
      </w:r>
    </w:p>
    <w:p w14:paraId="6F690E10"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SB 330</w:t>
      </w:r>
    </w:p>
    <w:p w14:paraId="0516281F" w14:textId="77777777" w:rsidR="00AA4E52" w:rsidRDefault="00AA4E52" w:rsidP="00AA4E52">
      <w:pPr>
        <w:pStyle w:val="NormalWeb"/>
        <w:numPr>
          <w:ilvl w:val="3"/>
          <w:numId w:val="42"/>
        </w:numPr>
        <w:textAlignment w:val="baseline"/>
        <w:rPr>
          <w:rFonts w:ascii="Century Gothic" w:hAnsi="Century Gothic"/>
          <w:b/>
          <w:bCs/>
          <w:color w:val="000000"/>
        </w:rPr>
      </w:pPr>
      <w:r w:rsidRPr="00AA4E52">
        <w:rPr>
          <w:rFonts w:ascii="Century Gothic" w:hAnsi="Century Gothic"/>
          <w:color w:val="000000"/>
        </w:rPr>
        <w:t>Milpitas - Recently an extended stay hotel came up, City wanted to support, but that zoning district doesn’t allow for housing because of previous City Council. The City is about to approve a General Plan update that will allow for supportive housing, but current zoning/General Plan won’t allow it.  </w:t>
      </w:r>
    </w:p>
    <w:p w14:paraId="3BF7ACEB" w14:textId="77777777" w:rsidR="00AA4E52" w:rsidRDefault="00AA4E52" w:rsidP="00AA4E52">
      <w:pPr>
        <w:pStyle w:val="NormalWeb"/>
        <w:numPr>
          <w:ilvl w:val="3"/>
          <w:numId w:val="42"/>
        </w:numPr>
        <w:textAlignment w:val="baseline"/>
        <w:rPr>
          <w:rFonts w:ascii="Century Gothic" w:hAnsi="Century Gothic"/>
          <w:b/>
          <w:bCs/>
          <w:color w:val="000000"/>
        </w:rPr>
      </w:pPr>
      <w:r w:rsidRPr="00AA4E52">
        <w:rPr>
          <w:rFonts w:ascii="Century Gothic" w:hAnsi="Century Gothic"/>
          <w:color w:val="000000"/>
        </w:rPr>
        <w:t>San Jose - Currently having discussion and consternation on state laws (SB330) because it sounds like regardless of General Plan, if zoning allows for it, then housing is allowed by-right. In San Jose the General Plan prevails, a project needs to be consistent with General Plan. </w:t>
      </w:r>
    </w:p>
    <w:p w14:paraId="15DA52FC" w14:textId="77777777" w:rsidR="00AA4E52" w:rsidRDefault="00AA4E52" w:rsidP="00AA4E52">
      <w:pPr>
        <w:pStyle w:val="NormalWeb"/>
        <w:numPr>
          <w:ilvl w:val="3"/>
          <w:numId w:val="42"/>
        </w:numPr>
        <w:textAlignment w:val="baseline"/>
        <w:rPr>
          <w:rFonts w:ascii="Century Gothic" w:hAnsi="Century Gothic"/>
          <w:b/>
          <w:bCs/>
          <w:color w:val="000000"/>
        </w:rPr>
      </w:pPr>
      <w:r w:rsidRPr="00AA4E52">
        <w:rPr>
          <w:rFonts w:ascii="Century Gothic" w:hAnsi="Century Gothic"/>
          <w:color w:val="000000"/>
        </w:rPr>
        <w:t>Sunnyvale - zoning says no housing (except for caretaker housing) but General Plan says in the future it's possible. City attorney says it can allow housing if General Plan allows it </w:t>
      </w:r>
    </w:p>
    <w:p w14:paraId="7BB3E444" w14:textId="77777777" w:rsidR="00AA4E52" w:rsidRDefault="00AA4E52" w:rsidP="00AA4E52">
      <w:pPr>
        <w:pStyle w:val="NormalWeb"/>
        <w:numPr>
          <w:ilvl w:val="3"/>
          <w:numId w:val="42"/>
        </w:numPr>
        <w:textAlignment w:val="baseline"/>
        <w:rPr>
          <w:rFonts w:ascii="Century Gothic" w:hAnsi="Century Gothic"/>
          <w:b/>
          <w:bCs/>
          <w:color w:val="000000"/>
        </w:rPr>
      </w:pPr>
      <w:r w:rsidRPr="00AA4E52">
        <w:rPr>
          <w:rFonts w:ascii="Century Gothic" w:hAnsi="Century Gothic"/>
          <w:color w:val="000000"/>
        </w:rPr>
        <w:t>Morgan Hill - If General Plan allows for it, then housing is allowed. </w:t>
      </w:r>
    </w:p>
    <w:p w14:paraId="5023071F" w14:textId="77777777" w:rsidR="00AA4E52" w:rsidRDefault="00AA4E52" w:rsidP="00AA4E52">
      <w:pPr>
        <w:pStyle w:val="NormalWeb"/>
        <w:numPr>
          <w:ilvl w:val="3"/>
          <w:numId w:val="42"/>
        </w:numPr>
        <w:textAlignment w:val="baseline"/>
        <w:rPr>
          <w:rFonts w:ascii="Century Gothic" w:hAnsi="Century Gothic"/>
          <w:b/>
          <w:bCs/>
          <w:color w:val="000000"/>
        </w:rPr>
      </w:pPr>
      <w:r w:rsidRPr="00AA4E52">
        <w:rPr>
          <w:rFonts w:ascii="Century Gothic" w:hAnsi="Century Gothic"/>
          <w:color w:val="000000"/>
        </w:rPr>
        <w:lastRenderedPageBreak/>
        <w:t>Santa Clara - more likely that General Plan allows and Zoning doesn’t. </w:t>
      </w:r>
    </w:p>
    <w:p w14:paraId="01FF63E6" w14:textId="77777777" w:rsidR="00AA4E52" w:rsidRDefault="00AA4E52" w:rsidP="00AA4E52">
      <w:pPr>
        <w:pStyle w:val="NormalWeb"/>
        <w:numPr>
          <w:ilvl w:val="3"/>
          <w:numId w:val="42"/>
        </w:numPr>
        <w:textAlignment w:val="baseline"/>
        <w:rPr>
          <w:rFonts w:ascii="Century Gothic" w:hAnsi="Century Gothic"/>
          <w:b/>
          <w:bCs/>
          <w:color w:val="000000"/>
        </w:rPr>
      </w:pPr>
      <w:r w:rsidRPr="00AA4E52">
        <w:rPr>
          <w:rFonts w:ascii="Century Gothic" w:hAnsi="Century Gothic"/>
          <w:color w:val="000000"/>
        </w:rPr>
        <w:t>San Jose - using zoning that most conforms for housing if General Plan allows for (uses off-the-shelf zoning to allow it).</w:t>
      </w:r>
    </w:p>
    <w:p w14:paraId="5FE1DBB5" w14:textId="77777777" w:rsidR="00AA4E52" w:rsidRDefault="00AA4E52" w:rsidP="00AA4E52">
      <w:pPr>
        <w:pStyle w:val="NormalWeb"/>
        <w:numPr>
          <w:ilvl w:val="0"/>
          <w:numId w:val="42"/>
        </w:numPr>
        <w:textAlignment w:val="baseline"/>
        <w:rPr>
          <w:rFonts w:ascii="Century Gothic" w:hAnsi="Century Gothic"/>
          <w:b/>
          <w:bCs/>
          <w:color w:val="000000"/>
        </w:rPr>
      </w:pPr>
      <w:r w:rsidRPr="00AA4E52">
        <w:rPr>
          <w:rFonts w:ascii="Century Gothic" w:hAnsi="Century Gothic"/>
          <w:b/>
          <w:bCs/>
          <w:color w:val="000000"/>
        </w:rPr>
        <w:t>RHNA 6</w:t>
      </w:r>
    </w:p>
    <w:p w14:paraId="75C809C1"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San Jose - laws are biased against more urbanized cities, not pushing cities with greenfield</w:t>
      </w:r>
    </w:p>
    <w:p w14:paraId="382DBB20"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No net loss rule </w:t>
      </w:r>
    </w:p>
    <w:p w14:paraId="57410FD3"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Cupertino - Don’t you have to keep re-zoning to make sure there’s no net loss? </w:t>
      </w:r>
    </w:p>
    <w:p w14:paraId="6E20FBA6"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Josh - good to re-zone, but better to keep a buffer between available sites and RHNA numbers</w:t>
      </w:r>
    </w:p>
    <w:p w14:paraId="7DD4FEE0"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Two rules: </w:t>
      </w:r>
    </w:p>
    <w:p w14:paraId="3EA62571" w14:textId="77777777" w:rsidR="00AA4E52" w:rsidRDefault="00AA4E52" w:rsidP="00AA4E52">
      <w:pPr>
        <w:pStyle w:val="NormalWeb"/>
        <w:numPr>
          <w:ilvl w:val="3"/>
          <w:numId w:val="42"/>
        </w:numPr>
        <w:textAlignment w:val="baseline"/>
        <w:rPr>
          <w:rFonts w:ascii="Century Gothic" w:hAnsi="Century Gothic"/>
          <w:b/>
          <w:bCs/>
          <w:color w:val="000000"/>
        </w:rPr>
      </w:pPr>
      <w:r w:rsidRPr="00AA4E52">
        <w:rPr>
          <w:rFonts w:ascii="Century Gothic" w:hAnsi="Century Gothic"/>
          <w:color w:val="000000"/>
        </w:rPr>
        <w:t>Project specific - developer will need to make up</w:t>
      </w:r>
    </w:p>
    <w:p w14:paraId="0012DE85" w14:textId="77777777" w:rsidR="00AA4E52" w:rsidRDefault="00AA4E52" w:rsidP="00AA4E52">
      <w:pPr>
        <w:pStyle w:val="NormalWeb"/>
        <w:numPr>
          <w:ilvl w:val="3"/>
          <w:numId w:val="42"/>
        </w:numPr>
        <w:textAlignment w:val="baseline"/>
        <w:rPr>
          <w:rFonts w:ascii="Century Gothic" w:hAnsi="Century Gothic"/>
          <w:b/>
          <w:bCs/>
          <w:color w:val="000000"/>
        </w:rPr>
      </w:pPr>
      <w:r w:rsidRPr="00AA4E52">
        <w:rPr>
          <w:rFonts w:ascii="Century Gothic" w:hAnsi="Century Gothic"/>
          <w:color w:val="000000"/>
        </w:rPr>
        <w:t>For each income category in RHNA, for each cycle will need sites to make up for each income category. </w:t>
      </w:r>
    </w:p>
    <w:p w14:paraId="41B0BE2B"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Vacant/Non-Vacant sites</w:t>
      </w:r>
    </w:p>
    <w:p w14:paraId="4D40FC3A"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San Jose - have zero vacant land left, every affordable site that we identify will be occupied. </w:t>
      </w:r>
    </w:p>
    <w:p w14:paraId="15190B10"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Sunnyvale agrees - pushing back on this will be helpful. We know what site is vacant, you can get two units on it. </w:t>
      </w:r>
    </w:p>
    <w:p w14:paraId="1827FC95"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Santa Clara (city) this will apply to all of us. </w:t>
      </w:r>
    </w:p>
    <w:p w14:paraId="7DAC9F6C"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 xml:space="preserve">Santa Clara County - for </w:t>
      </w:r>
      <w:proofErr w:type="spellStart"/>
      <w:r w:rsidRPr="00AA4E52">
        <w:rPr>
          <w:rFonts w:ascii="Century Gothic" w:hAnsi="Century Gothic"/>
          <w:color w:val="000000"/>
        </w:rPr>
        <w:t>non vacant</w:t>
      </w:r>
      <w:proofErr w:type="spellEnd"/>
      <w:r w:rsidRPr="00AA4E52">
        <w:rPr>
          <w:rFonts w:ascii="Century Gothic" w:hAnsi="Century Gothic"/>
          <w:color w:val="000000"/>
        </w:rPr>
        <w:t xml:space="preserve"> sites, is there something that will help define that better, an evaluation tool? </w:t>
      </w:r>
    </w:p>
    <w:p w14:paraId="279DCEEC"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HCD - will help develop a list of indicators, to determine if sites are vacant. </w:t>
      </w:r>
    </w:p>
    <w:p w14:paraId="442F5DB0"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Josh indicates that helpful step for cities include: </w:t>
      </w:r>
    </w:p>
    <w:p w14:paraId="1F2A8D9C" w14:textId="77777777" w:rsidR="00AA4E52" w:rsidRDefault="00AA4E52" w:rsidP="00AA4E52">
      <w:pPr>
        <w:pStyle w:val="NormalWeb"/>
        <w:numPr>
          <w:ilvl w:val="3"/>
          <w:numId w:val="42"/>
        </w:numPr>
        <w:textAlignment w:val="baseline"/>
        <w:rPr>
          <w:rFonts w:ascii="Century Gothic" w:hAnsi="Century Gothic"/>
          <w:b/>
          <w:bCs/>
          <w:color w:val="000000"/>
        </w:rPr>
      </w:pPr>
      <w:r w:rsidRPr="00AA4E52">
        <w:rPr>
          <w:rFonts w:ascii="Century Gothic" w:hAnsi="Century Gothic"/>
          <w:color w:val="000000"/>
        </w:rPr>
        <w:t>Hiring an economic firm to develop guidelines, at county level, so you know how many units can be developed by land area. Developing prototypes of what would be reasonable. </w:t>
      </w:r>
    </w:p>
    <w:p w14:paraId="31E67C1E" w14:textId="77777777" w:rsidR="00AA4E52" w:rsidRDefault="00AA4E52" w:rsidP="00AA4E52">
      <w:pPr>
        <w:pStyle w:val="NormalWeb"/>
        <w:numPr>
          <w:ilvl w:val="3"/>
          <w:numId w:val="42"/>
        </w:numPr>
        <w:textAlignment w:val="baseline"/>
        <w:rPr>
          <w:rFonts w:ascii="Century Gothic" w:hAnsi="Century Gothic"/>
          <w:b/>
          <w:bCs/>
          <w:color w:val="000000"/>
        </w:rPr>
      </w:pPr>
      <w:r w:rsidRPr="00AA4E52">
        <w:rPr>
          <w:rFonts w:ascii="Century Gothic" w:hAnsi="Century Gothic"/>
          <w:color w:val="000000"/>
        </w:rPr>
        <w:t>County-wide analysis of all the sites with current zoning and option to re-zone, with a third party to explain which sites to re-zone and what criteria uses. </w:t>
      </w:r>
    </w:p>
    <w:p w14:paraId="0918D6F8"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Past performance</w:t>
      </w:r>
    </w:p>
    <w:p w14:paraId="097C2177"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Sunnyvale - hoping past performance will be helpful, for past few years we’ve converted industrial to residential. Would be helpful to apply economic analysis throughout the county and then add the city’s past performance record to determine likelihood to develop. </w:t>
      </w:r>
    </w:p>
    <w:p w14:paraId="234D46A7"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 xml:space="preserve">Milpitas - have made great strides around BART station, increasing densities where directly connected to BART and </w:t>
      </w:r>
      <w:r w:rsidRPr="00AA4E52">
        <w:rPr>
          <w:rFonts w:ascii="Century Gothic" w:hAnsi="Century Gothic"/>
          <w:color w:val="000000"/>
        </w:rPr>
        <w:lastRenderedPageBreak/>
        <w:t>expanding the station area. For the past decade, cities that have been making strides should receive credit for that. </w:t>
      </w:r>
    </w:p>
    <w:p w14:paraId="795EFE84"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Small/large sites</w:t>
      </w:r>
    </w:p>
    <w:p w14:paraId="02FF4012"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Campbell - What's the difference between small/large sites (1/2 acre to 10 acres). </w:t>
      </w:r>
    </w:p>
    <w:p w14:paraId="31AED367"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 xml:space="preserve">Josh - Will be </w:t>
      </w:r>
      <w:proofErr w:type="gramStart"/>
      <w:r w:rsidRPr="00AA4E52">
        <w:rPr>
          <w:rFonts w:ascii="Century Gothic" w:hAnsi="Century Gothic"/>
          <w:color w:val="000000"/>
        </w:rPr>
        <w:t>more clear</w:t>
      </w:r>
      <w:proofErr w:type="gramEnd"/>
      <w:r w:rsidRPr="00AA4E52">
        <w:rPr>
          <w:rFonts w:ascii="Century Gothic" w:hAnsi="Century Gothic"/>
          <w:color w:val="000000"/>
        </w:rPr>
        <w:t xml:space="preserve"> when SoCal cities go through the process to see how strict HCD will be when interpreting the law. </w:t>
      </w:r>
    </w:p>
    <w:p w14:paraId="6A64D6F7"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Market rate vs Affordable housing on sites, use of overlay zones will help with affordable housing sites. </w:t>
      </w:r>
    </w:p>
    <w:p w14:paraId="7EF77982"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San Jose - Prefer “Reduce GHG” vs “Transit” (GHG includes more GHG reduction options like walking)</w:t>
      </w:r>
    </w:p>
    <w:p w14:paraId="3EC49338" w14:textId="77777777" w:rsidR="00AA4E52" w:rsidRP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Opportunity Zone</w:t>
      </w:r>
    </w:p>
    <w:p w14:paraId="44D4148F" w14:textId="77777777" w:rsidR="00AA4E52" w:rsidRP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Milpitas - why not high opportunity zones.</w:t>
      </w:r>
    </w:p>
    <w:p w14:paraId="43E397E5"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Sunnyvale - it's not very not clear. </w:t>
      </w:r>
    </w:p>
    <w:p w14:paraId="31520CB1"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Cupertino - Sunnyvale and some of Cupertino are all in these zones</w:t>
      </w:r>
    </w:p>
    <w:p w14:paraId="54EB28D7" w14:textId="4EFE0B08"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 xml:space="preserve">Ways to address RHNA </w:t>
      </w:r>
      <w:r>
        <w:rPr>
          <w:rFonts w:ascii="Century Gothic" w:hAnsi="Century Gothic"/>
          <w:color w:val="000000"/>
        </w:rPr>
        <w:t>–</w:t>
      </w:r>
      <w:r w:rsidRPr="00AA4E52">
        <w:rPr>
          <w:rFonts w:ascii="Century Gothic" w:hAnsi="Century Gothic"/>
          <w:color w:val="000000"/>
        </w:rPr>
        <w:t> </w:t>
      </w:r>
    </w:p>
    <w:p w14:paraId="3E7D39FE"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 xml:space="preserve">Start with population - that’s what the MTC/ABAG </w:t>
      </w:r>
      <w:hyperlink r:id="rId8" w:history="1">
        <w:r w:rsidRPr="00AA4E52">
          <w:rPr>
            <w:rStyle w:val="Hyperlink"/>
            <w:rFonts w:ascii="Century Gothic" w:hAnsi="Century Gothic"/>
            <w:color w:val="1155CC"/>
          </w:rPr>
          <w:t>visualization tool</w:t>
        </w:r>
      </w:hyperlink>
      <w:r w:rsidRPr="00AA4E52">
        <w:rPr>
          <w:rFonts w:ascii="Century Gothic" w:hAnsi="Century Gothic"/>
          <w:color w:val="000000"/>
        </w:rPr>
        <w:t xml:space="preserve"> does</w:t>
      </w:r>
    </w:p>
    <w:p w14:paraId="380E0A18"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 xml:space="preserve">Start with land area - you don’t get it easier if you’d zoned predominately </w:t>
      </w:r>
      <w:proofErr w:type="gramStart"/>
      <w:r w:rsidRPr="00AA4E52">
        <w:rPr>
          <w:rFonts w:ascii="Century Gothic" w:hAnsi="Century Gothic"/>
          <w:color w:val="000000"/>
        </w:rPr>
        <w:t>Single Family</w:t>
      </w:r>
      <w:proofErr w:type="gramEnd"/>
      <w:r w:rsidRPr="00AA4E52">
        <w:rPr>
          <w:rFonts w:ascii="Century Gothic" w:hAnsi="Century Gothic"/>
          <w:color w:val="000000"/>
        </w:rPr>
        <w:t xml:space="preserve"> Homes </w:t>
      </w:r>
    </w:p>
    <w:p w14:paraId="2B67CBAC"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Start with jobs - jobs and near jobs </w:t>
      </w:r>
    </w:p>
    <w:p w14:paraId="2116A124"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Santa Clara (city) - won’t RHNA committee just follow the process that was developed? Josh - some don’t want to reward cities that have been exclusive in the past. </w:t>
      </w:r>
    </w:p>
    <w:p w14:paraId="0684CEBB"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RHNA Expectation</w:t>
      </w:r>
    </w:p>
    <w:p w14:paraId="784A22F1"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Usual RHNA expectation has been 2.5x than before, but will be significantly more this time. </w:t>
      </w:r>
    </w:p>
    <w:p w14:paraId="5FA51971"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San Jose assuming 3x+ (LA area got more than 3x). </w:t>
      </w:r>
    </w:p>
    <w:p w14:paraId="7298557C"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Josh - 3X is a safe assumption. Model is looking at economic growth and overcrowding (overcrowding is being applied earlier and more important. </w:t>
      </w:r>
    </w:p>
    <w:p w14:paraId="01A35AF4" w14:textId="77777777" w:rsidR="00AA4E52" w:rsidRDefault="00AA4E52" w:rsidP="00AA4E52">
      <w:pPr>
        <w:pStyle w:val="NormalWeb"/>
        <w:numPr>
          <w:ilvl w:val="2"/>
          <w:numId w:val="42"/>
        </w:numPr>
        <w:textAlignment w:val="baseline"/>
        <w:rPr>
          <w:rFonts w:ascii="Century Gothic" w:hAnsi="Century Gothic"/>
          <w:b/>
          <w:bCs/>
          <w:color w:val="000000"/>
        </w:rPr>
      </w:pPr>
      <w:r>
        <w:rPr>
          <w:rFonts w:ascii="Century Gothic" w:hAnsi="Century Gothic"/>
          <w:color w:val="000000"/>
        </w:rPr>
        <w:t xml:space="preserve">Josh - </w:t>
      </w:r>
      <w:r w:rsidRPr="00AA4E52">
        <w:rPr>
          <w:rFonts w:ascii="Century Gothic" w:hAnsi="Century Gothic"/>
          <w:color w:val="000000"/>
        </w:rPr>
        <w:t>1.4 employees per household assumption won’t change much over time. </w:t>
      </w:r>
    </w:p>
    <w:p w14:paraId="0AB031C1" w14:textId="77777777" w:rsidR="00AA4E52" w:rsidRDefault="00AA4E52" w:rsidP="00AA4E52">
      <w:pPr>
        <w:pStyle w:val="NormalWeb"/>
        <w:numPr>
          <w:ilvl w:val="0"/>
          <w:numId w:val="42"/>
        </w:numPr>
        <w:textAlignment w:val="baseline"/>
        <w:rPr>
          <w:rFonts w:ascii="Century Gothic" w:hAnsi="Century Gothic"/>
          <w:b/>
          <w:bCs/>
          <w:color w:val="000000"/>
        </w:rPr>
      </w:pPr>
      <w:r w:rsidRPr="00AA4E52">
        <w:rPr>
          <w:rFonts w:ascii="Century Gothic" w:hAnsi="Century Gothic"/>
          <w:b/>
          <w:bCs/>
          <w:color w:val="000000"/>
        </w:rPr>
        <w:t>Potential Projects</w:t>
      </w:r>
    </w:p>
    <w:p w14:paraId="498F0F8F"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Sunnyvale - all good topics, should also look at cities’ programs (inclusionary housing, transit area plans, housing mitigation fee for non-residential). </w:t>
      </w:r>
    </w:p>
    <w:p w14:paraId="7D1797B0"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Milpitas - Sites inventory with messaging support from nonprofit orgs (</w:t>
      </w:r>
      <w:proofErr w:type="spellStart"/>
      <w:r w:rsidRPr="00AA4E52">
        <w:rPr>
          <w:rFonts w:ascii="Century Gothic" w:hAnsi="Century Gothic"/>
          <w:color w:val="000000"/>
        </w:rPr>
        <w:t>SV@Home</w:t>
      </w:r>
      <w:proofErr w:type="spellEnd"/>
      <w:r w:rsidRPr="00AA4E52">
        <w:rPr>
          <w:rFonts w:ascii="Century Gothic" w:hAnsi="Century Gothic"/>
          <w:color w:val="000000"/>
        </w:rPr>
        <w:t>, Catalyze SV, SPUR)</w:t>
      </w:r>
    </w:p>
    <w:p w14:paraId="1FCAA383" w14:textId="77777777" w:rsid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 xml:space="preserve">San Jose - None of the nonprofits are considered neutral, but they are respected. Accept that they are advocacy groups, </w:t>
      </w:r>
      <w:r w:rsidRPr="00AA4E52">
        <w:rPr>
          <w:rFonts w:ascii="Century Gothic" w:hAnsi="Century Gothic"/>
          <w:color w:val="000000"/>
        </w:rPr>
        <w:lastRenderedPageBreak/>
        <w:t>but doesn’t mean they can’t be involved in how we craft things moving forward </w:t>
      </w:r>
    </w:p>
    <w:p w14:paraId="5D688CDB"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Milpitas - Post-COVID world, we don’t know what the housing situation will be like. Don’t know if Housing Elements should address that. How projections will affect that. </w:t>
      </w:r>
    </w:p>
    <w:p w14:paraId="76D1E98A"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 xml:space="preserve">Josh - Housing Elements due in 2023, hopefully not much COVID fallout and will be a </w:t>
      </w:r>
      <w:proofErr w:type="gramStart"/>
      <w:r w:rsidRPr="00AA4E52">
        <w:rPr>
          <w:rFonts w:ascii="Century Gothic" w:hAnsi="Century Gothic"/>
          <w:color w:val="000000"/>
        </w:rPr>
        <w:t>ten year</w:t>
      </w:r>
      <w:proofErr w:type="gramEnd"/>
      <w:r w:rsidRPr="00AA4E52">
        <w:rPr>
          <w:rFonts w:ascii="Century Gothic" w:hAnsi="Century Gothic"/>
          <w:color w:val="000000"/>
        </w:rPr>
        <w:t xml:space="preserve"> plan, will likely have had an economic recession within that timeframe anyway. </w:t>
      </w:r>
    </w:p>
    <w:p w14:paraId="5A7C7C5F" w14:textId="77777777" w:rsidR="00AA4E52" w:rsidRDefault="00AA4E52" w:rsidP="00AA4E52">
      <w:pPr>
        <w:pStyle w:val="NormalWeb"/>
        <w:numPr>
          <w:ilvl w:val="1"/>
          <w:numId w:val="42"/>
        </w:numPr>
        <w:textAlignment w:val="baseline"/>
        <w:rPr>
          <w:rFonts w:ascii="Century Gothic" w:hAnsi="Century Gothic"/>
          <w:b/>
          <w:bCs/>
          <w:color w:val="000000"/>
        </w:rPr>
      </w:pPr>
      <w:r w:rsidRPr="00AA4E52">
        <w:rPr>
          <w:rFonts w:ascii="Century Gothic" w:hAnsi="Century Gothic"/>
          <w:color w:val="000000"/>
        </w:rPr>
        <w:t>San Jose - Wondering if we partner with League of Cities, develop a letter together that addresses challenges or tweaks that goes to the State. </w:t>
      </w:r>
    </w:p>
    <w:p w14:paraId="1234F01B" w14:textId="14B0B781" w:rsidR="00AA4E52" w:rsidRPr="00AA4E52" w:rsidRDefault="00AA4E52" w:rsidP="00AA4E52">
      <w:pPr>
        <w:pStyle w:val="NormalWeb"/>
        <w:numPr>
          <w:ilvl w:val="2"/>
          <w:numId w:val="42"/>
        </w:numPr>
        <w:textAlignment w:val="baseline"/>
        <w:rPr>
          <w:rFonts w:ascii="Century Gothic" w:hAnsi="Century Gothic"/>
          <w:b/>
          <w:bCs/>
          <w:color w:val="000000"/>
        </w:rPr>
      </w:pPr>
      <w:r w:rsidRPr="00AA4E52">
        <w:rPr>
          <w:rFonts w:ascii="Century Gothic" w:hAnsi="Century Gothic"/>
          <w:color w:val="000000"/>
        </w:rPr>
        <w:t>Josh - Simple fix would be to fix the previously used sites to be allowed for current sites (in lieu of developing the presumption). </w:t>
      </w:r>
    </w:p>
    <w:p w14:paraId="13EBF103" w14:textId="77777777" w:rsidR="00AA4E52" w:rsidRDefault="00AA4E52" w:rsidP="00AA4E52"/>
    <w:p w14:paraId="68717010" w14:textId="3412D5EA" w:rsidR="0033484F" w:rsidRDefault="00AA4E52" w:rsidP="00AA4E52">
      <w:pPr>
        <w:pStyle w:val="NormalWeb"/>
      </w:pPr>
      <w:r>
        <w:rPr>
          <w:rFonts w:ascii="Century Gothic" w:hAnsi="Century Gothic"/>
          <w:b/>
          <w:bCs/>
          <w:color w:val="000000"/>
        </w:rPr>
        <w:t>Polls Results: </w:t>
      </w:r>
    </w:p>
    <w:p w14:paraId="084597BE" w14:textId="4C579E71" w:rsidR="0033484F" w:rsidRDefault="0033484F" w:rsidP="00AA4E52">
      <w:pPr>
        <w:pStyle w:val="NormalWeb"/>
      </w:pPr>
    </w:p>
    <w:p w14:paraId="748A2E89" w14:textId="3CBC942F" w:rsidR="0033484F" w:rsidRDefault="0033484F" w:rsidP="00AA4E52">
      <w:pPr>
        <w:pStyle w:val="NormalWeb"/>
      </w:pPr>
    </w:p>
    <w:p w14:paraId="28F2952E" w14:textId="362AD3B0" w:rsidR="0033484F" w:rsidRDefault="0033484F" w:rsidP="00AA4E52">
      <w:pPr>
        <w:pStyle w:val="NormalWeb"/>
      </w:pPr>
      <w:r>
        <w:rPr>
          <w:noProof/>
        </w:rPr>
        <w:drawing>
          <wp:inline distT="0" distB="0" distL="0" distR="0" wp14:anchorId="4D89C6A1" wp14:editId="3995F644">
            <wp:extent cx="4572000" cy="2743200"/>
            <wp:effectExtent l="0" t="0" r="12700" b="12700"/>
            <wp:docPr id="3" name="Chart 3">
              <a:extLst xmlns:a="http://schemas.openxmlformats.org/drawingml/2006/main">
                <a:ext uri="{FF2B5EF4-FFF2-40B4-BE49-F238E27FC236}">
                  <a16:creationId xmlns:a16="http://schemas.microsoft.com/office/drawing/2014/main" id="{184A6EAA-8561-F74A-A9E7-9BAB3B3038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886264" w14:textId="0784844A" w:rsidR="0033484F" w:rsidRDefault="0033484F" w:rsidP="00AA4E52">
      <w:pPr>
        <w:pStyle w:val="NormalWeb"/>
      </w:pPr>
      <w:r>
        <w:rPr>
          <w:noProof/>
        </w:rPr>
        <w:lastRenderedPageBreak/>
        <w:drawing>
          <wp:inline distT="0" distB="0" distL="0" distR="0" wp14:anchorId="01D3B8E5" wp14:editId="44637275">
            <wp:extent cx="4572000" cy="2227384"/>
            <wp:effectExtent l="0" t="0" r="12700" b="8255"/>
            <wp:docPr id="4" name="Chart 4">
              <a:extLst xmlns:a="http://schemas.openxmlformats.org/drawingml/2006/main">
                <a:ext uri="{FF2B5EF4-FFF2-40B4-BE49-F238E27FC236}">
                  <a16:creationId xmlns:a16="http://schemas.microsoft.com/office/drawing/2014/main" id="{A7645C27-FD9C-6C4C-907B-57F1995AFF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A190A9" w14:textId="521D95FC" w:rsidR="00AA4E52" w:rsidRDefault="00AA4E52" w:rsidP="00AA4E52"/>
    <w:p w14:paraId="540FC641" w14:textId="4A09A359" w:rsidR="0033484F" w:rsidRDefault="0033484F" w:rsidP="00AA4E52">
      <w:r>
        <w:rPr>
          <w:noProof/>
        </w:rPr>
        <w:drawing>
          <wp:inline distT="0" distB="0" distL="0" distR="0" wp14:anchorId="28BD5279" wp14:editId="0211C679">
            <wp:extent cx="4572000" cy="2743200"/>
            <wp:effectExtent l="0" t="0" r="12700" b="12700"/>
            <wp:docPr id="5" name="Chart 5">
              <a:extLst xmlns:a="http://schemas.openxmlformats.org/drawingml/2006/main">
                <a:ext uri="{FF2B5EF4-FFF2-40B4-BE49-F238E27FC236}">
                  <a16:creationId xmlns:a16="http://schemas.microsoft.com/office/drawing/2014/main" id="{62CA18B9-561C-2D44-B113-7307D8C78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CC5915" w14:textId="6CA5E807" w:rsidR="0033484F" w:rsidRDefault="0033484F" w:rsidP="00AA4E52"/>
    <w:p w14:paraId="33C346BC" w14:textId="56968759" w:rsidR="0033484F" w:rsidRDefault="0033484F" w:rsidP="00AA4E52">
      <w:r>
        <w:rPr>
          <w:noProof/>
        </w:rPr>
        <w:drawing>
          <wp:inline distT="0" distB="0" distL="0" distR="0" wp14:anchorId="0AF67470" wp14:editId="2BDDA93B">
            <wp:extent cx="4572000" cy="2743200"/>
            <wp:effectExtent l="0" t="0" r="12700" b="12700"/>
            <wp:docPr id="6" name="Chart 6">
              <a:extLst xmlns:a="http://schemas.openxmlformats.org/drawingml/2006/main">
                <a:ext uri="{FF2B5EF4-FFF2-40B4-BE49-F238E27FC236}">
                  <a16:creationId xmlns:a16="http://schemas.microsoft.com/office/drawing/2014/main" id="{24A1B511-AD06-AD44-B50C-EFCA67E61E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D33F71" w14:textId="75E645A6" w:rsidR="0033484F" w:rsidRDefault="0033484F" w:rsidP="00AA4E52"/>
    <w:p w14:paraId="1E0AF269" w14:textId="7ED048C1" w:rsidR="0033484F" w:rsidRDefault="0033484F" w:rsidP="00AA4E52">
      <w:r>
        <w:rPr>
          <w:noProof/>
        </w:rPr>
        <w:lastRenderedPageBreak/>
        <w:drawing>
          <wp:inline distT="0" distB="0" distL="0" distR="0" wp14:anchorId="22678090" wp14:editId="77BBE216">
            <wp:extent cx="5588000" cy="3505200"/>
            <wp:effectExtent l="0" t="0" r="12700" b="12700"/>
            <wp:docPr id="8" name="Chart 8">
              <a:extLst xmlns:a="http://schemas.openxmlformats.org/drawingml/2006/main">
                <a:ext uri="{FF2B5EF4-FFF2-40B4-BE49-F238E27FC236}">
                  <a16:creationId xmlns:a16="http://schemas.microsoft.com/office/drawing/2014/main" id="{25FB4F90-D17C-AA4F-9A65-42651AB494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841943" w14:textId="7AB95274" w:rsidR="0033484F" w:rsidRDefault="0033484F" w:rsidP="00AA4E52"/>
    <w:p w14:paraId="329D370F" w14:textId="1291BCC4" w:rsidR="0033484F" w:rsidRDefault="0033484F" w:rsidP="00AA4E52">
      <w:r>
        <w:rPr>
          <w:noProof/>
        </w:rPr>
        <w:drawing>
          <wp:inline distT="0" distB="0" distL="0" distR="0" wp14:anchorId="53C03A3A" wp14:editId="398731E4">
            <wp:extent cx="5173785" cy="3798277"/>
            <wp:effectExtent l="0" t="0" r="8255" b="12065"/>
            <wp:docPr id="9" name="Chart 9">
              <a:extLst xmlns:a="http://schemas.openxmlformats.org/drawingml/2006/main">
                <a:ext uri="{FF2B5EF4-FFF2-40B4-BE49-F238E27FC236}">
                  <a16:creationId xmlns:a16="http://schemas.microsoft.com/office/drawing/2014/main" id="{A648EB57-35EE-304D-B7E6-60F0D30BA4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0362DF" w14:textId="06A88D34" w:rsidR="0033484F" w:rsidRDefault="0033484F" w:rsidP="00AA4E52"/>
    <w:p w14:paraId="0B3DA743" w14:textId="0CBD0698" w:rsidR="0033484F" w:rsidRDefault="0033484F" w:rsidP="00AA4E52">
      <w:r>
        <w:rPr>
          <w:noProof/>
        </w:rPr>
        <w:lastRenderedPageBreak/>
        <w:drawing>
          <wp:inline distT="0" distB="0" distL="0" distR="0" wp14:anchorId="6DC9FAC4" wp14:editId="78A61262">
            <wp:extent cx="5854700" cy="3797300"/>
            <wp:effectExtent l="0" t="0" r="12700" b="12700"/>
            <wp:docPr id="10" name="Chart 10">
              <a:extLst xmlns:a="http://schemas.openxmlformats.org/drawingml/2006/main">
                <a:ext uri="{FF2B5EF4-FFF2-40B4-BE49-F238E27FC236}">
                  <a16:creationId xmlns:a16="http://schemas.microsoft.com/office/drawing/2014/main" id="{BC3A5422-B811-D946-8EA3-B7315CE5E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B2B5BB" w14:textId="1EA2083A" w:rsidR="0033484F" w:rsidRDefault="0033484F" w:rsidP="00AA4E52"/>
    <w:p w14:paraId="49225384" w14:textId="44EACA24" w:rsidR="0033484F" w:rsidRDefault="0033484F" w:rsidP="00AA4E52"/>
    <w:p w14:paraId="7E59A316" w14:textId="609C7339" w:rsidR="0033484F" w:rsidRDefault="0033484F" w:rsidP="00AA4E52">
      <w:r>
        <w:rPr>
          <w:noProof/>
        </w:rPr>
        <w:lastRenderedPageBreak/>
        <w:drawing>
          <wp:inline distT="0" distB="0" distL="0" distR="0" wp14:anchorId="78B4E496" wp14:editId="414E395D">
            <wp:extent cx="5943600" cy="4264660"/>
            <wp:effectExtent l="0" t="0" r="12700" b="15240"/>
            <wp:docPr id="11" name="Chart 11">
              <a:extLst xmlns:a="http://schemas.openxmlformats.org/drawingml/2006/main">
                <a:ext uri="{FF2B5EF4-FFF2-40B4-BE49-F238E27FC236}">
                  <a16:creationId xmlns:a16="http://schemas.microsoft.com/office/drawing/2014/main" id="{1C953D9B-793D-2940-9EF6-0300FAE56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FD34D6" w14:textId="617F55AE" w:rsidR="0033484F" w:rsidRDefault="0033484F" w:rsidP="00AA4E52"/>
    <w:p w14:paraId="6D06DE28" w14:textId="553CA0FD" w:rsidR="0033484F" w:rsidRDefault="0033484F" w:rsidP="00AA4E52">
      <w:r>
        <w:rPr>
          <w:noProof/>
        </w:rPr>
        <w:drawing>
          <wp:inline distT="0" distB="0" distL="0" distR="0" wp14:anchorId="70E9F2F6" wp14:editId="5A1AC2B3">
            <wp:extent cx="5854700" cy="3594100"/>
            <wp:effectExtent l="0" t="0" r="12700" b="12700"/>
            <wp:docPr id="12" name="Chart 12">
              <a:extLst xmlns:a="http://schemas.openxmlformats.org/drawingml/2006/main">
                <a:ext uri="{FF2B5EF4-FFF2-40B4-BE49-F238E27FC236}">
                  <a16:creationId xmlns:a16="http://schemas.microsoft.com/office/drawing/2014/main" id="{4AE462BE-DC51-9940-A4A4-AD0ACB2CD5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F8E148" w14:textId="77777777" w:rsidR="0033484F" w:rsidRDefault="0033484F" w:rsidP="00AA4E52"/>
    <w:p w14:paraId="10378E05" w14:textId="77777777" w:rsidR="00AA4E52" w:rsidRDefault="00AA4E52" w:rsidP="00AA4E52">
      <w:pPr>
        <w:pStyle w:val="NormalWeb"/>
      </w:pPr>
      <w:r>
        <w:rPr>
          <w:rFonts w:ascii="Century Gothic" w:hAnsi="Century Gothic"/>
          <w:b/>
          <w:bCs/>
          <w:color w:val="000000"/>
        </w:rPr>
        <w:lastRenderedPageBreak/>
        <w:t>Attendees: </w:t>
      </w:r>
    </w:p>
    <w:p w14:paraId="3E501B80" w14:textId="77777777" w:rsidR="00AA4E52" w:rsidRDefault="00AA4E52" w:rsidP="00AA4E52">
      <w:pPr>
        <w:pStyle w:val="NormalWeb"/>
      </w:pPr>
      <w:r>
        <w:rPr>
          <w:rFonts w:ascii="Century Gothic" w:hAnsi="Century Gothic"/>
          <w:color w:val="000000"/>
        </w:rPr>
        <w:t>Jeannie Hamilton, Monte Sereno</w:t>
      </w:r>
    </w:p>
    <w:p w14:paraId="223BD47E" w14:textId="77777777" w:rsidR="00AA4E52" w:rsidRDefault="00AA4E52" w:rsidP="00AA4E52">
      <w:pPr>
        <w:pStyle w:val="NormalWeb"/>
      </w:pPr>
      <w:r>
        <w:rPr>
          <w:rFonts w:ascii="Century Gothic" w:hAnsi="Century Gothic"/>
          <w:color w:val="000000"/>
        </w:rPr>
        <w:t>Jennifer Carman, Morgan Hill</w:t>
      </w:r>
    </w:p>
    <w:p w14:paraId="6C53BB30" w14:textId="77777777" w:rsidR="00AA4E52" w:rsidRDefault="00AA4E52" w:rsidP="00AA4E52">
      <w:pPr>
        <w:pStyle w:val="NormalWeb"/>
      </w:pPr>
      <w:r>
        <w:rPr>
          <w:rFonts w:ascii="Century Gothic" w:hAnsi="Century Gothic"/>
          <w:color w:val="000000"/>
        </w:rPr>
        <w:t>Joel Paulson, Los Gatos</w:t>
      </w:r>
    </w:p>
    <w:p w14:paraId="63412356" w14:textId="77777777" w:rsidR="00AA4E52" w:rsidRDefault="00AA4E52" w:rsidP="00AA4E52">
      <w:pPr>
        <w:pStyle w:val="NormalWeb"/>
      </w:pPr>
      <w:r>
        <w:rPr>
          <w:rFonts w:ascii="Century Gothic" w:hAnsi="Century Gothic"/>
          <w:color w:val="000000"/>
        </w:rPr>
        <w:t>Stephen Rose, Campbell</w:t>
      </w:r>
    </w:p>
    <w:p w14:paraId="54F580AB" w14:textId="77777777" w:rsidR="00AA4E52" w:rsidRDefault="00AA4E52" w:rsidP="00AA4E52">
      <w:pPr>
        <w:pStyle w:val="NormalWeb"/>
      </w:pPr>
      <w:r>
        <w:rPr>
          <w:rFonts w:ascii="Century Gothic" w:hAnsi="Century Gothic"/>
          <w:color w:val="000000"/>
        </w:rPr>
        <w:t xml:space="preserve">Adam </w:t>
      </w:r>
      <w:proofErr w:type="spellStart"/>
      <w:r>
        <w:rPr>
          <w:rFonts w:ascii="Century Gothic" w:hAnsi="Century Gothic"/>
          <w:color w:val="000000"/>
        </w:rPr>
        <w:t>Paszkowski</w:t>
      </w:r>
      <w:proofErr w:type="spellEnd"/>
      <w:r>
        <w:rPr>
          <w:rFonts w:ascii="Century Gothic" w:hAnsi="Century Gothic"/>
          <w:color w:val="000000"/>
        </w:rPr>
        <w:t>, Morgan Hill </w:t>
      </w:r>
    </w:p>
    <w:p w14:paraId="69560592" w14:textId="77777777" w:rsidR="00AA4E52" w:rsidRDefault="00AA4E52" w:rsidP="00AA4E52">
      <w:pPr>
        <w:pStyle w:val="NormalWeb"/>
      </w:pPr>
      <w:r>
        <w:rPr>
          <w:rFonts w:ascii="Century Gothic" w:hAnsi="Century Gothic"/>
          <w:color w:val="000000"/>
        </w:rPr>
        <w:t>Trudi Ryan, Sunnyvale</w:t>
      </w:r>
    </w:p>
    <w:p w14:paraId="2420AFFF" w14:textId="77777777" w:rsidR="00AA4E52" w:rsidRDefault="00AA4E52" w:rsidP="00AA4E52">
      <w:pPr>
        <w:pStyle w:val="NormalWeb"/>
      </w:pPr>
      <w:r>
        <w:rPr>
          <w:rFonts w:ascii="Century Gothic" w:hAnsi="Century Gothic"/>
          <w:color w:val="000000"/>
        </w:rPr>
        <w:t>Adam Marcus, Milpitas</w:t>
      </w:r>
    </w:p>
    <w:p w14:paraId="150C8A14" w14:textId="77777777" w:rsidR="00AA4E52" w:rsidRDefault="00AA4E52" w:rsidP="00AA4E52">
      <w:pPr>
        <w:pStyle w:val="NormalWeb"/>
      </w:pPr>
      <w:r>
        <w:rPr>
          <w:rFonts w:ascii="Century Gothic" w:hAnsi="Century Gothic"/>
          <w:color w:val="000000"/>
        </w:rPr>
        <w:t xml:space="preserve">Martin </w:t>
      </w:r>
      <w:proofErr w:type="spellStart"/>
      <w:r>
        <w:rPr>
          <w:rFonts w:ascii="Century Gothic" w:hAnsi="Century Gothic"/>
          <w:color w:val="000000"/>
        </w:rPr>
        <w:t>Alkire</w:t>
      </w:r>
      <w:proofErr w:type="spellEnd"/>
      <w:r>
        <w:rPr>
          <w:rFonts w:ascii="Century Gothic" w:hAnsi="Century Gothic"/>
          <w:color w:val="000000"/>
        </w:rPr>
        <w:t>, Mountain View</w:t>
      </w:r>
    </w:p>
    <w:p w14:paraId="1D19DCD6" w14:textId="77777777" w:rsidR="00AA4E52" w:rsidRDefault="00AA4E52" w:rsidP="00AA4E52">
      <w:pPr>
        <w:pStyle w:val="NormalWeb"/>
      </w:pPr>
      <w:r>
        <w:rPr>
          <w:rFonts w:ascii="Century Gothic" w:hAnsi="Century Gothic"/>
          <w:color w:val="000000"/>
        </w:rPr>
        <w:t xml:space="preserve">Paul </w:t>
      </w:r>
      <w:proofErr w:type="spellStart"/>
      <w:r>
        <w:rPr>
          <w:rFonts w:ascii="Century Gothic" w:hAnsi="Century Gothic"/>
          <w:color w:val="000000"/>
        </w:rPr>
        <w:t>Kermoyan</w:t>
      </w:r>
      <w:proofErr w:type="spellEnd"/>
      <w:r>
        <w:rPr>
          <w:rFonts w:ascii="Century Gothic" w:hAnsi="Century Gothic"/>
          <w:color w:val="000000"/>
        </w:rPr>
        <w:t>, Campbell</w:t>
      </w:r>
    </w:p>
    <w:p w14:paraId="0439C0BB" w14:textId="77777777" w:rsidR="00AA4E52" w:rsidRDefault="00AA4E52" w:rsidP="00AA4E52">
      <w:pPr>
        <w:pStyle w:val="NormalWeb"/>
      </w:pPr>
      <w:r>
        <w:rPr>
          <w:rFonts w:ascii="Century Gothic" w:hAnsi="Century Gothic"/>
          <w:color w:val="000000"/>
        </w:rPr>
        <w:t>Cindy McCormick, Gilroy </w:t>
      </w:r>
    </w:p>
    <w:p w14:paraId="36A3883F" w14:textId="77777777" w:rsidR="00AA4E52" w:rsidRDefault="00AA4E52" w:rsidP="00AA4E52">
      <w:pPr>
        <w:pStyle w:val="NormalWeb"/>
      </w:pPr>
      <w:r>
        <w:rPr>
          <w:rFonts w:ascii="Century Gothic" w:hAnsi="Century Gothic"/>
          <w:color w:val="000000"/>
        </w:rPr>
        <w:t>Julie Wyrick, Gilroy</w:t>
      </w:r>
    </w:p>
    <w:p w14:paraId="3AAEA936" w14:textId="77777777" w:rsidR="00AA4E52" w:rsidRDefault="00AA4E52" w:rsidP="00AA4E52">
      <w:pPr>
        <w:pStyle w:val="NormalWeb"/>
      </w:pPr>
      <w:r>
        <w:rPr>
          <w:rFonts w:ascii="Century Gothic" w:hAnsi="Century Gothic"/>
          <w:color w:val="000000"/>
        </w:rPr>
        <w:t>Ned Thomas, Milpitas</w:t>
      </w:r>
    </w:p>
    <w:p w14:paraId="599E4BAA" w14:textId="77777777" w:rsidR="00AA4E52" w:rsidRDefault="00AA4E52" w:rsidP="00AA4E52">
      <w:pPr>
        <w:pStyle w:val="NormalWeb"/>
      </w:pPr>
      <w:r>
        <w:rPr>
          <w:rFonts w:ascii="Century Gothic" w:hAnsi="Century Gothic"/>
          <w:color w:val="000000"/>
        </w:rPr>
        <w:t>Debbie Pedro, Saratoga, </w:t>
      </w:r>
    </w:p>
    <w:p w14:paraId="28C9AACD" w14:textId="77777777" w:rsidR="00AA4E52" w:rsidRDefault="00AA4E52" w:rsidP="00AA4E52">
      <w:pPr>
        <w:pStyle w:val="NormalWeb"/>
      </w:pPr>
      <w:r>
        <w:rPr>
          <w:rFonts w:ascii="Century Gothic" w:hAnsi="Century Gothic"/>
          <w:color w:val="000000"/>
        </w:rPr>
        <w:t xml:space="preserve">Adam </w:t>
      </w:r>
      <w:proofErr w:type="spellStart"/>
      <w:r>
        <w:rPr>
          <w:rFonts w:ascii="Century Gothic" w:hAnsi="Century Gothic"/>
          <w:color w:val="000000"/>
        </w:rPr>
        <w:t>Paszkowski</w:t>
      </w:r>
      <w:proofErr w:type="spellEnd"/>
      <w:r>
        <w:rPr>
          <w:rFonts w:ascii="Century Gothic" w:hAnsi="Century Gothic"/>
          <w:color w:val="000000"/>
        </w:rPr>
        <w:t>, Morgan Hill</w:t>
      </w:r>
    </w:p>
    <w:p w14:paraId="5BAA3F7B" w14:textId="77777777" w:rsidR="00AA4E52" w:rsidRDefault="00AA4E52" w:rsidP="00AA4E52">
      <w:pPr>
        <w:pStyle w:val="NormalWeb"/>
      </w:pPr>
      <w:r>
        <w:rPr>
          <w:rFonts w:ascii="Century Gothic" w:hAnsi="Century Gothic"/>
          <w:color w:val="000000"/>
        </w:rPr>
        <w:t>Jessica Garner, Milpitas</w:t>
      </w:r>
    </w:p>
    <w:p w14:paraId="2D5236B0" w14:textId="77777777" w:rsidR="00AA4E52" w:rsidRDefault="00AA4E52" w:rsidP="00AA4E52">
      <w:pPr>
        <w:pStyle w:val="NormalWeb"/>
      </w:pPr>
      <w:r>
        <w:rPr>
          <w:rFonts w:ascii="Century Gothic" w:hAnsi="Century Gothic"/>
          <w:color w:val="000000"/>
        </w:rPr>
        <w:t>Andrew Crabtree, Santa Clara (city) </w:t>
      </w:r>
    </w:p>
    <w:p w14:paraId="4608D215" w14:textId="77777777" w:rsidR="00AA4E52" w:rsidRDefault="00AA4E52" w:rsidP="00AA4E52">
      <w:pPr>
        <w:pStyle w:val="NormalWeb"/>
      </w:pPr>
      <w:r>
        <w:rPr>
          <w:rFonts w:ascii="Century Gothic" w:hAnsi="Century Gothic"/>
          <w:color w:val="000000"/>
        </w:rPr>
        <w:t>Amy French, Palo Alto</w:t>
      </w:r>
    </w:p>
    <w:p w14:paraId="5B7048CB" w14:textId="77777777" w:rsidR="00AA4E52" w:rsidRDefault="00AA4E52" w:rsidP="00AA4E52">
      <w:pPr>
        <w:pStyle w:val="NormalWeb"/>
      </w:pPr>
      <w:r>
        <w:rPr>
          <w:rFonts w:ascii="Century Gothic" w:hAnsi="Century Gothic"/>
          <w:color w:val="000000"/>
        </w:rPr>
        <w:t>Kerri Heusler, Cupertino </w:t>
      </w:r>
    </w:p>
    <w:p w14:paraId="7DA5736D" w14:textId="77777777" w:rsidR="00AA4E52" w:rsidRDefault="00AA4E52" w:rsidP="00AA4E52">
      <w:pPr>
        <w:pStyle w:val="NormalWeb"/>
      </w:pPr>
      <w:r>
        <w:rPr>
          <w:rFonts w:ascii="Century Gothic" w:hAnsi="Century Gothic"/>
          <w:color w:val="000000"/>
        </w:rPr>
        <w:t xml:space="preserve">Sharon </w:t>
      </w:r>
      <w:proofErr w:type="spellStart"/>
      <w:r>
        <w:rPr>
          <w:rFonts w:ascii="Century Gothic" w:hAnsi="Century Gothic"/>
          <w:color w:val="000000"/>
        </w:rPr>
        <w:t>Goei</w:t>
      </w:r>
      <w:proofErr w:type="spellEnd"/>
      <w:r>
        <w:rPr>
          <w:rFonts w:ascii="Century Gothic" w:hAnsi="Century Gothic"/>
          <w:color w:val="000000"/>
        </w:rPr>
        <w:t>, Milpitas</w:t>
      </w:r>
    </w:p>
    <w:p w14:paraId="4F4A1B13" w14:textId="77777777" w:rsidR="00AA4E52" w:rsidRDefault="00AA4E52" w:rsidP="00AA4E52">
      <w:pPr>
        <w:pStyle w:val="NormalWeb"/>
      </w:pPr>
      <w:r>
        <w:rPr>
          <w:rFonts w:ascii="Century Gothic" w:hAnsi="Century Gothic"/>
          <w:color w:val="000000"/>
        </w:rPr>
        <w:t>Jonathan Lait, Palo Alto </w:t>
      </w:r>
    </w:p>
    <w:p w14:paraId="68FD991E" w14:textId="77777777" w:rsidR="00AA4E52" w:rsidRDefault="00AA4E52" w:rsidP="00AA4E52">
      <w:pPr>
        <w:pStyle w:val="NormalWeb"/>
      </w:pPr>
      <w:r>
        <w:rPr>
          <w:rFonts w:ascii="Century Gothic" w:hAnsi="Century Gothic"/>
          <w:color w:val="000000"/>
        </w:rPr>
        <w:t>Robert Musallam, Milpitas</w:t>
      </w:r>
    </w:p>
    <w:p w14:paraId="63E7FF58" w14:textId="77777777" w:rsidR="00AA4E52" w:rsidRDefault="00AA4E52" w:rsidP="00AA4E52">
      <w:pPr>
        <w:pStyle w:val="NormalWeb"/>
      </w:pPr>
      <w:r>
        <w:rPr>
          <w:rFonts w:ascii="Century Gothic" w:hAnsi="Century Gothic"/>
          <w:color w:val="000000"/>
        </w:rPr>
        <w:t>Rob Eastwood, Santa Clara County </w:t>
      </w:r>
    </w:p>
    <w:p w14:paraId="563BBEF0" w14:textId="77777777" w:rsidR="00AA4E52" w:rsidRDefault="00AA4E52" w:rsidP="00AA4E52">
      <w:pPr>
        <w:pStyle w:val="NormalWeb"/>
      </w:pPr>
      <w:r>
        <w:rPr>
          <w:rFonts w:ascii="Century Gothic" w:hAnsi="Century Gothic"/>
          <w:color w:val="000000"/>
        </w:rPr>
        <w:t>Zach Dahl, Los Altos Hills</w:t>
      </w:r>
    </w:p>
    <w:p w14:paraId="4D18F393" w14:textId="77777777" w:rsidR="00AA4E52" w:rsidRDefault="00AA4E52" w:rsidP="00AA4E52">
      <w:pPr>
        <w:pStyle w:val="NormalWeb"/>
      </w:pPr>
      <w:r>
        <w:rPr>
          <w:rFonts w:ascii="Century Gothic" w:hAnsi="Century Gothic"/>
          <w:color w:val="000000"/>
        </w:rPr>
        <w:t>Daniel Saver, MTC/ABAG</w:t>
      </w:r>
    </w:p>
    <w:p w14:paraId="514527F1" w14:textId="77777777" w:rsidR="00AA4E52" w:rsidRDefault="00AA4E52" w:rsidP="00AA4E52">
      <w:pPr>
        <w:pStyle w:val="NormalWeb"/>
      </w:pPr>
      <w:r>
        <w:rPr>
          <w:rFonts w:ascii="Century Gothic" w:hAnsi="Century Gothic"/>
          <w:color w:val="000000"/>
        </w:rPr>
        <w:t xml:space="preserve">Michael </w:t>
      </w:r>
      <w:proofErr w:type="spellStart"/>
      <w:r>
        <w:rPr>
          <w:rFonts w:ascii="Century Gothic" w:hAnsi="Century Gothic"/>
          <w:color w:val="000000"/>
        </w:rPr>
        <w:t>Brilliot</w:t>
      </w:r>
      <w:proofErr w:type="spellEnd"/>
      <w:r>
        <w:rPr>
          <w:rFonts w:ascii="Century Gothic" w:hAnsi="Century Gothic"/>
          <w:color w:val="000000"/>
        </w:rPr>
        <w:t>, San Jose </w:t>
      </w:r>
    </w:p>
    <w:p w14:paraId="651A24B6" w14:textId="77777777" w:rsidR="00AA4E52" w:rsidRDefault="00AA4E52" w:rsidP="00AA4E52">
      <w:pPr>
        <w:pStyle w:val="NormalWeb"/>
      </w:pPr>
      <w:r>
        <w:rPr>
          <w:rFonts w:ascii="Century Gothic" w:hAnsi="Century Gothic"/>
          <w:color w:val="000000"/>
        </w:rPr>
        <w:t xml:space="preserve">Mark </w:t>
      </w:r>
      <w:proofErr w:type="spellStart"/>
      <w:r>
        <w:rPr>
          <w:rFonts w:ascii="Century Gothic" w:hAnsi="Century Gothic"/>
          <w:color w:val="000000"/>
        </w:rPr>
        <w:t>Shorett</w:t>
      </w:r>
      <w:proofErr w:type="spellEnd"/>
      <w:r>
        <w:rPr>
          <w:rFonts w:ascii="Century Gothic" w:hAnsi="Century Gothic"/>
          <w:color w:val="000000"/>
        </w:rPr>
        <w:t>, MTC/ABAG</w:t>
      </w:r>
    </w:p>
    <w:p w14:paraId="36FF43FE" w14:textId="77777777" w:rsidR="00AA4E52" w:rsidRDefault="00AA4E52" w:rsidP="00AA4E52">
      <w:pPr>
        <w:pStyle w:val="NormalWeb"/>
      </w:pPr>
      <w:r>
        <w:rPr>
          <w:rFonts w:ascii="Century Gothic" w:hAnsi="Century Gothic"/>
          <w:color w:val="000000"/>
        </w:rPr>
        <w:t>Ruth Cueto, San Jose</w:t>
      </w:r>
    </w:p>
    <w:p w14:paraId="79E033FF" w14:textId="77777777" w:rsidR="00AA4E52" w:rsidRDefault="00AA4E52" w:rsidP="00AA4E52">
      <w:pPr>
        <w:pStyle w:val="NormalWeb"/>
      </w:pPr>
      <w:r>
        <w:rPr>
          <w:rFonts w:ascii="Century Gothic" w:hAnsi="Century Gothic"/>
          <w:color w:val="000000"/>
        </w:rPr>
        <w:t>David Ying, San Jose</w:t>
      </w:r>
    </w:p>
    <w:p w14:paraId="2937BDD7" w14:textId="77777777" w:rsidR="00AA4E52" w:rsidRDefault="00AA4E52" w:rsidP="00AA4E52">
      <w:pPr>
        <w:pStyle w:val="NormalWeb"/>
      </w:pPr>
      <w:proofErr w:type="spellStart"/>
      <w:r>
        <w:rPr>
          <w:rFonts w:ascii="Century Gothic" w:hAnsi="Century Gothic"/>
          <w:color w:val="000000"/>
        </w:rPr>
        <w:t>Piu</w:t>
      </w:r>
      <w:proofErr w:type="spellEnd"/>
      <w:r>
        <w:rPr>
          <w:rFonts w:ascii="Century Gothic" w:hAnsi="Century Gothic"/>
          <w:color w:val="000000"/>
        </w:rPr>
        <w:t xml:space="preserve"> Ghosh, Cupertino</w:t>
      </w:r>
    </w:p>
    <w:p w14:paraId="5A7AB2DA" w14:textId="77777777" w:rsidR="00AA4E52" w:rsidRDefault="00AA4E52" w:rsidP="00AA4E52">
      <w:pPr>
        <w:pStyle w:val="NormalWeb"/>
      </w:pPr>
      <w:r>
        <w:rPr>
          <w:rFonts w:ascii="Century Gothic" w:hAnsi="Century Gothic"/>
          <w:color w:val="000000"/>
        </w:rPr>
        <w:t>Bharat Singh, Santa Clara County</w:t>
      </w:r>
    </w:p>
    <w:p w14:paraId="302C358E" w14:textId="77777777" w:rsidR="00AA4E52" w:rsidRDefault="00AA4E52" w:rsidP="00AA4E52">
      <w:pPr>
        <w:pStyle w:val="NormalWeb"/>
      </w:pPr>
      <w:r>
        <w:rPr>
          <w:rFonts w:ascii="Century Gothic" w:hAnsi="Century Gothic"/>
          <w:color w:val="000000"/>
        </w:rPr>
        <w:t xml:space="preserve">Sally </w:t>
      </w:r>
      <w:proofErr w:type="spellStart"/>
      <w:r>
        <w:rPr>
          <w:rFonts w:ascii="Century Gothic" w:hAnsi="Century Gothic"/>
          <w:color w:val="000000"/>
        </w:rPr>
        <w:t>Zarnowitz</w:t>
      </w:r>
      <w:proofErr w:type="spellEnd"/>
      <w:r>
        <w:rPr>
          <w:rFonts w:ascii="Century Gothic" w:hAnsi="Century Gothic"/>
          <w:color w:val="000000"/>
        </w:rPr>
        <w:t>, Los Gatos</w:t>
      </w:r>
    </w:p>
    <w:p w14:paraId="2B0F52B1" w14:textId="77777777" w:rsidR="00AA4E52" w:rsidRDefault="00AA4E52" w:rsidP="00AA4E52">
      <w:pPr>
        <w:pStyle w:val="NormalWeb"/>
      </w:pPr>
      <w:r>
        <w:rPr>
          <w:rFonts w:ascii="Century Gothic" w:hAnsi="Century Gothic"/>
          <w:color w:val="000000"/>
        </w:rPr>
        <w:t>Ada Chang, MTC/ABAG</w:t>
      </w:r>
    </w:p>
    <w:p w14:paraId="05E41C6F" w14:textId="77777777" w:rsidR="00AA4E52" w:rsidRDefault="00AA4E52" w:rsidP="00AA4E52">
      <w:pPr>
        <w:pStyle w:val="NormalWeb"/>
      </w:pPr>
      <w:r>
        <w:rPr>
          <w:rFonts w:ascii="Century Gothic" w:hAnsi="Century Gothic"/>
          <w:color w:val="000000"/>
        </w:rPr>
        <w:t xml:space="preserve">Jenny </w:t>
      </w:r>
      <w:proofErr w:type="spellStart"/>
      <w:r>
        <w:rPr>
          <w:rFonts w:ascii="Century Gothic" w:hAnsi="Century Gothic"/>
          <w:color w:val="000000"/>
        </w:rPr>
        <w:t>Carloni</w:t>
      </w:r>
      <w:proofErr w:type="spellEnd"/>
      <w:r>
        <w:rPr>
          <w:rFonts w:ascii="Century Gothic" w:hAnsi="Century Gothic"/>
          <w:color w:val="000000"/>
        </w:rPr>
        <w:t xml:space="preserve">, Sunnyvale </w:t>
      </w:r>
    </w:p>
    <w:p w14:paraId="1B23706B" w14:textId="77777777" w:rsidR="00AA4E52" w:rsidRDefault="00AA4E52" w:rsidP="00AA4E52"/>
    <w:p w14:paraId="26251F3C" w14:textId="685D6D81" w:rsidR="007D241D" w:rsidRPr="009C4CCD" w:rsidRDefault="007D241D" w:rsidP="00AA4E52">
      <w:pPr>
        <w:pStyle w:val="NormalWeb"/>
        <w:textAlignment w:val="baseline"/>
        <w:rPr>
          <w:rFonts w:ascii="Century Gothic" w:hAnsi="Century Gothic"/>
          <w:b/>
          <w:bCs/>
          <w:color w:val="000000"/>
        </w:rPr>
      </w:pPr>
    </w:p>
    <w:sectPr w:rsidR="007D241D" w:rsidRPr="009C4CCD" w:rsidSect="004C29B3">
      <w:headerReference w:type="default" r:id="rId18"/>
      <w:footerReference w:type="even" r:id="rId19"/>
      <w:footerReference w:type="default" r:id="rId20"/>
      <w:pgSz w:w="12240" w:h="15840"/>
      <w:pgMar w:top="927" w:right="1440" w:bottom="8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A415A" w14:textId="77777777" w:rsidR="000023B1" w:rsidRDefault="000023B1" w:rsidP="009F628F">
      <w:r>
        <w:separator/>
      </w:r>
    </w:p>
  </w:endnote>
  <w:endnote w:type="continuationSeparator" w:id="0">
    <w:p w14:paraId="458C6224" w14:textId="77777777" w:rsidR="000023B1" w:rsidRDefault="000023B1" w:rsidP="009F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1115705"/>
      <w:docPartObj>
        <w:docPartGallery w:val="Page Numbers (Bottom of Page)"/>
        <w:docPartUnique/>
      </w:docPartObj>
    </w:sdtPr>
    <w:sdtEndPr>
      <w:rPr>
        <w:rStyle w:val="PageNumber"/>
      </w:rPr>
    </w:sdtEndPr>
    <w:sdtContent>
      <w:p w14:paraId="3A22BEC2" w14:textId="3E67B06D" w:rsidR="009F628F" w:rsidRDefault="009F628F" w:rsidP="001B7A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DB7BA1" w14:textId="77777777" w:rsidR="009F628F" w:rsidRDefault="009F628F" w:rsidP="009F62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8037350"/>
      <w:docPartObj>
        <w:docPartGallery w:val="Page Numbers (Bottom of Page)"/>
        <w:docPartUnique/>
      </w:docPartObj>
    </w:sdtPr>
    <w:sdtEndPr>
      <w:rPr>
        <w:rStyle w:val="PageNumber"/>
      </w:rPr>
    </w:sdtEndPr>
    <w:sdtContent>
      <w:p w14:paraId="75970167" w14:textId="1950C661" w:rsidR="009F628F" w:rsidRDefault="009F628F" w:rsidP="001B7A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909452" w14:textId="77777777" w:rsidR="009F628F" w:rsidRDefault="009F628F" w:rsidP="009F62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4B18" w14:textId="77777777" w:rsidR="000023B1" w:rsidRDefault="000023B1" w:rsidP="009F628F">
      <w:r>
        <w:separator/>
      </w:r>
    </w:p>
  </w:footnote>
  <w:footnote w:type="continuationSeparator" w:id="0">
    <w:p w14:paraId="6644A23C" w14:textId="77777777" w:rsidR="000023B1" w:rsidRDefault="000023B1" w:rsidP="009F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48095" w14:textId="1E376BBB" w:rsidR="009F628F" w:rsidRDefault="007D241D" w:rsidP="004C29B3">
    <w:pPr>
      <w:pStyle w:val="Header"/>
      <w:jc w:val="center"/>
      <w:rPr>
        <w:rFonts w:ascii="Century Gothic" w:hAnsi="Century Gothic" w:cs="Times New Roman"/>
        <w:b/>
        <w:bCs/>
        <w:color w:val="A6A6A6"/>
        <w:sz w:val="28"/>
        <w:szCs w:val="28"/>
      </w:rPr>
    </w:pPr>
    <w:r w:rsidRPr="007D241D">
      <w:rPr>
        <w:rFonts w:ascii="Century Gothic" w:hAnsi="Century Gothic" w:cs="Times New Roman"/>
        <w:b/>
        <w:bCs/>
        <w:color w:val="A6A6A6"/>
        <w:sz w:val="28"/>
        <w:szCs w:val="28"/>
      </w:rPr>
      <w:t>SANTA CLARA COUNTY</w:t>
    </w:r>
    <w:r w:rsidRPr="007D241D">
      <w:rPr>
        <w:rFonts w:ascii="Century Gothic" w:hAnsi="Century Gothic" w:cs="Times New Roman"/>
        <w:b/>
        <w:bCs/>
        <w:color w:val="A6A6A6"/>
        <w:sz w:val="28"/>
        <w:szCs w:val="28"/>
      </w:rPr>
      <w:br/>
      <w:t>PLANNING COLLABORATIVE</w:t>
    </w:r>
  </w:p>
  <w:p w14:paraId="4F2C9FD4" w14:textId="77777777" w:rsidR="004C29B3" w:rsidRPr="004C29B3" w:rsidRDefault="004C29B3" w:rsidP="004C29B3">
    <w:pPr>
      <w:pStyle w:val="Header"/>
      <w:jc w:val="center"/>
      <w:rPr>
        <w:rFonts w:ascii="Century Gothic" w:hAnsi="Century Gothic" w:cs="Times New Roman"/>
        <w:b/>
        <w:bCs/>
        <w:color w:val="A6A6A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25A"/>
    <w:multiLevelType w:val="multilevel"/>
    <w:tmpl w:val="359285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2418E"/>
    <w:multiLevelType w:val="multilevel"/>
    <w:tmpl w:val="62861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46239"/>
    <w:multiLevelType w:val="multilevel"/>
    <w:tmpl w:val="F4002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20404"/>
    <w:multiLevelType w:val="hybridMultilevel"/>
    <w:tmpl w:val="3F30A7C2"/>
    <w:lvl w:ilvl="0" w:tplc="0409000F">
      <w:start w:val="1"/>
      <w:numFmt w:val="decimal"/>
      <w:lvlText w:val="%1."/>
      <w:lvlJc w:val="left"/>
      <w:pPr>
        <w:ind w:left="720" w:hanging="360"/>
      </w:pPr>
    </w:lvl>
    <w:lvl w:ilvl="1" w:tplc="06CC1702">
      <w:start w:val="1"/>
      <w:numFmt w:val="lowerLetter"/>
      <w:lvlText w:val="%2."/>
      <w:lvlJc w:val="left"/>
      <w:pPr>
        <w:ind w:left="1440" w:hanging="360"/>
      </w:pPr>
      <w:rPr>
        <w:b w:val="0"/>
        <w:bCs w:val="0"/>
      </w:rPr>
    </w:lvl>
    <w:lvl w:ilvl="2" w:tplc="E47ADD52">
      <w:start w:val="1"/>
      <w:numFmt w:val="lowerRoman"/>
      <w:lvlText w:val="%3."/>
      <w:lvlJc w:val="right"/>
      <w:pPr>
        <w:ind w:left="2160" w:hanging="180"/>
      </w:pPr>
      <w:rPr>
        <w:b w:val="0"/>
        <w:bCs w:val="0"/>
      </w:rPr>
    </w:lvl>
    <w:lvl w:ilvl="3" w:tplc="513033EE">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43465"/>
    <w:multiLevelType w:val="multilevel"/>
    <w:tmpl w:val="6C0804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32C32"/>
    <w:multiLevelType w:val="multilevel"/>
    <w:tmpl w:val="6B147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22465"/>
    <w:multiLevelType w:val="hybridMultilevel"/>
    <w:tmpl w:val="09682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92376"/>
    <w:multiLevelType w:val="multilevel"/>
    <w:tmpl w:val="1D6AD0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40235A"/>
    <w:multiLevelType w:val="hybridMultilevel"/>
    <w:tmpl w:val="B6B49B34"/>
    <w:lvl w:ilvl="0" w:tplc="84182ECE">
      <w:start w:val="1"/>
      <w:numFmt w:val="decimal"/>
      <w:lvlText w:val="%1."/>
      <w:lvlJc w:val="left"/>
      <w:pPr>
        <w:ind w:left="720" w:hanging="360"/>
      </w:pPr>
      <w:rPr>
        <w:b/>
        <w:bCs/>
      </w:rPr>
    </w:lvl>
    <w:lvl w:ilvl="1" w:tplc="04090019">
      <w:start w:val="1"/>
      <w:numFmt w:val="lowerLetter"/>
      <w:lvlText w:val="%2."/>
      <w:lvlJc w:val="left"/>
      <w:pPr>
        <w:ind w:left="1440" w:hanging="360"/>
      </w:pPr>
    </w:lvl>
    <w:lvl w:ilvl="2" w:tplc="E12277E4">
      <w:start w:val="1"/>
      <w:numFmt w:val="lowerRoman"/>
      <w:lvlText w:val="%3."/>
      <w:lvlJc w:val="right"/>
      <w:pPr>
        <w:ind w:left="2160" w:hanging="180"/>
      </w:pPr>
      <w:rPr>
        <w:b w:val="0"/>
        <w:bCs w:val="0"/>
      </w:rPr>
    </w:lvl>
    <w:lvl w:ilvl="3" w:tplc="603AE796">
      <w:start w:val="1"/>
      <w:numFmt w:val="decimal"/>
      <w:lvlText w:val="%4."/>
      <w:lvlJc w:val="left"/>
      <w:pPr>
        <w:ind w:left="2880" w:hanging="360"/>
      </w:pPr>
      <w:rPr>
        <w:b w:val="0"/>
        <w:bCs w:val="0"/>
      </w:rPr>
    </w:lvl>
    <w:lvl w:ilvl="4" w:tplc="A66CFBAE">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04D4E"/>
    <w:multiLevelType w:val="multilevel"/>
    <w:tmpl w:val="FC3E6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707A"/>
    <w:multiLevelType w:val="hybridMultilevel"/>
    <w:tmpl w:val="2F4E2618"/>
    <w:lvl w:ilvl="0" w:tplc="49A0F90E">
      <w:start w:val="1"/>
      <w:numFmt w:val="decimal"/>
      <w:lvlText w:val="%1."/>
      <w:lvlJc w:val="left"/>
      <w:pPr>
        <w:ind w:left="720" w:hanging="360"/>
      </w:pPr>
      <w:rPr>
        <w:rFonts w:hint="default"/>
        <w:b/>
        <w:bCs/>
      </w:rPr>
    </w:lvl>
    <w:lvl w:ilvl="1" w:tplc="E81C1A2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83311"/>
    <w:multiLevelType w:val="multilevel"/>
    <w:tmpl w:val="B218E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150B61"/>
    <w:multiLevelType w:val="multilevel"/>
    <w:tmpl w:val="5268D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4"/>
    <w:lvlOverride w:ilvl="1">
      <w:startOverride w:val="1"/>
    </w:lvlOverride>
  </w:num>
  <w:num w:numId="5">
    <w:abstractNumId w:val="5"/>
  </w:num>
  <w:num w:numId="6">
    <w:abstractNumId w:val="2"/>
  </w:num>
  <w:num w:numId="7">
    <w:abstractNumId w:val="9"/>
  </w:num>
  <w:num w:numId="8">
    <w:abstractNumId w:val="9"/>
    <w:lvlOverride w:ilvl="3">
      <w:lvl w:ilvl="3">
        <w:numFmt w:val="bullet"/>
        <w:lvlText w:val=""/>
        <w:lvlJc w:val="left"/>
        <w:pPr>
          <w:tabs>
            <w:tab w:val="num" w:pos="2880"/>
          </w:tabs>
          <w:ind w:left="2880" w:hanging="360"/>
        </w:pPr>
        <w:rPr>
          <w:rFonts w:ascii="Symbol" w:hAnsi="Symbol" w:hint="default"/>
          <w:sz w:val="20"/>
        </w:rPr>
      </w:lvl>
    </w:lvlOverride>
  </w:num>
  <w:num w:numId="9">
    <w:abstractNumId w:val="12"/>
  </w:num>
  <w:num w:numId="10">
    <w:abstractNumId w:val="1"/>
  </w:num>
  <w:num w:numId="11">
    <w:abstractNumId w:val="1"/>
    <w:lvlOverride w:ilvl="1">
      <w:lvl w:ilvl="1">
        <w:numFmt w:val="lowerLetter"/>
        <w:lvlText w:val="%2."/>
        <w:lvlJc w:val="left"/>
      </w:lvl>
    </w:lvlOverride>
  </w:num>
  <w:num w:numId="12">
    <w:abstractNumId w:val="1"/>
    <w:lvlOverride w:ilvl="1">
      <w:lvl w:ilvl="1">
        <w:numFmt w:val="lowerLetter"/>
        <w:lvlText w:val="%2."/>
        <w:lvlJc w:val="left"/>
      </w:lvl>
    </w:lvlOverride>
    <w:lvlOverride w:ilvl="2">
      <w:lvl w:ilvl="2">
        <w:numFmt w:val="lowerRoman"/>
        <w:lvlText w:val="%3."/>
        <w:lvlJc w:val="right"/>
      </w:lvl>
    </w:lvlOverride>
  </w:num>
  <w:num w:numId="13">
    <w:abstractNumId w:val="7"/>
    <w:lvlOverride w:ilvl="0">
      <w:lvl w:ilvl="0">
        <w:numFmt w:val="decimal"/>
        <w:lvlText w:val="%1."/>
        <w:lvlJc w:val="left"/>
      </w:lvl>
    </w:lvlOverride>
  </w:num>
  <w:num w:numId="14">
    <w:abstractNumId w:val="7"/>
    <w:lvlOverride w:ilvl="0">
      <w:lvl w:ilvl="0">
        <w:numFmt w:val="decimal"/>
        <w:lvlText w:val="%1."/>
        <w:lvlJc w:val="left"/>
      </w:lvl>
    </w:lvlOverride>
    <w:lvlOverride w:ilvl="1">
      <w:lvl w:ilvl="1">
        <w:numFmt w:val="lowerLetter"/>
        <w:lvlText w:val="%2."/>
        <w:lvlJc w:val="left"/>
      </w:lvl>
    </w:lvlOverride>
  </w:num>
  <w:num w:numId="15">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6">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7">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8">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9">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0">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1">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2">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3">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4">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5">
    <w:abstractNumId w:val="7"/>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6">
    <w:abstractNumId w:val="0"/>
    <w:lvlOverride w:ilvl="0">
      <w:lvl w:ilvl="0">
        <w:numFmt w:val="decimal"/>
        <w:lvlText w:val="%1."/>
        <w:lvlJc w:val="left"/>
      </w:lvl>
    </w:lvlOverride>
  </w:num>
  <w:num w:numId="27">
    <w:abstractNumId w:val="0"/>
    <w:lvlOverride w:ilvl="0">
      <w:lvl w:ilvl="0">
        <w:numFmt w:val="decimal"/>
        <w:lvlText w:val="%1."/>
        <w:lvlJc w:val="left"/>
      </w:lvl>
    </w:lvlOverride>
    <w:lvlOverride w:ilvl="1">
      <w:lvl w:ilvl="1">
        <w:numFmt w:val="lowerLetter"/>
        <w:lvlText w:val="%2."/>
        <w:lvlJc w:val="left"/>
      </w:lvl>
    </w:lvlOverride>
  </w:num>
  <w:num w:numId="28">
    <w:abstractNumId w:val="8"/>
  </w:num>
  <w:num w:numId="29">
    <w:abstractNumId w:val="11"/>
  </w:num>
  <w:num w:numId="30">
    <w:abstractNumId w:val="11"/>
    <w:lvlOverride w:ilvl="1">
      <w:lvl w:ilvl="1">
        <w:numFmt w:val="lowerLetter"/>
        <w:lvlText w:val="%2."/>
        <w:lvlJc w:val="left"/>
      </w:lvl>
    </w:lvlOverride>
  </w:num>
  <w:num w:numId="31">
    <w:abstractNumId w:val="11"/>
    <w:lvlOverride w:ilvl="1">
      <w:lvl w:ilvl="1">
        <w:numFmt w:val="lowerLetter"/>
        <w:lvlText w:val="%2."/>
        <w:lvlJc w:val="left"/>
      </w:lvl>
    </w:lvlOverride>
  </w:num>
  <w:num w:numId="32">
    <w:abstractNumId w:val="11"/>
    <w:lvlOverride w:ilvl="1">
      <w:lvl w:ilvl="1">
        <w:numFmt w:val="lowerLetter"/>
        <w:lvlText w:val="%2."/>
        <w:lvlJc w:val="left"/>
      </w:lvl>
    </w:lvlOverride>
    <w:lvlOverride w:ilvl="2">
      <w:lvl w:ilvl="2">
        <w:numFmt w:val="lowerRoman"/>
        <w:lvlText w:val="%3."/>
        <w:lvlJc w:val="right"/>
      </w:lvl>
    </w:lvlOverride>
  </w:num>
  <w:num w:numId="33">
    <w:abstractNumId w:val="11"/>
    <w:lvlOverride w:ilvl="1">
      <w:lvl w:ilvl="1">
        <w:numFmt w:val="lowerLetter"/>
        <w:lvlText w:val="%2."/>
        <w:lvlJc w:val="left"/>
      </w:lvl>
    </w:lvlOverride>
    <w:lvlOverride w:ilvl="2">
      <w:lvl w:ilvl="2">
        <w:numFmt w:val="lowerRoman"/>
        <w:lvlText w:val="%3."/>
        <w:lvlJc w:val="right"/>
      </w:lvl>
    </w:lvlOverride>
  </w:num>
  <w:num w:numId="34">
    <w:abstractNumId w:val="11"/>
    <w:lvlOverride w:ilvl="1">
      <w:lvl w:ilvl="1">
        <w:numFmt w:val="lowerLetter"/>
        <w:lvlText w:val="%2."/>
        <w:lvlJc w:val="left"/>
      </w:lvl>
    </w:lvlOverride>
    <w:lvlOverride w:ilvl="2">
      <w:lvl w:ilvl="2">
        <w:numFmt w:val="lowerRoman"/>
        <w:lvlText w:val="%3."/>
        <w:lvlJc w:val="right"/>
      </w:lvl>
    </w:lvlOverride>
  </w:num>
  <w:num w:numId="35">
    <w:abstractNumId w:val="11"/>
    <w:lvlOverride w:ilvl="1">
      <w:lvl w:ilvl="1">
        <w:numFmt w:val="lowerLetter"/>
        <w:lvlText w:val="%2."/>
        <w:lvlJc w:val="left"/>
      </w:lvl>
    </w:lvlOverride>
    <w:lvlOverride w:ilvl="2">
      <w:lvl w:ilvl="2">
        <w:numFmt w:val="lowerRoman"/>
        <w:lvlText w:val="%3."/>
        <w:lvlJc w:val="right"/>
      </w:lvl>
    </w:lvlOverride>
  </w:num>
  <w:num w:numId="36">
    <w:abstractNumId w:val="11"/>
    <w:lvlOverride w:ilvl="1">
      <w:lvl w:ilvl="1">
        <w:numFmt w:val="lowerLetter"/>
        <w:lvlText w:val="%2."/>
        <w:lvlJc w:val="left"/>
      </w:lvl>
    </w:lvlOverride>
    <w:lvlOverride w:ilvl="2">
      <w:lvl w:ilvl="2">
        <w:numFmt w:val="lowerRoman"/>
        <w:lvlText w:val="%3."/>
        <w:lvlJc w:val="right"/>
      </w:lvl>
    </w:lvlOverride>
  </w:num>
  <w:num w:numId="37">
    <w:abstractNumId w:val="11"/>
    <w:lvlOverride w:ilvl="1">
      <w:lvl w:ilvl="1">
        <w:numFmt w:val="lowerLetter"/>
        <w:lvlText w:val="%2."/>
        <w:lvlJc w:val="left"/>
      </w:lvl>
    </w:lvlOverride>
    <w:lvlOverride w:ilvl="2">
      <w:lvl w:ilvl="2">
        <w:numFmt w:val="lowerRoman"/>
        <w:lvlText w:val="%3."/>
        <w:lvlJc w:val="right"/>
      </w:lvl>
    </w:lvlOverride>
  </w:num>
  <w:num w:numId="38">
    <w:abstractNumId w:val="11"/>
    <w:lvlOverride w:ilvl="1">
      <w:lvl w:ilvl="1">
        <w:numFmt w:val="lowerLetter"/>
        <w:lvlText w:val="%2."/>
        <w:lvlJc w:val="left"/>
      </w:lvl>
    </w:lvlOverride>
    <w:lvlOverride w:ilvl="2">
      <w:lvl w:ilvl="2">
        <w:numFmt w:val="lowerRoman"/>
        <w:lvlText w:val="%3."/>
        <w:lvlJc w:val="right"/>
      </w:lvl>
    </w:lvlOverride>
  </w:num>
  <w:num w:numId="39">
    <w:abstractNumId w:val="11"/>
    <w:lvlOverride w:ilvl="1">
      <w:lvl w:ilvl="1">
        <w:numFmt w:val="lowerLetter"/>
        <w:lvlText w:val="%2."/>
        <w:lvlJc w:val="left"/>
      </w:lvl>
    </w:lvlOverride>
    <w:lvlOverride w:ilvl="2">
      <w:lvl w:ilvl="2">
        <w:numFmt w:val="lowerRoman"/>
        <w:lvlText w:val="%3."/>
        <w:lvlJc w:val="right"/>
      </w:lvl>
    </w:lvlOverride>
  </w:num>
  <w:num w:numId="40">
    <w:abstractNumId w:val="11"/>
    <w:lvlOverride w:ilvl="1">
      <w:lvl w:ilvl="1">
        <w:numFmt w:val="lowerLetter"/>
        <w:lvlText w:val="%2."/>
        <w:lvlJc w:val="left"/>
      </w:lvl>
    </w:lvlOverride>
    <w:lvlOverride w:ilvl="2">
      <w:lvl w:ilvl="2">
        <w:numFmt w:val="lowerRoman"/>
        <w:lvlText w:val="%3."/>
        <w:lvlJc w:val="right"/>
      </w:lvl>
    </w:lvlOverride>
  </w:num>
  <w:num w:numId="41">
    <w:abstractNumId w:val="11"/>
    <w:lvlOverride w:ilvl="1">
      <w:lvl w:ilvl="1">
        <w:numFmt w:val="lowerLetter"/>
        <w:lvlText w:val="%2."/>
        <w:lvlJc w:val="left"/>
      </w:lvl>
    </w:lvlOverride>
    <w:lvlOverride w:ilvl="2">
      <w:lvl w:ilvl="2">
        <w:numFmt w:val="lowerRoman"/>
        <w:lvlText w:val="%3."/>
        <w:lvlJc w:val="right"/>
      </w:lvl>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E9"/>
    <w:rsid w:val="000023B1"/>
    <w:rsid w:val="000459DA"/>
    <w:rsid w:val="00060C17"/>
    <w:rsid w:val="00105044"/>
    <w:rsid w:val="001157CC"/>
    <w:rsid w:val="001A351D"/>
    <w:rsid w:val="001C0669"/>
    <w:rsid w:val="002201D6"/>
    <w:rsid w:val="00291834"/>
    <w:rsid w:val="0031289A"/>
    <w:rsid w:val="003275E1"/>
    <w:rsid w:val="0033484F"/>
    <w:rsid w:val="003C74D3"/>
    <w:rsid w:val="0042519B"/>
    <w:rsid w:val="00480D29"/>
    <w:rsid w:val="004C29B3"/>
    <w:rsid w:val="005A237F"/>
    <w:rsid w:val="005C2461"/>
    <w:rsid w:val="006054CD"/>
    <w:rsid w:val="006E11D9"/>
    <w:rsid w:val="007428A8"/>
    <w:rsid w:val="007D241D"/>
    <w:rsid w:val="007D71F0"/>
    <w:rsid w:val="00832FAA"/>
    <w:rsid w:val="008423C3"/>
    <w:rsid w:val="00881A4A"/>
    <w:rsid w:val="008C6B8F"/>
    <w:rsid w:val="00964B4E"/>
    <w:rsid w:val="009926AF"/>
    <w:rsid w:val="009B4DE9"/>
    <w:rsid w:val="009C4CCD"/>
    <w:rsid w:val="009F507E"/>
    <w:rsid w:val="009F628F"/>
    <w:rsid w:val="00A267D0"/>
    <w:rsid w:val="00A436F7"/>
    <w:rsid w:val="00AA4E52"/>
    <w:rsid w:val="00AB0DD9"/>
    <w:rsid w:val="00AB6363"/>
    <w:rsid w:val="00B35F2F"/>
    <w:rsid w:val="00BB65FF"/>
    <w:rsid w:val="00BC4E17"/>
    <w:rsid w:val="00BD03F9"/>
    <w:rsid w:val="00C21686"/>
    <w:rsid w:val="00C67760"/>
    <w:rsid w:val="00C70BA7"/>
    <w:rsid w:val="00DD0458"/>
    <w:rsid w:val="00DF05CA"/>
    <w:rsid w:val="00E02012"/>
    <w:rsid w:val="00E15DF3"/>
    <w:rsid w:val="00E73927"/>
    <w:rsid w:val="00E823C3"/>
    <w:rsid w:val="00EE331E"/>
    <w:rsid w:val="00F15061"/>
    <w:rsid w:val="00F43189"/>
    <w:rsid w:val="00F62E7F"/>
    <w:rsid w:val="00F87868"/>
    <w:rsid w:val="00FD7080"/>
    <w:rsid w:val="00FF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A7DF"/>
  <w15:chartTrackingRefBased/>
  <w15:docId w15:val="{418C626A-8818-427D-8AE5-2B986457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DE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C2461"/>
    <w:rPr>
      <w:color w:val="0563C1" w:themeColor="hyperlink"/>
      <w:u w:val="single"/>
    </w:rPr>
  </w:style>
  <w:style w:type="character" w:styleId="UnresolvedMention">
    <w:name w:val="Unresolved Mention"/>
    <w:basedOn w:val="DefaultParagraphFont"/>
    <w:uiPriority w:val="99"/>
    <w:semiHidden/>
    <w:unhideWhenUsed/>
    <w:rsid w:val="005C2461"/>
    <w:rPr>
      <w:color w:val="605E5C"/>
      <w:shd w:val="clear" w:color="auto" w:fill="E1DFDD"/>
    </w:rPr>
  </w:style>
  <w:style w:type="paragraph" w:styleId="Header">
    <w:name w:val="header"/>
    <w:basedOn w:val="Normal"/>
    <w:link w:val="HeaderChar"/>
    <w:uiPriority w:val="99"/>
    <w:unhideWhenUsed/>
    <w:rsid w:val="009F628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F628F"/>
  </w:style>
  <w:style w:type="paragraph" w:styleId="Footer">
    <w:name w:val="footer"/>
    <w:basedOn w:val="Normal"/>
    <w:link w:val="FooterChar"/>
    <w:uiPriority w:val="99"/>
    <w:unhideWhenUsed/>
    <w:rsid w:val="009F628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F628F"/>
  </w:style>
  <w:style w:type="character" w:styleId="PageNumber">
    <w:name w:val="page number"/>
    <w:basedOn w:val="DefaultParagraphFont"/>
    <w:uiPriority w:val="99"/>
    <w:semiHidden/>
    <w:unhideWhenUsed/>
    <w:rsid w:val="009F628F"/>
  </w:style>
  <w:style w:type="character" w:styleId="FollowedHyperlink">
    <w:name w:val="FollowedHyperlink"/>
    <w:basedOn w:val="DefaultParagraphFont"/>
    <w:uiPriority w:val="99"/>
    <w:semiHidden/>
    <w:unhideWhenUsed/>
    <w:rsid w:val="00DD0458"/>
    <w:rPr>
      <w:color w:val="954F72" w:themeColor="followedHyperlink"/>
      <w:u w:val="single"/>
    </w:rPr>
  </w:style>
  <w:style w:type="paragraph" w:styleId="NormalWeb">
    <w:name w:val="Normal (Web)"/>
    <w:basedOn w:val="Normal"/>
    <w:uiPriority w:val="99"/>
    <w:unhideWhenUsed/>
    <w:rsid w:val="0088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59052">
      <w:bodyDiv w:val="1"/>
      <w:marLeft w:val="0"/>
      <w:marRight w:val="0"/>
      <w:marTop w:val="0"/>
      <w:marBottom w:val="0"/>
      <w:divBdr>
        <w:top w:val="none" w:sz="0" w:space="0" w:color="auto"/>
        <w:left w:val="none" w:sz="0" w:space="0" w:color="auto"/>
        <w:bottom w:val="none" w:sz="0" w:space="0" w:color="auto"/>
        <w:right w:val="none" w:sz="0" w:space="0" w:color="auto"/>
      </w:divBdr>
    </w:div>
    <w:div w:id="517818026">
      <w:bodyDiv w:val="1"/>
      <w:marLeft w:val="0"/>
      <w:marRight w:val="0"/>
      <w:marTop w:val="0"/>
      <w:marBottom w:val="0"/>
      <w:divBdr>
        <w:top w:val="none" w:sz="0" w:space="0" w:color="auto"/>
        <w:left w:val="none" w:sz="0" w:space="0" w:color="auto"/>
        <w:bottom w:val="none" w:sz="0" w:space="0" w:color="auto"/>
        <w:right w:val="none" w:sz="0" w:space="0" w:color="auto"/>
      </w:divBdr>
    </w:div>
    <w:div w:id="599489241">
      <w:bodyDiv w:val="1"/>
      <w:marLeft w:val="0"/>
      <w:marRight w:val="0"/>
      <w:marTop w:val="0"/>
      <w:marBottom w:val="0"/>
      <w:divBdr>
        <w:top w:val="none" w:sz="0" w:space="0" w:color="auto"/>
        <w:left w:val="none" w:sz="0" w:space="0" w:color="auto"/>
        <w:bottom w:val="none" w:sz="0" w:space="0" w:color="auto"/>
        <w:right w:val="none" w:sz="0" w:space="0" w:color="auto"/>
      </w:divBdr>
    </w:div>
    <w:div w:id="615332975">
      <w:bodyDiv w:val="1"/>
      <w:marLeft w:val="0"/>
      <w:marRight w:val="0"/>
      <w:marTop w:val="0"/>
      <w:marBottom w:val="0"/>
      <w:divBdr>
        <w:top w:val="none" w:sz="0" w:space="0" w:color="auto"/>
        <w:left w:val="none" w:sz="0" w:space="0" w:color="auto"/>
        <w:bottom w:val="none" w:sz="0" w:space="0" w:color="auto"/>
        <w:right w:val="none" w:sz="0" w:space="0" w:color="auto"/>
      </w:divBdr>
    </w:div>
    <w:div w:id="642123097">
      <w:bodyDiv w:val="1"/>
      <w:marLeft w:val="0"/>
      <w:marRight w:val="0"/>
      <w:marTop w:val="0"/>
      <w:marBottom w:val="0"/>
      <w:divBdr>
        <w:top w:val="none" w:sz="0" w:space="0" w:color="auto"/>
        <w:left w:val="none" w:sz="0" w:space="0" w:color="auto"/>
        <w:bottom w:val="none" w:sz="0" w:space="0" w:color="auto"/>
        <w:right w:val="none" w:sz="0" w:space="0" w:color="auto"/>
      </w:divBdr>
    </w:div>
    <w:div w:id="683478295">
      <w:bodyDiv w:val="1"/>
      <w:marLeft w:val="0"/>
      <w:marRight w:val="0"/>
      <w:marTop w:val="0"/>
      <w:marBottom w:val="0"/>
      <w:divBdr>
        <w:top w:val="none" w:sz="0" w:space="0" w:color="auto"/>
        <w:left w:val="none" w:sz="0" w:space="0" w:color="auto"/>
        <w:bottom w:val="none" w:sz="0" w:space="0" w:color="auto"/>
        <w:right w:val="none" w:sz="0" w:space="0" w:color="auto"/>
      </w:divBdr>
    </w:div>
    <w:div w:id="754328506">
      <w:bodyDiv w:val="1"/>
      <w:marLeft w:val="0"/>
      <w:marRight w:val="0"/>
      <w:marTop w:val="0"/>
      <w:marBottom w:val="0"/>
      <w:divBdr>
        <w:top w:val="none" w:sz="0" w:space="0" w:color="auto"/>
        <w:left w:val="none" w:sz="0" w:space="0" w:color="auto"/>
        <w:bottom w:val="none" w:sz="0" w:space="0" w:color="auto"/>
        <w:right w:val="none" w:sz="0" w:space="0" w:color="auto"/>
      </w:divBdr>
    </w:div>
    <w:div w:id="844829250">
      <w:bodyDiv w:val="1"/>
      <w:marLeft w:val="0"/>
      <w:marRight w:val="0"/>
      <w:marTop w:val="0"/>
      <w:marBottom w:val="0"/>
      <w:divBdr>
        <w:top w:val="none" w:sz="0" w:space="0" w:color="auto"/>
        <w:left w:val="none" w:sz="0" w:space="0" w:color="auto"/>
        <w:bottom w:val="none" w:sz="0" w:space="0" w:color="auto"/>
        <w:right w:val="none" w:sz="0" w:space="0" w:color="auto"/>
      </w:divBdr>
    </w:div>
    <w:div w:id="998457799">
      <w:bodyDiv w:val="1"/>
      <w:marLeft w:val="0"/>
      <w:marRight w:val="0"/>
      <w:marTop w:val="0"/>
      <w:marBottom w:val="0"/>
      <w:divBdr>
        <w:top w:val="none" w:sz="0" w:space="0" w:color="auto"/>
        <w:left w:val="none" w:sz="0" w:space="0" w:color="auto"/>
        <w:bottom w:val="none" w:sz="0" w:space="0" w:color="auto"/>
        <w:right w:val="none" w:sz="0" w:space="0" w:color="auto"/>
      </w:divBdr>
    </w:div>
    <w:div w:id="1003554956">
      <w:bodyDiv w:val="1"/>
      <w:marLeft w:val="0"/>
      <w:marRight w:val="0"/>
      <w:marTop w:val="0"/>
      <w:marBottom w:val="0"/>
      <w:divBdr>
        <w:top w:val="none" w:sz="0" w:space="0" w:color="auto"/>
        <w:left w:val="none" w:sz="0" w:space="0" w:color="auto"/>
        <w:bottom w:val="none" w:sz="0" w:space="0" w:color="auto"/>
        <w:right w:val="none" w:sz="0" w:space="0" w:color="auto"/>
      </w:divBdr>
    </w:div>
    <w:div w:id="1138374103">
      <w:bodyDiv w:val="1"/>
      <w:marLeft w:val="0"/>
      <w:marRight w:val="0"/>
      <w:marTop w:val="0"/>
      <w:marBottom w:val="0"/>
      <w:divBdr>
        <w:top w:val="none" w:sz="0" w:space="0" w:color="auto"/>
        <w:left w:val="none" w:sz="0" w:space="0" w:color="auto"/>
        <w:bottom w:val="none" w:sz="0" w:space="0" w:color="auto"/>
        <w:right w:val="none" w:sz="0" w:space="0" w:color="auto"/>
      </w:divBdr>
    </w:div>
    <w:div w:id="1201940059">
      <w:bodyDiv w:val="1"/>
      <w:marLeft w:val="0"/>
      <w:marRight w:val="0"/>
      <w:marTop w:val="0"/>
      <w:marBottom w:val="0"/>
      <w:divBdr>
        <w:top w:val="none" w:sz="0" w:space="0" w:color="auto"/>
        <w:left w:val="none" w:sz="0" w:space="0" w:color="auto"/>
        <w:bottom w:val="none" w:sz="0" w:space="0" w:color="auto"/>
        <w:right w:val="none" w:sz="0" w:space="0" w:color="auto"/>
      </w:divBdr>
    </w:div>
    <w:div w:id="1621646978">
      <w:bodyDiv w:val="1"/>
      <w:marLeft w:val="0"/>
      <w:marRight w:val="0"/>
      <w:marTop w:val="0"/>
      <w:marBottom w:val="0"/>
      <w:divBdr>
        <w:top w:val="none" w:sz="0" w:space="0" w:color="auto"/>
        <w:left w:val="none" w:sz="0" w:space="0" w:color="auto"/>
        <w:bottom w:val="none" w:sz="0" w:space="0" w:color="auto"/>
        <w:right w:val="none" w:sz="0" w:space="0" w:color="auto"/>
      </w:divBdr>
    </w:div>
    <w:div w:id="1659184822">
      <w:bodyDiv w:val="1"/>
      <w:marLeft w:val="0"/>
      <w:marRight w:val="0"/>
      <w:marTop w:val="0"/>
      <w:marBottom w:val="0"/>
      <w:divBdr>
        <w:top w:val="none" w:sz="0" w:space="0" w:color="auto"/>
        <w:left w:val="none" w:sz="0" w:space="0" w:color="auto"/>
        <w:bottom w:val="none" w:sz="0" w:space="0" w:color="auto"/>
        <w:right w:val="none" w:sz="0" w:space="0" w:color="auto"/>
      </w:divBdr>
    </w:div>
    <w:div w:id="1685204175">
      <w:bodyDiv w:val="1"/>
      <w:marLeft w:val="0"/>
      <w:marRight w:val="0"/>
      <w:marTop w:val="0"/>
      <w:marBottom w:val="0"/>
      <w:divBdr>
        <w:top w:val="none" w:sz="0" w:space="0" w:color="auto"/>
        <w:left w:val="none" w:sz="0" w:space="0" w:color="auto"/>
        <w:bottom w:val="none" w:sz="0" w:space="0" w:color="auto"/>
        <w:right w:val="none" w:sz="0" w:space="0" w:color="auto"/>
      </w:divBdr>
      <w:divsChild>
        <w:div w:id="1188717424">
          <w:marLeft w:val="0"/>
          <w:marRight w:val="0"/>
          <w:marTop w:val="0"/>
          <w:marBottom w:val="0"/>
          <w:divBdr>
            <w:top w:val="none" w:sz="0" w:space="0" w:color="auto"/>
            <w:left w:val="none" w:sz="0" w:space="0" w:color="auto"/>
            <w:bottom w:val="none" w:sz="0" w:space="0" w:color="auto"/>
            <w:right w:val="none" w:sz="0" w:space="0" w:color="auto"/>
          </w:divBdr>
          <w:divsChild>
            <w:div w:id="882450296">
              <w:marLeft w:val="0"/>
              <w:marRight w:val="0"/>
              <w:marTop w:val="0"/>
              <w:marBottom w:val="0"/>
              <w:divBdr>
                <w:top w:val="none" w:sz="0" w:space="0" w:color="auto"/>
                <w:left w:val="none" w:sz="0" w:space="0" w:color="auto"/>
                <w:bottom w:val="none" w:sz="0" w:space="0" w:color="auto"/>
                <w:right w:val="none" w:sz="0" w:space="0" w:color="auto"/>
              </w:divBdr>
              <w:divsChild>
                <w:div w:id="1616718766">
                  <w:marLeft w:val="0"/>
                  <w:marRight w:val="0"/>
                  <w:marTop w:val="0"/>
                  <w:marBottom w:val="0"/>
                  <w:divBdr>
                    <w:top w:val="none" w:sz="0" w:space="0" w:color="auto"/>
                    <w:left w:val="none" w:sz="0" w:space="0" w:color="auto"/>
                    <w:bottom w:val="none" w:sz="0" w:space="0" w:color="auto"/>
                    <w:right w:val="none" w:sz="0" w:space="0" w:color="auto"/>
                  </w:divBdr>
                  <w:divsChild>
                    <w:div w:id="1918711808">
                      <w:marLeft w:val="0"/>
                      <w:marRight w:val="0"/>
                      <w:marTop w:val="0"/>
                      <w:marBottom w:val="0"/>
                      <w:divBdr>
                        <w:top w:val="none" w:sz="0" w:space="0" w:color="auto"/>
                        <w:left w:val="none" w:sz="0" w:space="0" w:color="auto"/>
                        <w:bottom w:val="none" w:sz="0" w:space="0" w:color="auto"/>
                        <w:right w:val="none" w:sz="0" w:space="0" w:color="auto"/>
                      </w:divBdr>
                      <w:divsChild>
                        <w:div w:id="43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385">
      <w:bodyDiv w:val="1"/>
      <w:marLeft w:val="0"/>
      <w:marRight w:val="0"/>
      <w:marTop w:val="0"/>
      <w:marBottom w:val="0"/>
      <w:divBdr>
        <w:top w:val="none" w:sz="0" w:space="0" w:color="auto"/>
        <w:left w:val="none" w:sz="0" w:space="0" w:color="auto"/>
        <w:bottom w:val="none" w:sz="0" w:space="0" w:color="auto"/>
        <w:right w:val="none" w:sz="0" w:space="0" w:color="auto"/>
      </w:divBdr>
    </w:div>
    <w:div w:id="1688099334">
      <w:bodyDiv w:val="1"/>
      <w:marLeft w:val="0"/>
      <w:marRight w:val="0"/>
      <w:marTop w:val="0"/>
      <w:marBottom w:val="0"/>
      <w:divBdr>
        <w:top w:val="none" w:sz="0" w:space="0" w:color="auto"/>
        <w:left w:val="none" w:sz="0" w:space="0" w:color="auto"/>
        <w:bottom w:val="none" w:sz="0" w:space="0" w:color="auto"/>
        <w:right w:val="none" w:sz="0" w:space="0" w:color="auto"/>
      </w:divBdr>
      <w:divsChild>
        <w:div w:id="1689795324">
          <w:marLeft w:val="0"/>
          <w:marRight w:val="0"/>
          <w:marTop w:val="0"/>
          <w:marBottom w:val="0"/>
          <w:divBdr>
            <w:top w:val="none" w:sz="0" w:space="0" w:color="auto"/>
            <w:left w:val="none" w:sz="0" w:space="0" w:color="auto"/>
            <w:bottom w:val="none" w:sz="0" w:space="0" w:color="auto"/>
            <w:right w:val="none" w:sz="0" w:space="0" w:color="auto"/>
          </w:divBdr>
          <w:divsChild>
            <w:div w:id="216164445">
              <w:marLeft w:val="0"/>
              <w:marRight w:val="0"/>
              <w:marTop w:val="0"/>
              <w:marBottom w:val="0"/>
              <w:divBdr>
                <w:top w:val="none" w:sz="0" w:space="0" w:color="auto"/>
                <w:left w:val="none" w:sz="0" w:space="0" w:color="auto"/>
                <w:bottom w:val="none" w:sz="0" w:space="0" w:color="auto"/>
                <w:right w:val="none" w:sz="0" w:space="0" w:color="auto"/>
              </w:divBdr>
              <w:divsChild>
                <w:div w:id="2001812324">
                  <w:marLeft w:val="0"/>
                  <w:marRight w:val="0"/>
                  <w:marTop w:val="0"/>
                  <w:marBottom w:val="0"/>
                  <w:divBdr>
                    <w:top w:val="none" w:sz="0" w:space="0" w:color="auto"/>
                    <w:left w:val="none" w:sz="0" w:space="0" w:color="auto"/>
                    <w:bottom w:val="none" w:sz="0" w:space="0" w:color="auto"/>
                    <w:right w:val="none" w:sz="0" w:space="0" w:color="auto"/>
                  </w:divBdr>
                  <w:divsChild>
                    <w:div w:id="1158887905">
                      <w:marLeft w:val="0"/>
                      <w:marRight w:val="0"/>
                      <w:marTop w:val="0"/>
                      <w:marBottom w:val="0"/>
                      <w:divBdr>
                        <w:top w:val="none" w:sz="0" w:space="0" w:color="auto"/>
                        <w:left w:val="none" w:sz="0" w:space="0" w:color="auto"/>
                        <w:bottom w:val="none" w:sz="0" w:space="0" w:color="auto"/>
                        <w:right w:val="none" w:sz="0" w:space="0" w:color="auto"/>
                      </w:divBdr>
                      <w:divsChild>
                        <w:div w:id="14752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993238">
      <w:bodyDiv w:val="1"/>
      <w:marLeft w:val="0"/>
      <w:marRight w:val="0"/>
      <w:marTop w:val="0"/>
      <w:marBottom w:val="0"/>
      <w:divBdr>
        <w:top w:val="none" w:sz="0" w:space="0" w:color="auto"/>
        <w:left w:val="none" w:sz="0" w:space="0" w:color="auto"/>
        <w:bottom w:val="none" w:sz="0" w:space="0" w:color="auto"/>
        <w:right w:val="none" w:sz="0" w:space="0" w:color="auto"/>
      </w:divBdr>
    </w:div>
    <w:div w:id="1884975573">
      <w:bodyDiv w:val="1"/>
      <w:marLeft w:val="0"/>
      <w:marRight w:val="0"/>
      <w:marTop w:val="0"/>
      <w:marBottom w:val="0"/>
      <w:divBdr>
        <w:top w:val="none" w:sz="0" w:space="0" w:color="auto"/>
        <w:left w:val="none" w:sz="0" w:space="0" w:color="auto"/>
        <w:bottom w:val="none" w:sz="0" w:space="0" w:color="auto"/>
        <w:right w:val="none" w:sz="0" w:space="0" w:color="auto"/>
      </w:divBdr>
    </w:div>
    <w:div w:id="2049722196">
      <w:bodyDiv w:val="1"/>
      <w:marLeft w:val="0"/>
      <w:marRight w:val="0"/>
      <w:marTop w:val="0"/>
      <w:marBottom w:val="0"/>
      <w:divBdr>
        <w:top w:val="none" w:sz="0" w:space="0" w:color="auto"/>
        <w:left w:val="none" w:sz="0" w:space="0" w:color="auto"/>
        <w:bottom w:val="none" w:sz="0" w:space="0" w:color="auto"/>
        <w:right w:val="none" w:sz="0" w:space="0" w:color="auto"/>
      </w:divBdr>
    </w:div>
    <w:div w:id="21044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hna-factors.mtcanalytics.org/" TargetMode="Externa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vu-bang/Dropbox/baird%20and%20driskell/16%20Elements%20Santa%20Clara%20County/meetings%20and%20communication/2020-04-29%20Kick%20off%20meeting/Survey%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vu-bang/Dropbox/baird%20and%20driskell/16%20Elements%20Santa%20Clara%20County/meetings%20and%20communication/2020-04-29%20Kick%20off%20meeting/Survey%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vu-bang/Dropbox/baird%20and%20driskell/16%20Elements%20Santa%20Clara%20County/meetings%20and%20communication/2020-04-29%20Kick%20off%20meeting/Survey%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vu-bang/Dropbox/baird%20and%20driskell/16%20Elements%20Santa%20Clara%20County/meetings%20and%20communication/2020-04-29%20Kick%20off%20meeting/Survey%20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vu-bang/Dropbox/baird%20and%20driskell/16%20Elements%20Santa%20Clara%20County/meetings%20and%20communication/2020-04-29%20Kick%20off%20meeting/Survey%20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vu-bang/Dropbox/baird%20and%20driskell/16%20Elements%20Santa%20Clara%20County/meetings%20and%20communication/2020-04-29%20Kick%20off%20meeting/Survey%20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vu-bang/Dropbox/baird%20and%20driskell/16%20Elements%20Santa%20Clara%20County/meetings%20and%20communication/2020-04-29%20Kick%20off%20meeting/Survey%20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vu-bang/Dropbox/baird%20and%20driskell/16%20Elements%20Santa%20Clara%20County/meetings%20and%20communication/2020-04-29%20Kick%20off%20meeting/Survey%20Resul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vu-bang/Dropbox/baird%20and%20driskell/16%20Elements%20Santa%20Clara%20County/meetings%20and%20communication/2020-04-29%20Kick%20off%20meeting/Survey%20Resul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Housing Accountability Act / SB 35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Sheet1!$A$13:$A$16</c:f>
              <c:strCache>
                <c:ptCount val="4"/>
                <c:pt idx="0">
                  <c:v>All objective standards in place, ready</c:v>
                </c:pt>
                <c:pt idx="1">
                  <c:v>Not sure</c:v>
                </c:pt>
                <c:pt idx="2">
                  <c:v>Lots of work to be done</c:v>
                </c:pt>
                <c:pt idx="3">
                  <c:v>Some work to be done</c:v>
                </c:pt>
              </c:strCache>
            </c:strRef>
          </c:cat>
          <c:val>
            <c:numRef>
              <c:f>Sheet1!$B$13:$B$16</c:f>
              <c:numCache>
                <c:formatCode>General</c:formatCode>
                <c:ptCount val="4"/>
                <c:pt idx="0">
                  <c:v>1</c:v>
                </c:pt>
                <c:pt idx="1">
                  <c:v>2</c:v>
                </c:pt>
                <c:pt idx="2">
                  <c:v>7</c:v>
                </c:pt>
                <c:pt idx="3">
                  <c:v>9</c:v>
                </c:pt>
              </c:numCache>
            </c:numRef>
          </c:val>
          <c:extLst>
            <c:ext xmlns:c16="http://schemas.microsoft.com/office/drawing/2014/chart" uri="{C3380CC4-5D6E-409C-BE32-E72D297353CC}">
              <c16:uniqueId val="{00000000-4B9A-BA40-A85C-30438F7670FA}"/>
            </c:ext>
          </c:extLst>
        </c:ser>
        <c:dLbls>
          <c:showLegendKey val="0"/>
          <c:showVal val="0"/>
          <c:showCatName val="0"/>
          <c:showSerName val="0"/>
          <c:showPercent val="0"/>
          <c:showBubbleSize val="0"/>
        </c:dLbls>
        <c:gapWidth val="219"/>
        <c:overlap val="-27"/>
        <c:axId val="272197792"/>
        <c:axId val="398292368"/>
      </c:barChart>
      <c:catAx>
        <c:axId val="27219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98292368"/>
        <c:crosses val="autoZero"/>
        <c:auto val="1"/>
        <c:lblAlgn val="ctr"/>
        <c:lblOffset val="100"/>
        <c:noMultiLvlLbl val="0"/>
      </c:catAx>
      <c:valAx>
        <c:axId val="398292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19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Super Density Bonus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Sheet1!$A$19:$A$21</c:f>
              <c:strCache>
                <c:ptCount val="3"/>
                <c:pt idx="0">
                  <c:v>Done</c:v>
                </c:pt>
                <c:pt idx="1">
                  <c:v>Not sure</c:v>
                </c:pt>
                <c:pt idx="2">
                  <c:v>Not done</c:v>
                </c:pt>
              </c:strCache>
            </c:strRef>
          </c:cat>
          <c:val>
            <c:numRef>
              <c:f>Sheet1!$B$19:$B$21</c:f>
              <c:numCache>
                <c:formatCode>General</c:formatCode>
                <c:ptCount val="3"/>
                <c:pt idx="0">
                  <c:v>2</c:v>
                </c:pt>
                <c:pt idx="1">
                  <c:v>7</c:v>
                </c:pt>
                <c:pt idx="2">
                  <c:v>10</c:v>
                </c:pt>
              </c:numCache>
            </c:numRef>
          </c:val>
          <c:extLst>
            <c:ext xmlns:c16="http://schemas.microsoft.com/office/drawing/2014/chart" uri="{C3380CC4-5D6E-409C-BE32-E72D297353CC}">
              <c16:uniqueId val="{00000000-CA39-5543-BC9F-BB1B675D2F25}"/>
            </c:ext>
          </c:extLst>
        </c:ser>
        <c:dLbls>
          <c:showLegendKey val="0"/>
          <c:showVal val="0"/>
          <c:showCatName val="0"/>
          <c:showSerName val="0"/>
          <c:showPercent val="0"/>
          <c:showBubbleSize val="0"/>
        </c:dLbls>
        <c:gapWidth val="219"/>
        <c:overlap val="-27"/>
        <c:axId val="333282416"/>
        <c:axId val="368292032"/>
      </c:barChart>
      <c:catAx>
        <c:axId val="33328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68292032"/>
        <c:crosses val="autoZero"/>
        <c:auto val="1"/>
        <c:lblAlgn val="ctr"/>
        <c:lblOffset val="100"/>
        <c:noMultiLvlLbl val="0"/>
      </c:catAx>
      <c:valAx>
        <c:axId val="36829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28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Navigation center / Supportive housing by right</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Sheet1!$A$24:$A$27</c:f>
              <c:strCache>
                <c:ptCount val="4"/>
                <c:pt idx="0">
                  <c:v>Done</c:v>
                </c:pt>
                <c:pt idx="1">
                  <c:v>1 of 2 done</c:v>
                </c:pt>
                <c:pt idx="2">
                  <c:v>Not done</c:v>
                </c:pt>
                <c:pt idx="3">
                  <c:v>Not sure</c:v>
                </c:pt>
              </c:strCache>
            </c:strRef>
          </c:cat>
          <c:val>
            <c:numRef>
              <c:f>Sheet1!$B$24:$B$27</c:f>
              <c:numCache>
                <c:formatCode>General</c:formatCode>
                <c:ptCount val="4"/>
                <c:pt idx="0">
                  <c:v>2</c:v>
                </c:pt>
                <c:pt idx="1">
                  <c:v>3</c:v>
                </c:pt>
                <c:pt idx="2">
                  <c:v>7</c:v>
                </c:pt>
                <c:pt idx="3">
                  <c:v>7</c:v>
                </c:pt>
              </c:numCache>
            </c:numRef>
          </c:val>
          <c:extLst>
            <c:ext xmlns:c16="http://schemas.microsoft.com/office/drawing/2014/chart" uri="{C3380CC4-5D6E-409C-BE32-E72D297353CC}">
              <c16:uniqueId val="{00000000-AA52-094F-A3BB-70B556C96B7A}"/>
            </c:ext>
          </c:extLst>
        </c:ser>
        <c:dLbls>
          <c:showLegendKey val="0"/>
          <c:showVal val="0"/>
          <c:showCatName val="0"/>
          <c:showSerName val="0"/>
          <c:showPercent val="0"/>
          <c:showBubbleSize val="0"/>
        </c:dLbls>
        <c:gapWidth val="219"/>
        <c:overlap val="-27"/>
        <c:axId val="368833328"/>
        <c:axId val="404003664"/>
      </c:barChart>
      <c:catAx>
        <c:axId val="36883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04003664"/>
        <c:crosses val="autoZero"/>
        <c:auto val="1"/>
        <c:lblAlgn val="ctr"/>
        <c:lblOffset val="100"/>
        <c:noMultiLvlLbl val="0"/>
      </c:catAx>
      <c:valAx>
        <c:axId val="404003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833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ADUs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Sheet1!$A$30:$A$31</c:f>
              <c:strCache>
                <c:ptCount val="2"/>
                <c:pt idx="0">
                  <c:v>Some work to be done</c:v>
                </c:pt>
                <c:pt idx="1">
                  <c:v>Adopted</c:v>
                </c:pt>
              </c:strCache>
            </c:strRef>
          </c:cat>
          <c:val>
            <c:numRef>
              <c:f>Sheet1!$B$30:$B$31</c:f>
              <c:numCache>
                <c:formatCode>General</c:formatCode>
                <c:ptCount val="2"/>
                <c:pt idx="0">
                  <c:v>6</c:v>
                </c:pt>
                <c:pt idx="1">
                  <c:v>13</c:v>
                </c:pt>
              </c:numCache>
            </c:numRef>
          </c:val>
          <c:extLst>
            <c:ext xmlns:c16="http://schemas.microsoft.com/office/drawing/2014/chart" uri="{C3380CC4-5D6E-409C-BE32-E72D297353CC}">
              <c16:uniqueId val="{00000000-C94E-0E40-A44E-A78807DA2F43}"/>
            </c:ext>
          </c:extLst>
        </c:ser>
        <c:dLbls>
          <c:showLegendKey val="0"/>
          <c:showVal val="0"/>
          <c:showCatName val="0"/>
          <c:showSerName val="0"/>
          <c:showPercent val="0"/>
          <c:showBubbleSize val="0"/>
        </c:dLbls>
        <c:gapWidth val="219"/>
        <c:overlap val="-27"/>
        <c:axId val="269986752"/>
        <c:axId val="269846896"/>
      </c:barChart>
      <c:catAx>
        <c:axId val="26998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69846896"/>
        <c:crosses val="autoZero"/>
        <c:auto val="1"/>
        <c:lblAlgn val="ctr"/>
        <c:lblOffset val="100"/>
        <c:noMultiLvlLbl val="0"/>
      </c:catAx>
      <c:valAx>
        <c:axId val="26984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986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Which factors are most important</a:t>
            </a:r>
          </a:p>
          <a:p>
            <a:pPr>
              <a:defRPr/>
            </a:pPr>
            <a:r>
              <a:rPr lang="en-US" b="1"/>
              <a:t>(Vote for up to 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Sheet1!$A$34:$A$40</c:f>
              <c:strCache>
                <c:ptCount val="7"/>
                <c:pt idx="0">
                  <c:v>Good transportation</c:v>
                </c:pt>
                <c:pt idx="1">
                  <c:v>High opportunity zones</c:v>
                </c:pt>
                <c:pt idx="2">
                  <c:v>More Feasible</c:v>
                </c:pt>
                <c:pt idx="3">
                  <c:v>Reduce GHG</c:v>
                </c:pt>
                <c:pt idx="4">
                  <c:v>Have jobs</c:v>
                </c:pt>
                <c:pt idx="5">
                  <c:v>Near jobs</c:v>
                </c:pt>
                <c:pt idx="6">
                  <c:v>Good transit</c:v>
                </c:pt>
              </c:strCache>
            </c:strRef>
          </c:cat>
          <c:val>
            <c:numRef>
              <c:f>Sheet1!$B$34:$B$40</c:f>
              <c:numCache>
                <c:formatCode>General</c:formatCode>
                <c:ptCount val="7"/>
                <c:pt idx="0">
                  <c:v>4</c:v>
                </c:pt>
                <c:pt idx="1">
                  <c:v>7</c:v>
                </c:pt>
                <c:pt idx="2">
                  <c:v>9</c:v>
                </c:pt>
                <c:pt idx="3">
                  <c:v>11</c:v>
                </c:pt>
                <c:pt idx="4">
                  <c:v>15</c:v>
                </c:pt>
                <c:pt idx="5">
                  <c:v>16</c:v>
                </c:pt>
                <c:pt idx="6">
                  <c:v>19</c:v>
                </c:pt>
              </c:numCache>
            </c:numRef>
          </c:val>
          <c:extLst>
            <c:ext xmlns:c16="http://schemas.microsoft.com/office/drawing/2014/chart" uri="{C3380CC4-5D6E-409C-BE32-E72D297353CC}">
              <c16:uniqueId val="{00000000-CA02-294F-9F6E-5E7ED9EA92B7}"/>
            </c:ext>
          </c:extLst>
        </c:ser>
        <c:dLbls>
          <c:showLegendKey val="0"/>
          <c:showVal val="0"/>
          <c:showCatName val="0"/>
          <c:showSerName val="0"/>
          <c:showPercent val="0"/>
          <c:showBubbleSize val="0"/>
        </c:dLbls>
        <c:gapWidth val="219"/>
        <c:overlap val="-27"/>
        <c:axId val="398328832"/>
        <c:axId val="270188720"/>
      </c:barChart>
      <c:catAx>
        <c:axId val="39832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70188720"/>
        <c:crosses val="autoZero"/>
        <c:auto val="1"/>
        <c:lblAlgn val="ctr"/>
        <c:lblOffset val="100"/>
        <c:noMultiLvlLbl val="0"/>
      </c:catAx>
      <c:valAx>
        <c:axId val="27018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328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When do non-vacant sites face increased scrutiny?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Sheet1!$A$44:$A$45</c:f>
              <c:strCache>
                <c:ptCount val="2"/>
                <c:pt idx="0">
                  <c:v>If a city has a history of not producing housing from non-vacant sites</c:v>
                </c:pt>
                <c:pt idx="1">
                  <c:v>If a city is heavily dependent on non vacant sites</c:v>
                </c:pt>
              </c:strCache>
            </c:strRef>
          </c:cat>
          <c:val>
            <c:numRef>
              <c:f>Sheet1!$B$44:$B$45</c:f>
              <c:numCache>
                <c:formatCode>General</c:formatCode>
                <c:ptCount val="2"/>
                <c:pt idx="0">
                  <c:v>7</c:v>
                </c:pt>
                <c:pt idx="1">
                  <c:v>14</c:v>
                </c:pt>
              </c:numCache>
            </c:numRef>
          </c:val>
          <c:extLst>
            <c:ext xmlns:c16="http://schemas.microsoft.com/office/drawing/2014/chart" uri="{C3380CC4-5D6E-409C-BE32-E72D297353CC}">
              <c16:uniqueId val="{00000000-3D22-1749-8420-0527F0CA5D05}"/>
            </c:ext>
          </c:extLst>
        </c:ser>
        <c:dLbls>
          <c:showLegendKey val="0"/>
          <c:showVal val="0"/>
          <c:showCatName val="0"/>
          <c:showSerName val="0"/>
          <c:showPercent val="0"/>
          <c:showBubbleSize val="0"/>
        </c:dLbls>
        <c:gapWidth val="219"/>
        <c:overlap val="-27"/>
        <c:axId val="362870832"/>
        <c:axId val="269394768"/>
      </c:barChart>
      <c:catAx>
        <c:axId val="36287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69394768"/>
        <c:crosses val="autoZero"/>
        <c:auto val="1"/>
        <c:lblAlgn val="ctr"/>
        <c:lblOffset val="100"/>
        <c:noMultiLvlLbl val="0"/>
      </c:catAx>
      <c:valAx>
        <c:axId val="26939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870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Which of these</a:t>
            </a:r>
            <a:r>
              <a:rPr lang="en-US" b="1" baseline="0"/>
              <a:t> are vacant?</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Sheet1!$A$48:$A$52</c:f>
              <c:strCache>
                <c:ptCount val="5"/>
                <c:pt idx="0">
                  <c:v>Lot with an abandoned house</c:v>
                </c:pt>
                <c:pt idx="1">
                  <c:v>Parking lot</c:v>
                </c:pt>
                <c:pt idx="2">
                  <c:v>A double lot that can be legally subdivided (single family house on one side)</c:v>
                </c:pt>
                <c:pt idx="3">
                  <c:v>Parcel use once a year for a Christmas tree sale</c:v>
                </c:pt>
                <c:pt idx="4">
                  <c:v>Empty lot used illegally by homeless</c:v>
                </c:pt>
              </c:strCache>
            </c:strRef>
          </c:cat>
          <c:val>
            <c:numRef>
              <c:f>Sheet1!$B$48:$B$52</c:f>
              <c:numCache>
                <c:formatCode>General</c:formatCode>
                <c:ptCount val="5"/>
                <c:pt idx="0">
                  <c:v>1</c:v>
                </c:pt>
                <c:pt idx="1">
                  <c:v>3</c:v>
                </c:pt>
                <c:pt idx="2">
                  <c:v>6</c:v>
                </c:pt>
                <c:pt idx="3">
                  <c:v>13</c:v>
                </c:pt>
                <c:pt idx="4">
                  <c:v>16</c:v>
                </c:pt>
              </c:numCache>
            </c:numRef>
          </c:val>
          <c:extLst>
            <c:ext xmlns:c16="http://schemas.microsoft.com/office/drawing/2014/chart" uri="{C3380CC4-5D6E-409C-BE32-E72D297353CC}">
              <c16:uniqueId val="{00000000-F0F4-D441-8E4E-012F0A69D423}"/>
            </c:ext>
          </c:extLst>
        </c:ser>
        <c:dLbls>
          <c:showLegendKey val="0"/>
          <c:showVal val="0"/>
          <c:showCatName val="0"/>
          <c:showSerName val="0"/>
          <c:showPercent val="0"/>
          <c:showBubbleSize val="0"/>
        </c:dLbls>
        <c:gapWidth val="219"/>
        <c:overlap val="-27"/>
        <c:axId val="405830080"/>
        <c:axId val="403328512"/>
      </c:barChart>
      <c:catAx>
        <c:axId val="40583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03328512"/>
        <c:crosses val="autoZero"/>
        <c:auto val="1"/>
        <c:lblAlgn val="ctr"/>
        <c:lblOffset val="100"/>
        <c:noMultiLvlLbl val="0"/>
      </c:catAx>
      <c:valAx>
        <c:axId val="40332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830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What do you have to do to reuse sites?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Sheet1!$A$55:$A$59</c:f>
              <c:strCache>
                <c:ptCount val="5"/>
                <c:pt idx="0">
                  <c:v>You can not reuse sites listed in previous Housing Elements</c:v>
                </c:pt>
                <c:pt idx="1">
                  <c:v>Make them by right for all developments</c:v>
                </c:pt>
                <c:pt idx="2">
                  <c:v>Make them by right for 20% affordable developments</c:v>
                </c:pt>
                <c:pt idx="3">
                  <c:v>Rezone to the 20 or 30 units per acre</c:v>
                </c:pt>
                <c:pt idx="4">
                  <c:v>Present substantial evidence they are likely to redevelop</c:v>
                </c:pt>
              </c:strCache>
            </c:strRef>
          </c:cat>
          <c:val>
            <c:numRef>
              <c:f>Sheet1!$B$55:$B$59</c:f>
              <c:numCache>
                <c:formatCode>General</c:formatCode>
                <c:ptCount val="5"/>
                <c:pt idx="0">
                  <c:v>2</c:v>
                </c:pt>
                <c:pt idx="1">
                  <c:v>3</c:v>
                </c:pt>
                <c:pt idx="2">
                  <c:v>12</c:v>
                </c:pt>
                <c:pt idx="3">
                  <c:v>12</c:v>
                </c:pt>
                <c:pt idx="4">
                  <c:v>13</c:v>
                </c:pt>
              </c:numCache>
            </c:numRef>
          </c:val>
          <c:extLst>
            <c:ext xmlns:c16="http://schemas.microsoft.com/office/drawing/2014/chart" uri="{C3380CC4-5D6E-409C-BE32-E72D297353CC}">
              <c16:uniqueId val="{00000000-F561-3E42-8E3A-F792E9E8D317}"/>
            </c:ext>
          </c:extLst>
        </c:ser>
        <c:dLbls>
          <c:showLegendKey val="0"/>
          <c:showVal val="0"/>
          <c:showCatName val="0"/>
          <c:showSerName val="0"/>
          <c:showPercent val="0"/>
          <c:showBubbleSize val="0"/>
        </c:dLbls>
        <c:gapWidth val="219"/>
        <c:overlap val="-27"/>
        <c:axId val="404811408"/>
        <c:axId val="404813040"/>
      </c:barChart>
      <c:catAx>
        <c:axId val="40481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04813040"/>
        <c:crosses val="autoZero"/>
        <c:auto val="1"/>
        <c:lblAlgn val="ctr"/>
        <c:lblOffset val="100"/>
        <c:noMultiLvlLbl val="0"/>
      </c:catAx>
      <c:valAx>
        <c:axId val="40481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11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Which of these will face more scrutiny?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Sheet1!$A$62:$A$64</c:f>
              <c:strCache>
                <c:ptCount val="3"/>
                <c:pt idx="0">
                  <c:v>Small/large sites</c:v>
                </c:pt>
                <c:pt idx="1">
                  <c:v>Sites used in previous inventory</c:v>
                </c:pt>
                <c:pt idx="2">
                  <c:v>Non vacant sites</c:v>
                </c:pt>
              </c:strCache>
            </c:strRef>
          </c:cat>
          <c:val>
            <c:numRef>
              <c:f>Sheet1!$B$62:$B$64</c:f>
              <c:numCache>
                <c:formatCode>General</c:formatCode>
                <c:ptCount val="3"/>
                <c:pt idx="0">
                  <c:v>2</c:v>
                </c:pt>
                <c:pt idx="1">
                  <c:v>5</c:v>
                </c:pt>
                <c:pt idx="2">
                  <c:v>14</c:v>
                </c:pt>
              </c:numCache>
            </c:numRef>
          </c:val>
          <c:extLst>
            <c:ext xmlns:c16="http://schemas.microsoft.com/office/drawing/2014/chart" uri="{C3380CC4-5D6E-409C-BE32-E72D297353CC}">
              <c16:uniqueId val="{00000000-0ACF-8A4C-90A6-7F8E71BC3C7C}"/>
            </c:ext>
          </c:extLst>
        </c:ser>
        <c:dLbls>
          <c:showLegendKey val="0"/>
          <c:showVal val="0"/>
          <c:showCatName val="0"/>
          <c:showSerName val="0"/>
          <c:showPercent val="0"/>
          <c:showBubbleSize val="0"/>
        </c:dLbls>
        <c:gapWidth val="219"/>
        <c:overlap val="-27"/>
        <c:axId val="399230544"/>
        <c:axId val="364558336"/>
      </c:barChart>
      <c:catAx>
        <c:axId val="39923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64558336"/>
        <c:crosses val="autoZero"/>
        <c:auto val="1"/>
        <c:lblAlgn val="ctr"/>
        <c:lblOffset val="100"/>
        <c:noMultiLvlLbl val="0"/>
      </c:catAx>
      <c:valAx>
        <c:axId val="36455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230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E09A-5BA1-4F4E-939E-56D49166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Abrams</dc:creator>
  <cp:keywords/>
  <dc:description/>
  <cp:lastModifiedBy>Vu Nguyen</cp:lastModifiedBy>
  <cp:revision>5</cp:revision>
  <dcterms:created xsi:type="dcterms:W3CDTF">2020-04-30T00:37:00Z</dcterms:created>
  <dcterms:modified xsi:type="dcterms:W3CDTF">2020-04-30T00:58:00Z</dcterms:modified>
</cp:coreProperties>
</file>