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43B3" w14:textId="77777777" w:rsidR="00182E63" w:rsidRPr="00182E63" w:rsidRDefault="00182E63" w:rsidP="00182E63">
      <w:pPr>
        <w:rPr>
          <w:b/>
          <w:sz w:val="28"/>
          <w:szCs w:val="28"/>
        </w:rPr>
      </w:pPr>
      <w:r w:rsidRPr="00182E63">
        <w:rPr>
          <w:b/>
          <w:sz w:val="28"/>
          <w:szCs w:val="28"/>
        </w:rPr>
        <w:t>Summary</w:t>
      </w:r>
    </w:p>
    <w:p w14:paraId="47F314F3" w14:textId="1F2A078F" w:rsidR="0026406A" w:rsidRDefault="00A81C5C" w:rsidP="00A81C5C">
      <w:r>
        <w:t xml:space="preserve">This memo summarizes the status of 1) </w:t>
      </w:r>
      <w:r w:rsidR="005F30C9">
        <w:t>RHNA 6, which will</w:t>
      </w:r>
      <w:r w:rsidR="006D5E40">
        <w:t xml:space="preserve"> </w:t>
      </w:r>
      <w:r w:rsidR="00182E63">
        <w:t xml:space="preserve">assign </w:t>
      </w:r>
      <w:r>
        <w:t>housing target numbers</w:t>
      </w:r>
      <w:r w:rsidR="00182E63">
        <w:t xml:space="preserve"> to cities in the Bay Area</w:t>
      </w:r>
      <w:r>
        <w:t xml:space="preserve">, and 2) </w:t>
      </w:r>
      <w:r w:rsidR="007A411E">
        <w:t>Plan Bay Area/</w:t>
      </w:r>
      <w:r w:rsidR="0026406A">
        <w:t>Blueprint</w:t>
      </w:r>
      <w:r>
        <w:t>,</w:t>
      </w:r>
      <w:r w:rsidR="0026406A">
        <w:t xml:space="preserve"> which is a </w:t>
      </w:r>
      <w:r>
        <w:t xml:space="preserve">related, </w:t>
      </w:r>
      <w:r w:rsidR="0026406A">
        <w:t>long range vision</w:t>
      </w:r>
      <w:r>
        <w:t>ing exercise</w:t>
      </w:r>
      <w:r w:rsidR="0026406A">
        <w:t xml:space="preserve"> for the region. </w:t>
      </w:r>
    </w:p>
    <w:p w14:paraId="53778FD5" w14:textId="5D75F2E3" w:rsidR="0077670E" w:rsidRDefault="005F30C9" w:rsidP="0026406A">
      <w:r>
        <w:t>In accordance with State law, e</w:t>
      </w:r>
      <w:r w:rsidR="00A81C5C">
        <w:t>very city in California is assigned a housing growth target as part of the Housing Element update process. This target, or Regional Housing Needs Allocation (</w:t>
      </w:r>
      <w:r w:rsidR="0026406A">
        <w:t>RHNA</w:t>
      </w:r>
      <w:r w:rsidR="00E83D8F">
        <w:rPr>
          <w:rStyle w:val="FootnoteReference"/>
        </w:rPr>
        <w:footnoteReference w:id="1"/>
      </w:r>
      <w:r w:rsidR="00A81C5C">
        <w:t>),</w:t>
      </w:r>
      <w:r w:rsidR="0026406A">
        <w:t xml:space="preserve"> </w:t>
      </w:r>
      <w:r>
        <w:t>is based on the State’s overall projection for regional growth</w:t>
      </w:r>
      <w:r w:rsidR="00DB6429">
        <w:t xml:space="preserve"> </w:t>
      </w:r>
      <w:r>
        <w:t xml:space="preserve">and then distributed to each jurisdiction in the region through an allocation methodology that </w:t>
      </w:r>
      <w:r w:rsidR="0026406A">
        <w:t xml:space="preserve">will likely weight factors such as </w:t>
      </w:r>
      <w:r w:rsidR="0077670E">
        <w:t>access to jobs or good schools</w:t>
      </w:r>
      <w:r>
        <w:t>, among others</w:t>
      </w:r>
      <w:r w:rsidR="0077670E">
        <w:t xml:space="preserve">. The average city in the </w:t>
      </w:r>
      <w:r>
        <w:t>Bay Area</w:t>
      </w:r>
      <w:r w:rsidR="0077670E">
        <w:t xml:space="preserve"> will see </w:t>
      </w:r>
      <w:r w:rsidR="00A81C5C">
        <w:t>their RHNA increase</w:t>
      </w:r>
      <w:r w:rsidR="0077670E">
        <w:t xml:space="preserve"> two to three times larger than</w:t>
      </w:r>
      <w:r w:rsidR="006D5E40">
        <w:t xml:space="preserve"> the</w:t>
      </w:r>
      <w:r w:rsidR="0077670E">
        <w:t xml:space="preserve"> last </w:t>
      </w:r>
      <w:r w:rsidR="00A81C5C">
        <w:t>housing element cycle</w:t>
      </w:r>
      <w:r>
        <w:t>, with j</w:t>
      </w:r>
      <w:r w:rsidR="0077670E">
        <w:t xml:space="preserve">ob rich cities </w:t>
      </w:r>
      <w:r>
        <w:t xml:space="preserve">potentially </w:t>
      </w:r>
      <w:r w:rsidR="0077670E">
        <w:t>see</w:t>
      </w:r>
      <w:r>
        <w:t>ing allocations</w:t>
      </w:r>
      <w:r w:rsidR="0077670E">
        <w:t xml:space="preserve"> ten times larger than last time. </w:t>
      </w:r>
      <w:r w:rsidR="0026406A">
        <w:t xml:space="preserve">ABAG has developed an </w:t>
      </w:r>
      <w:r w:rsidR="0077670E">
        <w:t xml:space="preserve">educational </w:t>
      </w:r>
      <w:r w:rsidR="0026406A">
        <w:t xml:space="preserve">online tool where stakeholders can learn more and explore potential factors </w:t>
      </w:r>
      <w:hyperlink r:id="rId8" w:history="1">
        <w:r w:rsidR="0026406A" w:rsidRPr="00D65995">
          <w:rPr>
            <w:rStyle w:val="Hyperlink"/>
          </w:rPr>
          <w:t>https://rhna-factors.mtcanalytics.org/</w:t>
        </w:r>
      </w:hyperlink>
      <w:r w:rsidR="0077670E">
        <w:t xml:space="preserve">. </w:t>
      </w:r>
    </w:p>
    <w:p w14:paraId="2CD5CB40" w14:textId="5857B5D5" w:rsidR="0026406A" w:rsidRDefault="007A411E" w:rsidP="0026406A">
      <w:r>
        <w:t xml:space="preserve">The primary method for cities to offer input </w:t>
      </w:r>
      <w:r w:rsidR="005F30C9">
        <w:t xml:space="preserve">to the RHNA process </w:t>
      </w:r>
      <w:r>
        <w:t>is through their designated representatives</w:t>
      </w:r>
      <w:r w:rsidR="00303810">
        <w:t xml:space="preserve"> (see list under RHNA Factors: Methodology Committee, </w:t>
      </w:r>
      <w:r w:rsidR="0077670E">
        <w:t>below</w:t>
      </w:r>
      <w:r w:rsidR="00303810">
        <w:t>)</w:t>
      </w:r>
      <w:r>
        <w:t>. Additionally, cities were previously given the opportunity to offer information through a survey, but it was more technical in nature and less about subjective priorities. At this time, there is no formal way for cities to offer input, but some are considering sending a letter to the relevant</w:t>
      </w:r>
      <w:r w:rsidR="007564DF">
        <w:t xml:space="preserve"> ABAG staff person</w:t>
      </w:r>
      <w:r>
        <w:t xml:space="preserve">. </w:t>
      </w:r>
      <w:r w:rsidR="002C7246">
        <w:t xml:space="preserve">There is no </w:t>
      </w:r>
      <w:r w:rsidR="0077670E">
        <w:t>official</w:t>
      </w:r>
      <w:r w:rsidR="002C7246">
        <w:t xml:space="preserve"> timeline for sending in correspondence, but the earlier it is in the process, the more likely it will be useful in decision making.</w:t>
      </w:r>
      <w:r w:rsidR="00DB6429">
        <w:t xml:space="preserve"> Pre-draft numbers are expected in the fall.  </w:t>
      </w:r>
      <w:r w:rsidR="002C7246">
        <w:t xml:space="preserve"> </w:t>
      </w:r>
      <w:r w:rsidR="0026406A">
        <w:t xml:space="preserve"> </w:t>
      </w:r>
    </w:p>
    <w:p w14:paraId="20E32D2B" w14:textId="1778C08A" w:rsidR="006D5E40" w:rsidRDefault="006D5E40" w:rsidP="0026406A">
      <w:r>
        <w:t>Most cities in Santa Clara County will likely need to rezone to accommodate more housing to meet the RHNA numbers</w:t>
      </w:r>
      <w:r w:rsidR="005F30C9">
        <w:t xml:space="preserve">, and that rezoning should be </w:t>
      </w:r>
      <w:r w:rsidR="00DB6429">
        <w:t>happen</w:t>
      </w:r>
      <w:r w:rsidR="005F30C9">
        <w:t xml:space="preserve"> in conjunction with the housing element update, which has an adoption deadline of January 2023</w:t>
      </w:r>
      <w:r>
        <w:t xml:space="preserve">. </w:t>
      </w:r>
      <w:r w:rsidR="005F30C9">
        <w:t xml:space="preserve">To meet that schedule, the </w:t>
      </w:r>
      <w:r>
        <w:t xml:space="preserve">process should be started as early as possible. </w:t>
      </w:r>
    </w:p>
    <w:p w14:paraId="46489912" w14:textId="77777777" w:rsidR="00272858" w:rsidRPr="00752E5D" w:rsidRDefault="006344EB">
      <w:pPr>
        <w:rPr>
          <w:b/>
          <w:sz w:val="28"/>
          <w:szCs w:val="28"/>
        </w:rPr>
      </w:pPr>
      <w:r w:rsidRPr="00752E5D">
        <w:rPr>
          <w:b/>
          <w:sz w:val="28"/>
          <w:szCs w:val="28"/>
        </w:rPr>
        <w:t>Housing Elements</w:t>
      </w:r>
    </w:p>
    <w:p w14:paraId="6A252832" w14:textId="77777777" w:rsidR="00752E5D" w:rsidRPr="00752E5D" w:rsidRDefault="00816F80">
      <w:pPr>
        <w:rPr>
          <w:b/>
        </w:rPr>
      </w:pPr>
      <w:r>
        <w:rPr>
          <w:b/>
        </w:rPr>
        <w:t>Background</w:t>
      </w:r>
    </w:p>
    <w:p w14:paraId="2E83EC25" w14:textId="0E7F3E62" w:rsidR="0029642E" w:rsidRDefault="00155BED">
      <w:r>
        <w:t xml:space="preserve">For many decades, California has not produced enough housing to accommodate </w:t>
      </w:r>
      <w:r w:rsidR="005F30C9">
        <w:t>population growth</w:t>
      </w:r>
      <w:r>
        <w:t>.</w:t>
      </w:r>
      <w:r w:rsidR="00E83D8F">
        <w:t xml:space="preserve"> Many cities have prioritized zoning for jobs rather than housing. </w:t>
      </w:r>
      <w:r>
        <w:t xml:space="preserve">This has contributed </w:t>
      </w:r>
      <w:r w:rsidR="00BF2C60">
        <w:t xml:space="preserve">to high housing prices, </w:t>
      </w:r>
      <w:r w:rsidR="00AE488A">
        <w:t xml:space="preserve">overcrowding, </w:t>
      </w:r>
      <w:r w:rsidR="00BF2C60">
        <w:t>displacement of residents and suffering as people struggle to pay their rent.</w:t>
      </w:r>
      <w:r w:rsidR="00E83D8F">
        <w:t xml:space="preserve"> </w:t>
      </w:r>
    </w:p>
    <w:p w14:paraId="16070316" w14:textId="46B84BCB" w:rsidR="00AE488A" w:rsidRDefault="0029642E">
      <w:r>
        <w:t xml:space="preserve">To help address this, </w:t>
      </w:r>
      <w:r w:rsidR="00AE488A">
        <w:t xml:space="preserve">the State requires that every jurisdiction update their Housing Element </w:t>
      </w:r>
      <w:r>
        <w:t xml:space="preserve">every eight years </w:t>
      </w:r>
      <w:r w:rsidR="00482C42">
        <w:t>cities</w:t>
      </w:r>
      <w:r>
        <w:t>,</w:t>
      </w:r>
      <w:r w:rsidR="00752E5D">
        <w:t xml:space="preserve"> and </w:t>
      </w:r>
      <w:r w:rsidR="00AE488A">
        <w:t xml:space="preserve">to </w:t>
      </w:r>
      <w:r w:rsidR="00482C42">
        <w:t xml:space="preserve">have </w:t>
      </w:r>
      <w:r w:rsidR="00E83D8F">
        <w:t>it</w:t>
      </w:r>
      <w:r w:rsidR="006344EB">
        <w:t xml:space="preserve"> certified by the California Department of Housing and Community Development.</w:t>
      </w:r>
      <w:r w:rsidR="00AE488A">
        <w:t xml:space="preserve"> The Housing Element schedule is different in each part of the state. </w:t>
      </w:r>
      <w:r w:rsidR="00482C42">
        <w:t>The deadline for cities in the Bay Are</w:t>
      </w:r>
      <w:r w:rsidR="00A71CF2">
        <w:t>a is January 2023</w:t>
      </w:r>
      <w:r w:rsidR="00554299">
        <w:t>,</w:t>
      </w:r>
      <w:r w:rsidR="0040695D">
        <w:t xml:space="preserve"> with </w:t>
      </w:r>
      <w:r w:rsidR="00986E3F">
        <w:t xml:space="preserve">the </w:t>
      </w:r>
      <w:r w:rsidR="00AE488A">
        <w:t xml:space="preserve">adopted </w:t>
      </w:r>
      <w:r w:rsidR="00986E3F">
        <w:t>plan cover</w:t>
      </w:r>
      <w:r w:rsidR="0040695D">
        <w:t>ing</w:t>
      </w:r>
      <w:r w:rsidR="00E83D8F">
        <w:t xml:space="preserve"> the years 2023-2031</w:t>
      </w:r>
      <w:r w:rsidR="00A71CF2">
        <w:t xml:space="preserve">. </w:t>
      </w:r>
    </w:p>
    <w:p w14:paraId="260E2CF3" w14:textId="77777777" w:rsidR="006344EB" w:rsidRDefault="00482C42">
      <w:r>
        <w:t>One of the key sections of the Housing Element is the Inventory of Sites Available for Housing</w:t>
      </w:r>
      <w:r w:rsidR="00A71CF2">
        <w:t xml:space="preserve"> (Sites Inventory)</w:t>
      </w:r>
      <w:r>
        <w:t>. In this section</w:t>
      </w:r>
      <w:r w:rsidR="00986E3F">
        <w:t xml:space="preserve"> of the Housing Element</w:t>
      </w:r>
      <w:r>
        <w:t xml:space="preserve">, cities must document </w:t>
      </w:r>
      <w:r w:rsidR="00A71CF2">
        <w:t xml:space="preserve">that they have enough land zoned for housing. </w:t>
      </w:r>
      <w:r w:rsidR="00A71CF2" w:rsidRPr="00554299">
        <w:rPr>
          <w:i/>
        </w:rPr>
        <w:t xml:space="preserve">The key question is how much is enough? </w:t>
      </w:r>
    </w:p>
    <w:p w14:paraId="318923E4" w14:textId="77777777" w:rsidR="008610A5" w:rsidRDefault="008610A5">
      <w:pPr>
        <w:rPr>
          <w:b/>
        </w:rPr>
      </w:pPr>
      <w:r>
        <w:rPr>
          <w:b/>
        </w:rPr>
        <w:br w:type="page"/>
      </w:r>
    </w:p>
    <w:p w14:paraId="08DF2479" w14:textId="2B387FBC" w:rsidR="00752E5D" w:rsidRPr="00752E5D" w:rsidRDefault="00752E5D">
      <w:pPr>
        <w:rPr>
          <w:b/>
        </w:rPr>
      </w:pPr>
      <w:r>
        <w:rPr>
          <w:b/>
        </w:rPr>
        <w:lastRenderedPageBreak/>
        <w:t xml:space="preserve">Regional Housing Needs Allocation </w:t>
      </w:r>
    </w:p>
    <w:p w14:paraId="7386E04A" w14:textId="274075AD" w:rsidR="00986E3F" w:rsidRDefault="00986E3F">
      <w:r>
        <w:t xml:space="preserve">In the </w:t>
      </w:r>
      <w:r w:rsidR="00554299">
        <w:t>f</w:t>
      </w:r>
      <w:r w:rsidR="00E83D8F">
        <w:t xml:space="preserve">all of 2020, </w:t>
      </w:r>
      <w:r>
        <w:t xml:space="preserve">each city will receive </w:t>
      </w:r>
      <w:r w:rsidR="00E83D8F">
        <w:t xml:space="preserve">their </w:t>
      </w:r>
      <w:r w:rsidR="00DB6429">
        <w:t>pre-</w:t>
      </w:r>
      <w:r w:rsidR="00AE488A">
        <w:t xml:space="preserve">draft </w:t>
      </w:r>
      <w:r w:rsidR="00E83D8F">
        <w:t>RHNA or</w:t>
      </w:r>
      <w:r>
        <w:t xml:space="preserve"> target for the number of housing units</w:t>
      </w:r>
      <w:r w:rsidR="00AE488A">
        <w:t>, by income category, that</w:t>
      </w:r>
      <w:r>
        <w:t xml:space="preserve"> they must plan for</w:t>
      </w:r>
      <w:r w:rsidR="00C42B1A">
        <w:rPr>
          <w:rStyle w:val="FootnoteReference"/>
        </w:rPr>
        <w:footnoteReference w:id="2"/>
      </w:r>
      <w:r>
        <w:t xml:space="preserve">. </w:t>
      </w:r>
      <w:r w:rsidR="00C42B1A">
        <w:t>Cities must demonstrate, through a parcel specific analysis</w:t>
      </w:r>
      <w:r w:rsidR="00AE488A">
        <w:t xml:space="preserve"> and review of related development regulations</w:t>
      </w:r>
      <w:r w:rsidR="00C42B1A">
        <w:t>, that there is enough land zoned for housing to accommodate the</w:t>
      </w:r>
      <w:r w:rsidR="0040695D">
        <w:t>ir</w:t>
      </w:r>
      <w:r w:rsidR="00C42B1A">
        <w:t xml:space="preserve"> RHNA</w:t>
      </w:r>
      <w:r w:rsidR="00AE488A">
        <w:t>, with appropriate standards and practices to facilitate new development, especially to serve lower income households</w:t>
      </w:r>
      <w:r w:rsidR="00C42B1A">
        <w:t xml:space="preserve">. </w:t>
      </w:r>
    </w:p>
    <w:p w14:paraId="185768C7" w14:textId="0DBBBD6C" w:rsidR="00A36262" w:rsidRDefault="00C44BDE">
      <w:r>
        <w:t>There are two parts t</w:t>
      </w:r>
      <w:r w:rsidR="00E83D8F">
        <w:t>o the RHNA</w:t>
      </w:r>
      <w:r w:rsidR="00AE488A">
        <w:t>:</w:t>
      </w:r>
      <w:r w:rsidR="00E83D8F">
        <w:t xml:space="preserve"> the number for the nine</w:t>
      </w:r>
      <w:r w:rsidR="00AE488A">
        <w:t>-</w:t>
      </w:r>
      <w:r>
        <w:t>county Bay Area region</w:t>
      </w:r>
      <w:r w:rsidR="00AE488A">
        <w:t>,</w:t>
      </w:r>
      <w:r>
        <w:t xml:space="preserve"> and the</w:t>
      </w:r>
      <w:r w:rsidR="00AE488A">
        <w:t>n each jurisdiction’s</w:t>
      </w:r>
      <w:r w:rsidR="00A36262">
        <w:t xml:space="preserve"> specific share. </w:t>
      </w:r>
      <w:r w:rsidR="007726B3">
        <w:t xml:space="preserve">If one thinks of RHNA as a pie, </w:t>
      </w:r>
      <w:r w:rsidR="00AE488A">
        <w:t>the amount for each jurisdiction</w:t>
      </w:r>
      <w:r w:rsidR="007726B3">
        <w:t xml:space="preserve"> will be based on how big the pie is</w:t>
      </w:r>
      <w:r w:rsidR="00AE488A">
        <w:t>, as well as</w:t>
      </w:r>
      <w:r w:rsidR="007726B3">
        <w:t xml:space="preserve"> the</w:t>
      </w:r>
      <w:r w:rsidR="009D4AF1">
        <w:t xml:space="preserve"> size of the</w:t>
      </w:r>
      <w:r w:rsidR="00AE488A">
        <w:t>ir</w:t>
      </w:r>
      <w:r w:rsidR="009D4AF1">
        <w:t xml:space="preserve"> slice</w:t>
      </w:r>
      <w:r w:rsidR="007726B3">
        <w:t xml:space="preserve">. </w:t>
      </w:r>
    </w:p>
    <w:p w14:paraId="6C5B515D" w14:textId="77777777" w:rsidR="007726B3" w:rsidRDefault="00D57282">
      <w:r>
        <w:t xml:space="preserve">The number for the region, or the pie, is supplied by the state. </w:t>
      </w:r>
      <w:r w:rsidR="00E83D8F">
        <w:t xml:space="preserve">It is expected </w:t>
      </w:r>
      <w:r w:rsidR="00554299">
        <w:t xml:space="preserve">to be released </w:t>
      </w:r>
      <w:r w:rsidR="00E83D8F">
        <w:t xml:space="preserve">in the coming months. </w:t>
      </w:r>
      <w:r w:rsidR="00A36262">
        <w:t xml:space="preserve">Because of </w:t>
      </w:r>
      <w:r w:rsidR="007726B3">
        <w:t xml:space="preserve">changes to state law, </w:t>
      </w:r>
      <w:r>
        <w:t>this number is</w:t>
      </w:r>
      <w:r w:rsidR="007726B3">
        <w:t xml:space="preserve"> expected to be</w:t>
      </w:r>
      <w:r w:rsidR="00893EA8">
        <w:t xml:space="preserve"> two to three times larger than for previous housing elements. This mostly has to do with technical changes in the state’s methodology (e.g.</w:t>
      </w:r>
      <w:r w:rsidR="00AE488A">
        <w:t>,</w:t>
      </w:r>
      <w:r w:rsidR="00893EA8">
        <w:t xml:space="preserve"> changing assumptions that better account for existing overcrowding.) </w:t>
      </w:r>
      <w:r w:rsidR="0040695D">
        <w:t xml:space="preserve">The average Bay Area city </w:t>
      </w:r>
      <w:r w:rsidR="00554299">
        <w:t>will be expected to plan for 20 percent</w:t>
      </w:r>
      <w:r w:rsidR="0040695D">
        <w:t xml:space="preserve"> population growth by 2030. </w:t>
      </w:r>
      <w:r w:rsidR="00D823FF">
        <w:t xml:space="preserve">This number is based on natural increase (births minus deaths), migration (people moving in minus people moving out) and the size of </w:t>
      </w:r>
      <w:r w:rsidR="0040695D">
        <w:t>households</w:t>
      </w:r>
      <w:r w:rsidR="00D823FF">
        <w:t>. There</w:t>
      </w:r>
      <w:r w:rsidR="00155BED">
        <w:t xml:space="preserve"> is very little cities can do to affect the size of the </w:t>
      </w:r>
      <w:r w:rsidR="00153B9F">
        <w:t>state’s number</w:t>
      </w:r>
      <w:r w:rsidR="0040695D">
        <w:t xml:space="preserve"> for the </w:t>
      </w:r>
      <w:r w:rsidR="00EA6BFC">
        <w:t xml:space="preserve">ABAG </w:t>
      </w:r>
      <w:r w:rsidR="0040695D">
        <w:t>region</w:t>
      </w:r>
      <w:r w:rsidR="00153B9F">
        <w:t>.</w:t>
      </w:r>
      <w:r w:rsidR="0040695D">
        <w:t xml:space="preserve"> </w:t>
      </w:r>
    </w:p>
    <w:p w14:paraId="064D4A09" w14:textId="14803568" w:rsidR="00153B9F" w:rsidRDefault="00752E5D">
      <w:r>
        <w:t>The other variable is the city</w:t>
      </w:r>
      <w:r w:rsidR="00941C24">
        <w:t>-</w:t>
      </w:r>
      <w:r>
        <w:t xml:space="preserve">specific allocation (the size of the slice). This will be determined </w:t>
      </w:r>
      <w:r w:rsidR="00E80446">
        <w:t>by a committee that ABAG has convened called the Housing Methodology Committee</w:t>
      </w:r>
      <w:r w:rsidR="00941C24">
        <w:t xml:space="preserve">, with </w:t>
      </w:r>
      <w:r w:rsidR="00DB6429">
        <w:t xml:space="preserve">their </w:t>
      </w:r>
      <w:r w:rsidR="00941C24">
        <w:t>recommendation then</w:t>
      </w:r>
      <w:r w:rsidR="00E80446">
        <w:t xml:space="preserve"> approved by the ABAG</w:t>
      </w:r>
      <w:r w:rsidR="0040695D">
        <w:t xml:space="preserve"> Executive</w:t>
      </w:r>
      <w:r w:rsidR="00E80446">
        <w:t xml:space="preserve"> Board. </w:t>
      </w:r>
      <w:r w:rsidR="000E2938">
        <w:t xml:space="preserve">Most of this memo will </w:t>
      </w:r>
      <w:r w:rsidR="00DD2735">
        <w:t>focus on the factors that the Methodology Committee is considering</w:t>
      </w:r>
      <w:r w:rsidR="00941C24">
        <w:t xml:space="preserve"> for the methodology which will ultimately shape their</w:t>
      </w:r>
      <w:r w:rsidR="00DD2735">
        <w:t xml:space="preserve"> </w:t>
      </w:r>
      <w:r w:rsidR="00941C24">
        <w:t>recommendation</w:t>
      </w:r>
      <w:r w:rsidR="00DD2735">
        <w:t xml:space="preserve">s. </w:t>
      </w:r>
    </w:p>
    <w:p w14:paraId="5E1DE873" w14:textId="77777777" w:rsidR="00EA2439" w:rsidRPr="00816F80" w:rsidRDefault="00A334D6">
      <w:pPr>
        <w:rPr>
          <w:b/>
          <w:sz w:val="28"/>
          <w:szCs w:val="28"/>
        </w:rPr>
      </w:pPr>
      <w:r w:rsidRPr="00816F80">
        <w:rPr>
          <w:b/>
          <w:sz w:val="28"/>
          <w:szCs w:val="28"/>
        </w:rPr>
        <w:t xml:space="preserve">Plan </w:t>
      </w:r>
      <w:r w:rsidR="00EA2439" w:rsidRPr="00816F80">
        <w:rPr>
          <w:b/>
          <w:sz w:val="28"/>
          <w:szCs w:val="28"/>
        </w:rPr>
        <w:t>Bay Area</w:t>
      </w:r>
    </w:p>
    <w:p w14:paraId="3C6B71EC" w14:textId="158D8431" w:rsidR="00C768EB" w:rsidRDefault="00A334D6">
      <w:r>
        <w:t xml:space="preserve">There is a parallel process that </w:t>
      </w:r>
      <w:r w:rsidR="00386BB5">
        <w:t>MTC/</w:t>
      </w:r>
      <w:r>
        <w:t xml:space="preserve">ABAG is facilitating called </w:t>
      </w:r>
      <w:r w:rsidR="007B31F7">
        <w:t xml:space="preserve">the </w:t>
      </w:r>
      <w:r w:rsidR="0040695D">
        <w:t>Plan Bay Area/</w:t>
      </w:r>
      <w:r w:rsidR="00386BB5">
        <w:t>Blueprint (</w:t>
      </w:r>
      <w:r w:rsidR="00D97F68">
        <w:t xml:space="preserve">PBA </w:t>
      </w:r>
      <w:r w:rsidR="00386BB5">
        <w:t xml:space="preserve">or Blueprint for short). </w:t>
      </w:r>
      <w:r w:rsidR="00D97F68">
        <w:t xml:space="preserve">This </w:t>
      </w:r>
      <w:r w:rsidR="00691C87">
        <w:t>long term</w:t>
      </w:r>
      <w:r w:rsidR="00C768EB">
        <w:t>, 30-year</w:t>
      </w:r>
      <w:r w:rsidR="00691C87">
        <w:t xml:space="preserve"> visioning exercise</w:t>
      </w:r>
      <w:r w:rsidR="00D97F68">
        <w:t xml:space="preserve"> imagines what the Bay Area might look like if cities and the region made specific </w:t>
      </w:r>
      <w:r w:rsidR="00C768EB">
        <w:t>policy choices. However, the scenario</w:t>
      </w:r>
      <w:r w:rsidR="0040695D">
        <w:t>s imagined through PBA</w:t>
      </w:r>
      <w:r w:rsidR="00C768EB">
        <w:t xml:space="preserve"> do not obligate cities to take action. Local jurisdictions still retain land use authority. The RHNA methodolog</w:t>
      </w:r>
      <w:r w:rsidR="00EA6BFC">
        <w:t>y must be “consistent” with Plan</w:t>
      </w:r>
      <w:r w:rsidR="00C768EB">
        <w:t xml:space="preserve"> Bay Area. The draft Blueprint is </w:t>
      </w:r>
      <w:r w:rsidR="00EA6BFC">
        <w:t>expected in July and the final B</w:t>
      </w:r>
      <w:r w:rsidR="00C768EB">
        <w:t>lueprint is expected in December 2020.</w:t>
      </w:r>
    </w:p>
    <w:p w14:paraId="00FE4507" w14:textId="7115021F" w:rsidR="00A36262" w:rsidRDefault="00D97F68">
      <w:r>
        <w:t>Plan Bay Area affects the Housing Elements in several ways</w:t>
      </w:r>
      <w:r w:rsidR="00207191">
        <w:t>:</w:t>
      </w:r>
      <w:r w:rsidR="00C768EB">
        <w:t xml:space="preserve"> </w:t>
      </w:r>
    </w:p>
    <w:p w14:paraId="35AACC4D" w14:textId="77777777" w:rsidR="00D960F3" w:rsidRDefault="00CE3AF3" w:rsidP="00D97F68">
      <w:pPr>
        <w:pStyle w:val="ListParagraph"/>
        <w:numPr>
          <w:ilvl w:val="0"/>
          <w:numId w:val="1"/>
        </w:numPr>
      </w:pPr>
      <w:r>
        <w:rPr>
          <w:b/>
        </w:rPr>
        <w:t xml:space="preserve">Setting the </w:t>
      </w:r>
      <w:r w:rsidR="000D75C2">
        <w:rPr>
          <w:b/>
        </w:rPr>
        <w:t>m</w:t>
      </w:r>
      <w:r>
        <w:rPr>
          <w:b/>
        </w:rPr>
        <w:t xml:space="preserve">aximum RHNA for each jurisdiction. </w:t>
      </w:r>
      <w:r w:rsidR="007B31F7">
        <w:t xml:space="preserve">A city’s RHNA cannot be higher than the growth projected in Plan Bay Area. </w:t>
      </w:r>
      <w:r w:rsidR="00691C87">
        <w:t xml:space="preserve">However, since PBA is a 30 year document </w:t>
      </w:r>
      <w:r w:rsidR="00785872">
        <w:t xml:space="preserve">and Housing Elements are eight </w:t>
      </w:r>
      <w:r w:rsidR="000D75C2">
        <w:t xml:space="preserve">year documents, it is </w:t>
      </w:r>
      <w:r w:rsidR="008E59E9">
        <w:t xml:space="preserve">not too </w:t>
      </w:r>
      <w:r w:rsidR="000D75C2">
        <w:t xml:space="preserve">likely that this cap will come into effect. </w:t>
      </w:r>
    </w:p>
    <w:p w14:paraId="746C66A2" w14:textId="77777777" w:rsidR="00015086" w:rsidRDefault="000D75C2" w:rsidP="00D97F68">
      <w:pPr>
        <w:pStyle w:val="ListParagraph"/>
        <w:numPr>
          <w:ilvl w:val="0"/>
          <w:numId w:val="1"/>
        </w:numPr>
      </w:pPr>
      <w:r>
        <w:rPr>
          <w:b/>
        </w:rPr>
        <w:t>Potentially determining the RHNA for each jurisdiction</w:t>
      </w:r>
      <w:r>
        <w:t xml:space="preserve"> </w:t>
      </w:r>
      <w:r w:rsidR="00430F88">
        <w:t>–</w:t>
      </w:r>
      <w:r>
        <w:t xml:space="preserve"> </w:t>
      </w:r>
      <w:r w:rsidR="00430F88">
        <w:t xml:space="preserve">The Housing Methodology Committee </w:t>
      </w:r>
      <w:r w:rsidR="00430F88" w:rsidRPr="008E59E9">
        <w:rPr>
          <w:i/>
        </w:rPr>
        <w:t>may</w:t>
      </w:r>
      <w:r w:rsidR="00430F88">
        <w:t xml:space="preserve"> decide to use the maps created by Plan Bay Area to </w:t>
      </w:r>
      <w:r w:rsidR="00015086">
        <w:t xml:space="preserve">completely </w:t>
      </w:r>
      <w:r w:rsidR="00430F88">
        <w:t xml:space="preserve">determine </w:t>
      </w:r>
      <w:r w:rsidR="008E59E9">
        <w:t xml:space="preserve">each city’s RHNA </w:t>
      </w:r>
      <w:r w:rsidR="00015086">
        <w:t xml:space="preserve">or use it in combination with other factors. </w:t>
      </w:r>
    </w:p>
    <w:p w14:paraId="7DAA5726" w14:textId="21FE274B" w:rsidR="00785872" w:rsidRDefault="00785872" w:rsidP="00785872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 xml:space="preserve">Potentially changing the regional number - </w:t>
      </w:r>
      <w:r>
        <w:t xml:space="preserve">It might affect the region’s number, </w:t>
      </w:r>
      <w:r w:rsidR="00A45543">
        <w:t>i</w:t>
      </w:r>
      <w:r>
        <w:t>.</w:t>
      </w:r>
      <w:r w:rsidR="00A45543">
        <w:t>e</w:t>
      </w:r>
      <w:r>
        <w:t>.</w:t>
      </w:r>
      <w:r w:rsidR="00A45543">
        <w:t>,</w:t>
      </w:r>
      <w:r>
        <w:t xml:space="preserve"> the size of the pie, though this is a small factor. </w:t>
      </w:r>
    </w:p>
    <w:p w14:paraId="0ADE4837" w14:textId="77777777" w:rsidR="0026406A" w:rsidRPr="0026406A" w:rsidRDefault="0026406A" w:rsidP="0026406A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Timeline</w:t>
      </w:r>
    </w:p>
    <w:p w14:paraId="0C851FC1" w14:textId="77777777" w:rsidR="0026406A" w:rsidRDefault="00FA4F3D" w:rsidP="0031353A">
      <w:pPr>
        <w:spacing w:after="0"/>
      </w:pPr>
      <w:r>
        <w:t xml:space="preserve">Summer 2020 </w:t>
      </w:r>
      <w:r>
        <w:tab/>
      </w:r>
      <w:r w:rsidR="0026406A">
        <w:t>HCD releases number for the region</w:t>
      </w:r>
    </w:p>
    <w:p w14:paraId="6A1FE44F" w14:textId="77777777" w:rsidR="0026406A" w:rsidRDefault="00FA4F3D" w:rsidP="0031353A">
      <w:pPr>
        <w:spacing w:after="0"/>
      </w:pPr>
      <w:r>
        <w:t xml:space="preserve">July 2020 </w:t>
      </w:r>
      <w:r>
        <w:tab/>
      </w:r>
      <w:r w:rsidR="0026406A">
        <w:t>Draft Blueprint (which may affect RHNA allocations)</w:t>
      </w:r>
    </w:p>
    <w:p w14:paraId="6486A98D" w14:textId="77777777" w:rsidR="0026406A" w:rsidRDefault="00FA4F3D" w:rsidP="0031353A">
      <w:pPr>
        <w:spacing w:after="0"/>
      </w:pPr>
      <w:r>
        <w:t xml:space="preserve">Fall 2020 </w:t>
      </w:r>
      <w:r>
        <w:tab/>
      </w:r>
      <w:r w:rsidR="0026406A">
        <w:t>Draft methodology / hints at allocations</w:t>
      </w:r>
    </w:p>
    <w:p w14:paraId="1D2373EC" w14:textId="77777777" w:rsidR="0026406A" w:rsidRDefault="00FA4F3D" w:rsidP="0031353A">
      <w:pPr>
        <w:spacing w:after="0"/>
      </w:pPr>
      <w:r>
        <w:t xml:space="preserve">Dec 2020 </w:t>
      </w:r>
      <w:r>
        <w:tab/>
      </w:r>
      <w:r w:rsidR="0026406A">
        <w:t>Final Blueprint</w:t>
      </w:r>
    </w:p>
    <w:p w14:paraId="7422D536" w14:textId="77777777" w:rsidR="0026406A" w:rsidRDefault="00FA4F3D" w:rsidP="0031353A">
      <w:pPr>
        <w:spacing w:after="0"/>
      </w:pPr>
      <w:r>
        <w:t xml:space="preserve">Spring 2021 </w:t>
      </w:r>
      <w:r>
        <w:tab/>
      </w:r>
      <w:r w:rsidR="0026406A">
        <w:t>Final methodology / draft allocations</w:t>
      </w:r>
    </w:p>
    <w:p w14:paraId="775A6676" w14:textId="77777777" w:rsidR="0026406A" w:rsidRDefault="00FA4F3D" w:rsidP="0031353A">
      <w:pPr>
        <w:spacing w:after="0"/>
      </w:pPr>
      <w:r>
        <w:t xml:space="preserve">Winter 2021 </w:t>
      </w:r>
      <w:r>
        <w:tab/>
      </w:r>
      <w:r w:rsidR="0026406A">
        <w:t>Final allocations</w:t>
      </w:r>
    </w:p>
    <w:p w14:paraId="6219A1CB" w14:textId="77777777" w:rsidR="0026406A" w:rsidRDefault="00FA4F3D" w:rsidP="0031353A">
      <w:pPr>
        <w:spacing w:after="0"/>
      </w:pPr>
      <w:r>
        <w:t xml:space="preserve">Jan 2023 </w:t>
      </w:r>
      <w:r>
        <w:tab/>
      </w:r>
      <w:r w:rsidR="0026406A">
        <w:t>Housing Elements due</w:t>
      </w:r>
    </w:p>
    <w:p w14:paraId="0C60DC5D" w14:textId="77777777" w:rsidR="0026406A" w:rsidRDefault="0026406A" w:rsidP="00816F80"/>
    <w:p w14:paraId="7AF299AC" w14:textId="77777777" w:rsidR="008A01F7" w:rsidRPr="008A01F7" w:rsidRDefault="00816F80">
      <w:pPr>
        <w:rPr>
          <w:b/>
          <w:sz w:val="28"/>
          <w:szCs w:val="28"/>
        </w:rPr>
      </w:pPr>
      <w:r w:rsidRPr="00816F80">
        <w:rPr>
          <w:b/>
          <w:sz w:val="28"/>
          <w:szCs w:val="28"/>
        </w:rPr>
        <w:t>RHNA</w:t>
      </w:r>
      <w:r w:rsidR="008A01F7">
        <w:rPr>
          <w:b/>
          <w:sz w:val="28"/>
          <w:szCs w:val="28"/>
        </w:rPr>
        <w:t xml:space="preserve"> Factors</w:t>
      </w:r>
    </w:p>
    <w:p w14:paraId="47FE5D09" w14:textId="77777777" w:rsidR="008A01F7" w:rsidRPr="008A01F7" w:rsidRDefault="008A01F7">
      <w:pPr>
        <w:rPr>
          <w:b/>
        </w:rPr>
      </w:pPr>
      <w:r>
        <w:rPr>
          <w:b/>
        </w:rPr>
        <w:t>Methodology Committee</w:t>
      </w:r>
    </w:p>
    <w:p w14:paraId="0443FE5C" w14:textId="60A5A2F9" w:rsidR="00410187" w:rsidRDefault="008A01F7" w:rsidP="00410187">
      <w:pPr>
        <w:tabs>
          <w:tab w:val="left" w:pos="8472"/>
        </w:tabs>
      </w:pPr>
      <w:r>
        <w:t xml:space="preserve">The Housing Methodology </w:t>
      </w:r>
      <w:r w:rsidR="00303810">
        <w:t>C</w:t>
      </w:r>
      <w:r>
        <w:t xml:space="preserve">ommittee is charged with dividing the number supplied by the state between each </w:t>
      </w:r>
      <w:r w:rsidR="0031353A">
        <w:t>jurisdiction</w:t>
      </w:r>
      <w:r>
        <w:t xml:space="preserve">. They will use </w:t>
      </w:r>
      <w:r>
        <w:rPr>
          <w:i/>
        </w:rPr>
        <w:t>factors</w:t>
      </w:r>
      <w:r>
        <w:t xml:space="preserve"> to do this. For example, their methodology might weight access to </w:t>
      </w:r>
      <w:r w:rsidR="0031353A">
        <w:t xml:space="preserve">jobs and good schools heavily. </w:t>
      </w:r>
      <w:r w:rsidR="00A07F76">
        <w:t>The committee meets monthly</w:t>
      </w:r>
      <w:r w:rsidR="00DB6429">
        <w:t xml:space="preserve"> through October 2020</w:t>
      </w:r>
      <w:r w:rsidR="00303810">
        <w:t xml:space="preserve">. </w:t>
      </w:r>
      <w:r w:rsidR="00A07F76">
        <w:t>Santa Clara County’s representatives are</w:t>
      </w:r>
      <w:r w:rsidR="00410187">
        <w:t xml:space="preserve"> Neysa Fligor, Vice Mayor, City of Los Alto</w:t>
      </w:r>
      <w:r w:rsidR="0031353A">
        <w:t>s; Michael Brilliot, Deputy Director</w:t>
      </w:r>
      <w:r w:rsidR="00410187">
        <w:t xml:space="preserve"> for Citywide Planning, City of San Jose; Aarti Shrivastava, Assistant City Manager/Community Development Director, City of Mountain View</w:t>
      </w:r>
      <w:r w:rsidR="0077670E">
        <w:t>.</w:t>
      </w:r>
    </w:p>
    <w:p w14:paraId="3F81CBF7" w14:textId="4D6A1A53" w:rsidR="006344EB" w:rsidRDefault="00A07F76">
      <w:r>
        <w:t>The Methodology Committee will issue its recommendations to the ABAG</w:t>
      </w:r>
      <w:r w:rsidR="00EB6FC0">
        <w:t>’s Regional Planning Committee and</w:t>
      </w:r>
      <w:r>
        <w:t xml:space="preserve"> </w:t>
      </w:r>
      <w:r w:rsidR="003861A4">
        <w:t xml:space="preserve">Executive </w:t>
      </w:r>
      <w:r>
        <w:t>Board for final approval</w:t>
      </w:r>
      <w:r w:rsidR="00DB6429">
        <w:t xml:space="preserve"> in 2021</w:t>
      </w:r>
      <w:r>
        <w:t xml:space="preserve">. </w:t>
      </w:r>
    </w:p>
    <w:p w14:paraId="717A9393" w14:textId="77777777" w:rsidR="00AF1A10" w:rsidRDefault="008A01F7">
      <w:pPr>
        <w:rPr>
          <w:b/>
        </w:rPr>
      </w:pPr>
      <w:r>
        <w:rPr>
          <w:b/>
        </w:rPr>
        <w:t>Requirements</w:t>
      </w:r>
    </w:p>
    <w:p w14:paraId="067C6E3C" w14:textId="77777777" w:rsidR="008A01F7" w:rsidRPr="008A01F7" w:rsidRDefault="008A01F7">
      <w:r>
        <w:t>There are a number of statutory requirements that m</w:t>
      </w:r>
      <w:r w:rsidR="003861A4">
        <w:t xml:space="preserve">ust be followed when distributing the RHNA. </w:t>
      </w:r>
      <w:r w:rsidR="0090053C">
        <w:t xml:space="preserve">If it does not meet these objectives, the State will not accept the methodology. </w:t>
      </w:r>
    </w:p>
    <w:p w14:paraId="6E9DA2C6" w14:textId="77777777" w:rsidR="00EB6FC0" w:rsidRDefault="00D823FF" w:rsidP="00D823FF">
      <w:pPr>
        <w:pStyle w:val="ListParagraph"/>
        <w:numPr>
          <w:ilvl w:val="0"/>
          <w:numId w:val="2"/>
        </w:numPr>
      </w:pPr>
      <w:r>
        <w:t>Objective 1: Increasing the housing supply and the mix of housing types, tenure, and affordability in all cities and counties within the region in an equitable manner</w:t>
      </w:r>
      <w:r w:rsidR="00A8524B">
        <w:t>.</w:t>
      </w:r>
    </w:p>
    <w:p w14:paraId="307A81DD" w14:textId="77777777" w:rsidR="00D823FF" w:rsidRDefault="00D823FF" w:rsidP="00D823FF">
      <w:pPr>
        <w:pStyle w:val="ListParagraph"/>
        <w:numPr>
          <w:ilvl w:val="0"/>
          <w:numId w:val="2"/>
        </w:numPr>
      </w:pPr>
      <w:r>
        <w:t>Objective 2: Promoting infill development and socioeconomic equity, the protection of environmental and agricultural resources, the encouragement of efficient development patterns, and the achievement of the region’s greenhouse gas reductions targets.</w:t>
      </w:r>
    </w:p>
    <w:p w14:paraId="66D4BF8B" w14:textId="77777777" w:rsidR="00D823FF" w:rsidRDefault="00D823FF" w:rsidP="00D823FF">
      <w:pPr>
        <w:pStyle w:val="ListParagraph"/>
        <w:numPr>
          <w:ilvl w:val="0"/>
          <w:numId w:val="2"/>
        </w:numPr>
      </w:pPr>
      <w:r>
        <w:t>Objective 3: Promoting an improved intraregional relationship between jobs and housing, including an improved balance between the number of low-wage jobs and the number of housing units affordable to low-wage workers in each jurisdiction</w:t>
      </w:r>
      <w:r w:rsidR="00A8524B">
        <w:t>.</w:t>
      </w:r>
    </w:p>
    <w:p w14:paraId="0AC5238C" w14:textId="77777777" w:rsidR="00D823FF" w:rsidRDefault="00D823FF" w:rsidP="00D823FF">
      <w:pPr>
        <w:pStyle w:val="ListParagraph"/>
        <w:numPr>
          <w:ilvl w:val="0"/>
          <w:numId w:val="2"/>
        </w:numPr>
      </w:pPr>
      <w:r>
        <w:t>Objective 4: Allocating a lower proportion of housing need to an income category when a jurisdiction already has a disproportionately high share of households in that income category.</w:t>
      </w:r>
    </w:p>
    <w:p w14:paraId="47F1627D" w14:textId="77777777" w:rsidR="00D823FF" w:rsidRPr="00EB6FC0" w:rsidRDefault="00D823FF" w:rsidP="00D823FF">
      <w:pPr>
        <w:pStyle w:val="ListParagraph"/>
        <w:numPr>
          <w:ilvl w:val="0"/>
          <w:numId w:val="2"/>
        </w:numPr>
      </w:pPr>
      <w:r w:rsidRPr="00D823FF">
        <w:t>Objective 5: Affirmatively furthering fair housing.</w:t>
      </w:r>
      <w:r w:rsidRPr="00D823FF">
        <w:cr/>
      </w:r>
    </w:p>
    <w:p w14:paraId="2792DA16" w14:textId="77777777" w:rsidR="008610A5" w:rsidRDefault="008610A5">
      <w:pPr>
        <w:rPr>
          <w:b/>
        </w:rPr>
      </w:pPr>
      <w:r>
        <w:rPr>
          <w:b/>
        </w:rPr>
        <w:br w:type="page"/>
      </w:r>
    </w:p>
    <w:p w14:paraId="125C2AD5" w14:textId="0A38293E" w:rsidR="0090053C" w:rsidRDefault="001B31DD" w:rsidP="0090053C">
      <w:pPr>
        <w:rPr>
          <w:b/>
        </w:rPr>
      </w:pPr>
      <w:r>
        <w:rPr>
          <w:b/>
        </w:rPr>
        <w:lastRenderedPageBreak/>
        <w:t>Factors</w:t>
      </w:r>
    </w:p>
    <w:p w14:paraId="74E3E38D" w14:textId="7A80C342" w:rsidR="0077670E" w:rsidRDefault="001B31DD" w:rsidP="0090053C">
      <w:r>
        <w:t xml:space="preserve">ABAG is currently considering </w:t>
      </w:r>
      <w:r w:rsidR="00C90184">
        <w:t xml:space="preserve">basing each </w:t>
      </w:r>
      <w:r w:rsidR="00303810">
        <w:t xml:space="preserve">jurisdiction’s </w:t>
      </w:r>
      <w:r w:rsidR="00C90184">
        <w:t>RHNA on its population, and then adjusting that based on one or more factors. The factors were developed based on comments from the Methodology Committee.</w:t>
      </w:r>
      <w:r w:rsidR="004627C3">
        <w:t xml:space="preserve"> </w:t>
      </w:r>
      <w:r w:rsidR="00887A62">
        <w:t xml:space="preserve">However, it is important to remember that this is not a final list of factors and it is likely to change dramatically. </w:t>
      </w:r>
      <w:r w:rsidR="00887A62" w:rsidRPr="00E83D8F">
        <w:rPr>
          <w:i/>
        </w:rPr>
        <w:t>It should be used as an education</w:t>
      </w:r>
      <w:r w:rsidR="00303810">
        <w:rPr>
          <w:i/>
        </w:rPr>
        <w:t>al</w:t>
      </w:r>
      <w:r w:rsidR="00887A62" w:rsidRPr="00E83D8F">
        <w:rPr>
          <w:i/>
        </w:rPr>
        <w:t xml:space="preserve"> tool to understand how factors influence the process generally, rather than a prediction of </w:t>
      </w:r>
      <w:r w:rsidR="00E83D8F" w:rsidRPr="00E83D8F">
        <w:rPr>
          <w:i/>
        </w:rPr>
        <w:t>likely outcomes.</w:t>
      </w:r>
    </w:p>
    <w:p w14:paraId="659D7E93" w14:textId="77777777" w:rsidR="00E83D8F" w:rsidRDefault="00E83D8F" w:rsidP="0090053C">
      <w:r>
        <w:t>One potential way for cities to offer input is to specify which of these factors would m</w:t>
      </w:r>
      <w:r w:rsidR="00962512">
        <w:t xml:space="preserve">ost fairly distribute the RHNA, though it is difficult because the conversation tends to be highly technical. </w:t>
      </w:r>
    </w:p>
    <w:p w14:paraId="660DAC09" w14:textId="77777777" w:rsidR="004871A5" w:rsidRPr="00E83D8F" w:rsidRDefault="004871A5" w:rsidP="0090053C">
      <w:r>
        <w:t>Potential factors are summarized below:</w:t>
      </w:r>
    </w:p>
    <w:p w14:paraId="358DBEEB" w14:textId="77777777" w:rsidR="00C90184" w:rsidRDefault="00C90184" w:rsidP="00E83D8F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>Access to High Opportunity Areas</w:t>
      </w:r>
      <w:r w:rsidRPr="00C90184">
        <w:t xml:space="preserve"> </w:t>
      </w:r>
      <w:r w:rsidR="003E553F">
        <w:t>–</w:t>
      </w:r>
      <w:r w:rsidR="00E83D8F">
        <w:t xml:space="preserve"> More housing units allocated to jurisdictions with the most access to </w:t>
      </w:r>
      <w:r w:rsidR="00962512">
        <w:t>opportunity (</w:t>
      </w:r>
      <w:r w:rsidR="003E553F">
        <w:t>e.g. good schools</w:t>
      </w:r>
      <w:r w:rsidR="0020006D">
        <w:t>, low poverty, etc.</w:t>
      </w:r>
      <w:r w:rsidR="003E553F">
        <w:t>)</w:t>
      </w:r>
      <w:r w:rsidR="004627C3">
        <w:t>.</w:t>
      </w:r>
    </w:p>
    <w:p w14:paraId="19E21B8F" w14:textId="77777777" w:rsidR="00C90184" w:rsidRDefault="003E553F" w:rsidP="00962512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>D</w:t>
      </w:r>
      <w:r w:rsidR="00C90184" w:rsidRPr="00DB6429">
        <w:rPr>
          <w:b/>
          <w:bCs/>
        </w:rPr>
        <w:t>ivergence Index</w:t>
      </w:r>
      <w:r w:rsidR="00E83D8F">
        <w:t xml:space="preserve"> – </w:t>
      </w:r>
      <w:r w:rsidR="00962512">
        <w:t>More housing allocated to jurisdictions that are more segregated compared to the rest of the region.</w:t>
      </w:r>
    </w:p>
    <w:p w14:paraId="1247FCCB" w14:textId="38CFA467" w:rsidR="00C90184" w:rsidRDefault="00C90184" w:rsidP="00962512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>Job Proximity</w:t>
      </w:r>
      <w:r>
        <w:t xml:space="preserve"> </w:t>
      </w:r>
      <w:r w:rsidR="001A4966">
        <w:t xml:space="preserve">– </w:t>
      </w:r>
      <w:r w:rsidR="00962512" w:rsidRPr="00962512">
        <w:t>More housing allocated to jurisdictions with easy access to region</w:t>
      </w:r>
      <w:r w:rsidR="00694278">
        <w:t>al</w:t>
      </w:r>
      <w:r w:rsidR="00962512" w:rsidRPr="00962512">
        <w:t xml:space="preserve"> job centers.</w:t>
      </w:r>
    </w:p>
    <w:p w14:paraId="6EB9A1EE" w14:textId="10E2CCC7" w:rsidR="00C90184" w:rsidRDefault="00C90184" w:rsidP="00962512">
      <w:pPr>
        <w:pStyle w:val="ListParagraph"/>
        <w:numPr>
          <w:ilvl w:val="0"/>
          <w:numId w:val="4"/>
        </w:numPr>
        <w:spacing w:after="0" w:line="240" w:lineRule="auto"/>
      </w:pPr>
      <w:r w:rsidRPr="00DB6429">
        <w:rPr>
          <w:b/>
          <w:bCs/>
        </w:rPr>
        <w:t>Vehicle Miles Travelled (VMT)</w:t>
      </w:r>
      <w:r w:rsidR="00962512">
        <w:t xml:space="preserve"> </w:t>
      </w:r>
      <w:r w:rsidR="00694278">
        <w:t>–</w:t>
      </w:r>
      <w:r w:rsidR="00962512">
        <w:t xml:space="preserve"> More housing allocated to jurisdictions with a high number of vehicle miles travelled per worker.</w:t>
      </w:r>
    </w:p>
    <w:p w14:paraId="62860B6A" w14:textId="67D69B19" w:rsidR="00C90184" w:rsidRDefault="00C90184" w:rsidP="00962512">
      <w:pPr>
        <w:pStyle w:val="ListParagraph"/>
        <w:numPr>
          <w:ilvl w:val="0"/>
          <w:numId w:val="4"/>
        </w:numPr>
        <w:spacing w:after="0" w:line="240" w:lineRule="auto"/>
      </w:pPr>
      <w:r w:rsidRPr="00DB6429">
        <w:rPr>
          <w:b/>
          <w:bCs/>
        </w:rPr>
        <w:t>Jobs-Housing Balance</w:t>
      </w:r>
      <w:r w:rsidR="00E83D8F">
        <w:t xml:space="preserve"> </w:t>
      </w:r>
      <w:r w:rsidR="00694278">
        <w:t>–</w:t>
      </w:r>
      <w:r w:rsidR="00E83D8F">
        <w:t xml:space="preserve"> </w:t>
      </w:r>
      <w:r w:rsidR="00962512">
        <w:t xml:space="preserve">More housing allocated to jurisdictions with a high number of jobs relative to the amount of housing. </w:t>
      </w:r>
    </w:p>
    <w:p w14:paraId="4B70C756" w14:textId="2F08FFC0" w:rsidR="00C90184" w:rsidRDefault="00C90184" w:rsidP="00962512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>Jobs-Housing Fit</w:t>
      </w:r>
      <w:r w:rsidR="00962512">
        <w:t xml:space="preserve"> </w:t>
      </w:r>
      <w:r w:rsidR="00694278">
        <w:t>–</w:t>
      </w:r>
      <w:r w:rsidR="00962512">
        <w:t xml:space="preserve"> More housing allocated to jurisdictions with a high number of low-wage jobs relative to the number of low-cost rental units.</w:t>
      </w:r>
    </w:p>
    <w:p w14:paraId="409C0250" w14:textId="07483149" w:rsidR="00C90184" w:rsidRDefault="00C90184" w:rsidP="00962512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 xml:space="preserve">Future </w:t>
      </w:r>
      <w:r w:rsidR="00962512" w:rsidRPr="00DB6429">
        <w:rPr>
          <w:b/>
          <w:bCs/>
        </w:rPr>
        <w:t>Jobs</w:t>
      </w:r>
      <w:r w:rsidR="00962512">
        <w:t xml:space="preserve"> </w:t>
      </w:r>
      <w:r w:rsidR="00694278">
        <w:t>–</w:t>
      </w:r>
      <w:r w:rsidR="00962512">
        <w:t xml:space="preserve"> </w:t>
      </w:r>
      <w:r w:rsidR="00962512" w:rsidRPr="00962512">
        <w:t>More housing allocated to jurisdictions with a higher share of projected jobs.</w:t>
      </w:r>
    </w:p>
    <w:p w14:paraId="3C118942" w14:textId="77976A66" w:rsidR="00C90184" w:rsidRDefault="00C90184" w:rsidP="00962512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>Transit Connectivity</w:t>
      </w:r>
      <w:r w:rsidR="00962512">
        <w:t xml:space="preserve"> </w:t>
      </w:r>
      <w:r w:rsidR="00694278">
        <w:t>–</w:t>
      </w:r>
      <w:r w:rsidR="00962512">
        <w:t xml:space="preserve"> More housing allocated to jurisdictions with existing and planned transit infrastructure.</w:t>
      </w:r>
    </w:p>
    <w:p w14:paraId="07CB8CC9" w14:textId="6B3521DC" w:rsidR="00C90184" w:rsidRDefault="00C90184" w:rsidP="00962512">
      <w:pPr>
        <w:pStyle w:val="ListParagraph"/>
        <w:numPr>
          <w:ilvl w:val="0"/>
          <w:numId w:val="4"/>
        </w:numPr>
      </w:pPr>
      <w:r w:rsidRPr="00DB6429">
        <w:rPr>
          <w:b/>
          <w:bCs/>
        </w:rPr>
        <w:t>Natural Hazards</w:t>
      </w:r>
      <w:r w:rsidR="00962512">
        <w:t xml:space="preserve"> </w:t>
      </w:r>
      <w:r w:rsidR="00694278">
        <w:t>–</w:t>
      </w:r>
      <w:r w:rsidR="00962512">
        <w:t xml:space="preserve"> </w:t>
      </w:r>
      <w:r w:rsidR="00962512" w:rsidRPr="00962512">
        <w:t>More housing allocated to areas with low natural hazard risk.</w:t>
      </w:r>
    </w:p>
    <w:p w14:paraId="26E4AC66" w14:textId="04C65041" w:rsidR="00FA4F3D" w:rsidRDefault="001A4966" w:rsidP="001A4966">
      <w:r>
        <w:t xml:space="preserve">An alternative </w:t>
      </w:r>
      <w:r w:rsidR="00D82D9E">
        <w:t xml:space="preserve">to using the factors identified </w:t>
      </w:r>
      <w:r w:rsidR="007F54F8">
        <w:t>above</w:t>
      </w:r>
      <w:r w:rsidR="00D82D9E">
        <w:t xml:space="preserve"> is to use the Plan Bay Area projection</w:t>
      </w:r>
      <w:r w:rsidR="004627C3">
        <w:t>s</w:t>
      </w:r>
      <w:r w:rsidR="007F54F8">
        <w:t xml:space="preserve"> (</w:t>
      </w:r>
      <w:r w:rsidR="00694278">
        <w:t>o</w:t>
      </w:r>
      <w:r w:rsidR="007F54F8">
        <w:t>r to use some combination of the factors and Plan Bay Area)</w:t>
      </w:r>
      <w:r w:rsidR="003177AD">
        <w:t>.</w:t>
      </w:r>
      <w:r w:rsidR="00694278">
        <w:t xml:space="preserve"> </w:t>
      </w:r>
      <w:r w:rsidR="007F54F8">
        <w:t xml:space="preserve">The Methodology Committee </w:t>
      </w:r>
      <w:r w:rsidR="00127EF7">
        <w:t xml:space="preserve">expressed </w:t>
      </w:r>
      <w:r w:rsidR="004627C3">
        <w:t xml:space="preserve">a </w:t>
      </w:r>
      <w:r w:rsidR="00127EF7">
        <w:t xml:space="preserve">preference to see the results of Plan Bay Area in July before deciding how much to use the plan as </w:t>
      </w:r>
      <w:r w:rsidR="00694278">
        <w:t>a</w:t>
      </w:r>
      <w:r w:rsidR="00127EF7">
        <w:t>n input for the methodology (if at all).</w:t>
      </w:r>
    </w:p>
    <w:p w14:paraId="2DB6936E" w14:textId="77777777" w:rsidR="00887A62" w:rsidRPr="00736ED2" w:rsidRDefault="00887A62" w:rsidP="001A4966">
      <w:pPr>
        <w:rPr>
          <w:b/>
          <w:sz w:val="28"/>
          <w:szCs w:val="28"/>
        </w:rPr>
      </w:pPr>
      <w:r w:rsidRPr="00736ED2">
        <w:rPr>
          <w:b/>
          <w:sz w:val="28"/>
          <w:szCs w:val="28"/>
        </w:rPr>
        <w:t>Implications for Santa Clara County</w:t>
      </w:r>
    </w:p>
    <w:p w14:paraId="5042BCA6" w14:textId="542ADB60" w:rsidR="00E10F0F" w:rsidRDefault="00E10F0F" w:rsidP="001A4966">
      <w:r>
        <w:t xml:space="preserve">It is difficult at this point to predict </w:t>
      </w:r>
      <w:r w:rsidR="00694278">
        <w:t>what the outcome of the RHNA process will be</w:t>
      </w:r>
      <w:r>
        <w:t xml:space="preserve"> for Santa Clara County</w:t>
      </w:r>
      <w:r w:rsidR="00694278">
        <w:t xml:space="preserve"> jurisdictions</w:t>
      </w:r>
      <w:r>
        <w:t xml:space="preserve">. </w:t>
      </w:r>
      <w:r w:rsidR="0092289B">
        <w:t>That said</w:t>
      </w:r>
      <w:r>
        <w:t xml:space="preserve">, </w:t>
      </w:r>
      <w:r w:rsidR="0092289B">
        <w:t>we expect</w:t>
      </w:r>
      <w:r w:rsidR="00694278">
        <w:t xml:space="preserve"> that the overall regional </w:t>
      </w:r>
      <w:r w:rsidR="0092289B">
        <w:t xml:space="preserve">growth </w:t>
      </w:r>
      <w:r w:rsidR="00694278">
        <w:t xml:space="preserve">projection will be </w:t>
      </w:r>
      <w:r w:rsidR="0092289B">
        <w:t>around</w:t>
      </w:r>
      <w:r w:rsidR="00694278">
        <w:t xml:space="preserve"> 20% over the eight-year period. Without any weighting, </w:t>
      </w:r>
      <w:r w:rsidR="0092289B">
        <w:t>t</w:t>
      </w:r>
      <w:r w:rsidR="0078360A">
        <w:t>his would correspond to</w:t>
      </w:r>
      <w:r w:rsidR="004627C3">
        <w:t xml:space="preserve"> </w:t>
      </w:r>
      <w:r w:rsidR="0078360A">
        <w:t xml:space="preserve">approximately doubling the previous RHNA for Santa Clara County jurisdictions.  </w:t>
      </w:r>
    </w:p>
    <w:p w14:paraId="2B4C1668" w14:textId="77777777" w:rsidR="003E553F" w:rsidRDefault="0078360A" w:rsidP="001A4966">
      <w:r>
        <w:t>However,</w:t>
      </w:r>
      <w:r w:rsidR="00E10F0F">
        <w:t xml:space="preserve"> state law requirements, best planning practices, and comments from Housing </w:t>
      </w:r>
      <w:r>
        <w:t>Methodology</w:t>
      </w:r>
      <w:r w:rsidR="00E10F0F">
        <w:t xml:space="preserve"> </w:t>
      </w:r>
      <w:r>
        <w:t>Committee members imply that the allocation for Santa Clara County may be much higher. There are a few categories of cities that are more likely to have significantly higher RHNA numbers. These include:</w:t>
      </w:r>
    </w:p>
    <w:p w14:paraId="21044F0D" w14:textId="0B2EC832" w:rsidR="0078360A" w:rsidRDefault="0020006D" w:rsidP="0078360A">
      <w:pPr>
        <w:pStyle w:val="ListParagraph"/>
        <w:numPr>
          <w:ilvl w:val="0"/>
          <w:numId w:val="5"/>
        </w:numPr>
      </w:pPr>
      <w:r>
        <w:t xml:space="preserve">Job rich cities – Cities may be expected to close some or all of their jobs/housing </w:t>
      </w:r>
      <w:r w:rsidR="0092289B">
        <w:t>imbalance</w:t>
      </w:r>
      <w:r>
        <w:t xml:space="preserve"> as part of the RHNA process. </w:t>
      </w:r>
      <w:r w:rsidR="00C26A54">
        <w:t>Many members of the RHNA methodology committee ha</w:t>
      </w:r>
      <w:r w:rsidR="004627C3">
        <w:t>ve</w:t>
      </w:r>
      <w:r w:rsidR="00C26A54">
        <w:t xml:space="preserve"> </w:t>
      </w:r>
      <w:r w:rsidR="00151530">
        <w:t>said</w:t>
      </w:r>
      <w:r w:rsidR="00C26A54">
        <w:t xml:space="preserve"> that </w:t>
      </w:r>
      <w:r w:rsidR="00C26A54">
        <w:lastRenderedPageBreak/>
        <w:t>they want employment to be the primary driver o</w:t>
      </w:r>
      <w:r w:rsidR="009B4A08">
        <w:t xml:space="preserve">f RHNA. </w:t>
      </w:r>
      <w:r w:rsidR="003D08E9">
        <w:t xml:space="preserve">The current visualization tool does not reflect this desire, but this may change. </w:t>
      </w:r>
      <w:r w:rsidR="009B4A08">
        <w:t>See Appendix A for a list of job rich cities</w:t>
      </w:r>
      <w:r w:rsidR="00C26A54">
        <w:t xml:space="preserve">. </w:t>
      </w:r>
    </w:p>
    <w:p w14:paraId="3D597333" w14:textId="1CC2E33C" w:rsidR="0078360A" w:rsidRDefault="0078360A" w:rsidP="0020006D">
      <w:pPr>
        <w:pStyle w:val="ListParagraph"/>
        <w:numPr>
          <w:ilvl w:val="0"/>
          <w:numId w:val="5"/>
        </w:numPr>
      </w:pPr>
      <w:r>
        <w:t xml:space="preserve">Small towns near job rich cities </w:t>
      </w:r>
      <w:r w:rsidR="0020006D">
        <w:t>– In Southern California, the methodology greatly increased RHNA numbers for small, residential towns near job centers. For example, W</w:t>
      </w:r>
      <w:r w:rsidR="0092289B">
        <w:t>est</w:t>
      </w:r>
      <w:r w:rsidR="0020006D">
        <w:t xml:space="preserve"> Hollywood’s RHNA increased from 77 to </w:t>
      </w:r>
      <w:r w:rsidR="0020006D" w:rsidRPr="0020006D">
        <w:t>3,460</w:t>
      </w:r>
      <w:r w:rsidR="0020006D">
        <w:t>.</w:t>
      </w:r>
      <w:r w:rsidR="003D08E9">
        <w:t xml:space="preserve"> Current</w:t>
      </w:r>
      <w:r w:rsidR="00D4015F">
        <w:t>ly</w:t>
      </w:r>
      <w:r w:rsidR="003D08E9">
        <w:t xml:space="preserve">, the </w:t>
      </w:r>
      <w:r w:rsidR="00D4015F">
        <w:t xml:space="preserve">visualization tool does not predict this, but it is a possibility. </w:t>
      </w:r>
    </w:p>
    <w:p w14:paraId="2BA53E53" w14:textId="77777777" w:rsidR="0078360A" w:rsidRDefault="0078360A" w:rsidP="0078360A">
      <w:pPr>
        <w:pStyle w:val="ListParagraph"/>
        <w:numPr>
          <w:ilvl w:val="0"/>
          <w:numId w:val="5"/>
        </w:numPr>
      </w:pPr>
      <w:r>
        <w:t>Cities with good public transportation networks</w:t>
      </w:r>
      <w:r w:rsidR="00C26A54">
        <w:t xml:space="preserve"> </w:t>
      </w:r>
      <w:r w:rsidR="00D4015F">
        <w:t xml:space="preserve">– ABAG may choose to put more RHNA near cities with access to public transportation to reduce greenhouse gasses. </w:t>
      </w:r>
    </w:p>
    <w:p w14:paraId="7D54C4F9" w14:textId="77777777" w:rsidR="0078360A" w:rsidRDefault="0078360A" w:rsidP="0078360A">
      <w:pPr>
        <w:pStyle w:val="ListParagraph"/>
        <w:numPr>
          <w:ilvl w:val="0"/>
          <w:numId w:val="5"/>
        </w:numPr>
      </w:pPr>
      <w:r>
        <w:t xml:space="preserve">Cities with </w:t>
      </w:r>
      <w:r w:rsidR="0020006D">
        <w:t xml:space="preserve">opportunity areas </w:t>
      </w:r>
      <w:r w:rsidR="00C26A54">
        <w:t>–</w:t>
      </w:r>
      <w:r w:rsidR="0020006D">
        <w:t xml:space="preserve"> </w:t>
      </w:r>
      <w:r w:rsidR="00D4015F">
        <w:t xml:space="preserve">Housing methodology committee members have also expressed a strong interest in having more housing in areas of high opportunity (low poverty, good schools, etc.)  </w:t>
      </w:r>
      <w:r w:rsidR="00C26A54">
        <w:t xml:space="preserve">This would </w:t>
      </w:r>
      <w:r w:rsidR="00D4015F">
        <w:t>most significantly affect</w:t>
      </w:r>
      <w:r w:rsidR="00C26A54">
        <w:t xml:space="preserve"> </w:t>
      </w:r>
      <w:r w:rsidR="00953086">
        <w:t>northern</w:t>
      </w:r>
      <w:r w:rsidR="00C26A54">
        <w:t xml:space="preserve"> Santa Clara County and West Valley cities. See Appendix </w:t>
      </w:r>
      <w:r w:rsidR="009B4A08">
        <w:t>B</w:t>
      </w:r>
      <w:r w:rsidR="00C26A54">
        <w:t xml:space="preserve">. </w:t>
      </w:r>
    </w:p>
    <w:p w14:paraId="381587F5" w14:textId="77777777" w:rsidR="004627C3" w:rsidRDefault="004627C3" w:rsidP="004627C3">
      <w:r>
        <w:t xml:space="preserve">Interested stakeholders are encouraged to learn more by using ABAG’s visualization tool, </w:t>
      </w:r>
      <w:hyperlink r:id="rId9" w:history="1">
        <w:r w:rsidRPr="007F7D2B">
          <w:rPr>
            <w:rStyle w:val="Hyperlink"/>
          </w:rPr>
          <w:t>https://rhna-factors.mtcanalytics.org/</w:t>
        </w:r>
      </w:hyperlink>
      <w:r>
        <w:t xml:space="preserve">. Keep in mind, the tool is educational in nature and not predictive. </w:t>
      </w:r>
    </w:p>
    <w:p w14:paraId="2D0D9374" w14:textId="77777777" w:rsidR="004627C3" w:rsidRDefault="004627C3"/>
    <w:tbl>
      <w:tblPr>
        <w:tblW w:w="9431" w:type="dxa"/>
        <w:tblLook w:val="04A0" w:firstRow="1" w:lastRow="0" w:firstColumn="1" w:lastColumn="0" w:noHBand="0" w:noVBand="1"/>
      </w:tblPr>
      <w:tblGrid>
        <w:gridCol w:w="2511"/>
        <w:gridCol w:w="1344"/>
        <w:gridCol w:w="1384"/>
        <w:gridCol w:w="2412"/>
        <w:gridCol w:w="1344"/>
        <w:gridCol w:w="436"/>
      </w:tblGrid>
      <w:tr w:rsidR="00C26A54" w:rsidRPr="00C26A54" w14:paraId="364086E1" w14:textId="77777777" w:rsidTr="00D4015F">
        <w:trPr>
          <w:trHeight w:val="192"/>
        </w:trPr>
        <w:tc>
          <w:tcPr>
            <w:tcW w:w="5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8D9F" w14:textId="77777777" w:rsid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Appendix A</w:t>
            </w:r>
          </w:p>
          <w:p w14:paraId="00EC0DB8" w14:textId="77777777" w:rsid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2C91897" w14:textId="77777777" w:rsidR="00151530" w:rsidRPr="00151530" w:rsidRDefault="00151530" w:rsidP="00C26A5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  <w:p w14:paraId="17C10BE2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New Units Needed to Close Jobs/Housing Gap </w:t>
            </w:r>
            <w:r w:rsidR="00151530">
              <w:rPr>
                <w:rFonts w:ascii="Calibri" w:eastAsia="Times New Roman" w:hAnsi="Calibri" w:cs="Calibri"/>
                <w:b/>
                <w:bCs/>
                <w:color w:val="000000"/>
              </w:rPr>
              <w:t>(Job Rich Cities Only)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AB53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145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000C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A54" w:rsidRPr="00C26A54" w14:paraId="756F32BB" w14:textId="77777777" w:rsidTr="00D4015F">
        <w:trPr>
          <w:trHeight w:val="642"/>
        </w:trPr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33A41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5ECB9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Jobs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65DD7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Employed Residents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ADB18" w14:textId="37E788C4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Potential RHNA if Cities Are Expected to Close Job/Housing Gap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40754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Existing RHNA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9F2AB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C26A54" w:rsidRPr="00C26A54" w14:paraId="6217C316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A1B02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Campbell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E4E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31,825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D6A0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24,010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A94F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  5,582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2C26A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933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5D29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77011C7C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410FD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Cupertino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C8643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40,658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95B3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29,575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DA4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  7,916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1B9EE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1,064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9FE6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62644100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EAA66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Los Altos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BCD84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16,880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81F36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15,415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25341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  1,046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A92C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477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6DE8B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2D655C4D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9A48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Los Gatos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18A9C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20,425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3CF7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16,795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2B5B5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  2,593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1C2C2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619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7CCC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72BB947E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2C6AC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Milpitas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8003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51,500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D086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42,440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791ED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  6,471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604A5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3,290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CF5BA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5A6113ED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A142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Mountain View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21A4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95,309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610D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64,710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E0CB6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21,856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658E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2,926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BE59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69F1D15C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62C2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Palo Alto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78962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99,420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E7DCB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45,650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CC511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38,407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DB5E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1,988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C75D8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1D5D44F1" w14:textId="77777777" w:rsidTr="00D4015F">
        <w:trPr>
          <w:trHeight w:val="143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993DB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Santa Clara City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25C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165,255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92361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70,500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F2E61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67,682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3FE4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4,093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E2F3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162EA00B" w14:textId="77777777" w:rsidTr="00D4015F">
        <w:trPr>
          <w:trHeight w:val="191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A207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A54">
              <w:rPr>
                <w:rFonts w:ascii="Calibri" w:eastAsia="Times New Roman" w:hAnsi="Calibri" w:cs="Calibri"/>
                <w:b/>
                <w:bCs/>
                <w:color w:val="000000"/>
              </w:rPr>
              <w:t>Sunnyvale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A8AA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97,170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17A36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82,330 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A0963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     10,600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F567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 xml:space="preserve">               5,452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6A79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6A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26A54" w:rsidRPr="00C26A54" w14:paraId="158E2500" w14:textId="77777777" w:rsidTr="00D4015F">
        <w:trPr>
          <w:trHeight w:val="192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1AF" w14:textId="77777777" w:rsidR="00C26A54" w:rsidRPr="00C26A54" w:rsidRDefault="00C26A54" w:rsidP="00C26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F614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D40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8DE1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AB1C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17C1" w14:textId="77777777" w:rsidR="00C26A54" w:rsidRPr="00C26A54" w:rsidRDefault="00C26A54" w:rsidP="00C2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6A54" w:rsidRPr="00C26A54" w14:paraId="4DA6E68C" w14:textId="77777777" w:rsidTr="00C26A54">
        <w:trPr>
          <w:trHeight w:val="552"/>
        </w:trPr>
        <w:tc>
          <w:tcPr>
            <w:tcW w:w="9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E3B55" w14:textId="7E1074A4" w:rsidR="00C26A54" w:rsidRPr="00C26A54" w:rsidRDefault="009127A2" w:rsidP="00912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Notes: Uses city jobs d</w:t>
            </w:r>
            <w:r w:rsidR="00C26A54" w:rsidRPr="00C26A54">
              <w:rPr>
                <w:rFonts w:ascii="Calibri" w:eastAsia="Times New Roman" w:hAnsi="Calibri" w:cs="Calibri"/>
                <w:color w:val="000000"/>
              </w:rPr>
              <w:t xml:space="preserve">ata </w:t>
            </w:r>
            <w:r>
              <w:rPr>
                <w:rFonts w:ascii="Calibri" w:eastAsia="Times New Roman" w:hAnsi="Calibri" w:cs="Calibri"/>
                <w:color w:val="000000"/>
              </w:rPr>
              <w:t>when</w:t>
            </w:r>
            <w:r w:rsidR="00C26A54" w:rsidRPr="00C26A54">
              <w:rPr>
                <w:rFonts w:ascii="Calibri" w:eastAsia="Times New Roman" w:hAnsi="Calibri" w:cs="Calibri"/>
                <w:color w:val="000000"/>
              </w:rPr>
              <w:t xml:space="preserve"> available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ABAG projections </w:t>
            </w:r>
            <w:r w:rsidR="0092289B">
              <w:rPr>
                <w:rFonts w:ascii="Calibri" w:eastAsia="Times New Roman" w:hAnsi="Calibri" w:cs="Calibri"/>
                <w:color w:val="000000"/>
              </w:rPr>
              <w:t>when not</w:t>
            </w:r>
            <w:r w:rsidR="00C26A54" w:rsidRPr="00C26A54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="0092289B">
              <w:rPr>
                <w:rFonts w:ascii="Calibri" w:eastAsia="Times New Roman" w:hAnsi="Calibri" w:cs="Calibri"/>
                <w:color w:val="000000"/>
              </w:rPr>
              <w:t xml:space="preserve">Employed Residents based on </w:t>
            </w:r>
            <w:r w:rsidR="00C26A54" w:rsidRPr="00C26A54">
              <w:rPr>
                <w:rFonts w:ascii="Calibri" w:eastAsia="Times New Roman" w:hAnsi="Calibri" w:cs="Calibri"/>
                <w:color w:val="000000"/>
              </w:rPr>
              <w:t xml:space="preserve">ABAG projections.  Assumes 1.4 employees for household. Cities with more housing than jobs not shown. </w:t>
            </w:r>
          </w:p>
        </w:tc>
      </w:tr>
    </w:tbl>
    <w:p w14:paraId="518DC3D8" w14:textId="77777777" w:rsidR="0078360A" w:rsidRPr="0020006D" w:rsidRDefault="00C26A54" w:rsidP="0078360A">
      <w:pPr>
        <w:rPr>
          <w:b/>
        </w:rPr>
      </w:pPr>
      <w:bookmarkStart w:id="0" w:name="_GoBack"/>
      <w:bookmarkEnd w:id="0"/>
      <w:r>
        <w:rPr>
          <w:b/>
        </w:rPr>
        <w:lastRenderedPageBreak/>
        <w:t>Appendix B</w:t>
      </w:r>
    </w:p>
    <w:p w14:paraId="469F086A" w14:textId="77777777" w:rsidR="0020006D" w:rsidRDefault="0020006D" w:rsidP="0078360A">
      <w:r>
        <w:t xml:space="preserve">The dark blue and lighter blue represent areas with high Opportunity Index scores, which may correspond to higher RHNA numbers. </w:t>
      </w:r>
    </w:p>
    <w:p w14:paraId="5E12A744" w14:textId="77777777" w:rsidR="0078360A" w:rsidRDefault="005D154D" w:rsidP="0078360A">
      <w:r>
        <w:rPr>
          <w:noProof/>
        </w:rPr>
        <w:drawing>
          <wp:inline distT="0" distB="0" distL="0" distR="0" wp14:anchorId="5EEB313F" wp14:editId="7FCD19BF">
            <wp:extent cx="5943600" cy="3896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7D6F7" w14:textId="77777777" w:rsidR="0078360A" w:rsidRDefault="0078360A" w:rsidP="0078360A"/>
    <w:p w14:paraId="1DEE6D7E" w14:textId="77777777" w:rsidR="006344EB" w:rsidRPr="00C42B1A" w:rsidRDefault="0020006D" w:rsidP="009127A2">
      <w:r>
        <w:rPr>
          <w:noProof/>
        </w:rPr>
        <w:drawing>
          <wp:anchor distT="0" distB="0" distL="114300" distR="114300" simplePos="0" relativeHeight="251659264" behindDoc="0" locked="0" layoutInCell="1" allowOverlap="1" wp14:anchorId="7A61A8BF" wp14:editId="0F93AB0A">
            <wp:simplePos x="0" y="0"/>
            <wp:positionH relativeFrom="column">
              <wp:posOffset>-175260</wp:posOffset>
            </wp:positionH>
            <wp:positionV relativeFrom="paragraph">
              <wp:posOffset>254000</wp:posOffset>
            </wp:positionV>
            <wp:extent cx="2522220" cy="1487304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48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006D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1557A8" wp14:editId="60D08446">
            <wp:simplePos x="0" y="0"/>
            <wp:positionH relativeFrom="column">
              <wp:posOffset>2933700</wp:posOffset>
            </wp:positionH>
            <wp:positionV relativeFrom="paragraph">
              <wp:posOffset>147955</wp:posOffset>
            </wp:positionV>
            <wp:extent cx="2339340" cy="27508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5" t="10679" r="21282" b="4653"/>
                    <a:stretch/>
                  </pic:blipFill>
                  <pic:spPr bwMode="auto">
                    <a:xfrm>
                      <a:off x="0" y="0"/>
                      <a:ext cx="2339340" cy="275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2B1A">
        <w:tab/>
      </w:r>
    </w:p>
    <w:sectPr w:rsidR="006344EB" w:rsidRPr="00C42B1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0FC89" w16cex:dateUtc="2020-06-02T23:27:00Z"/>
  <w16cex:commentExtensible w16cex:durableId="2281015E" w16cex:dateUtc="2020-06-02T23:48:00Z"/>
  <w16cex:commentExtensible w16cex:durableId="22810346" w16cex:dateUtc="2020-06-02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C3DCDE" w16cid:durableId="2280FC89"/>
  <w16cid:commentId w16cid:paraId="61EFF4E5" w16cid:durableId="2281015E"/>
  <w16cid:commentId w16cid:paraId="78C4038D" w16cid:durableId="228103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3B81F" w14:textId="77777777" w:rsidR="008568E6" w:rsidRDefault="008568E6" w:rsidP="00C42B1A">
      <w:pPr>
        <w:spacing w:after="0" w:line="240" w:lineRule="auto"/>
      </w:pPr>
      <w:r>
        <w:separator/>
      </w:r>
    </w:p>
  </w:endnote>
  <w:endnote w:type="continuationSeparator" w:id="0">
    <w:p w14:paraId="0879521F" w14:textId="77777777" w:rsidR="008568E6" w:rsidRDefault="008568E6" w:rsidP="00C4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6745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4351A" w14:textId="6E9B927C" w:rsidR="008610A5" w:rsidRDefault="008610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0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76E241" w14:textId="77777777" w:rsidR="008610A5" w:rsidRDefault="008610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F0932" w14:textId="77777777" w:rsidR="008568E6" w:rsidRDefault="008568E6" w:rsidP="00C42B1A">
      <w:pPr>
        <w:spacing w:after="0" w:line="240" w:lineRule="auto"/>
      </w:pPr>
      <w:r>
        <w:separator/>
      </w:r>
    </w:p>
  </w:footnote>
  <w:footnote w:type="continuationSeparator" w:id="0">
    <w:p w14:paraId="477F1071" w14:textId="77777777" w:rsidR="008568E6" w:rsidRDefault="008568E6" w:rsidP="00C42B1A">
      <w:pPr>
        <w:spacing w:after="0" w:line="240" w:lineRule="auto"/>
      </w:pPr>
      <w:r>
        <w:continuationSeparator/>
      </w:r>
    </w:p>
  </w:footnote>
  <w:footnote w:id="1">
    <w:p w14:paraId="4A8F3BB8" w14:textId="77777777" w:rsidR="00E83D8F" w:rsidRDefault="00E83D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5E40">
        <w:rPr>
          <w:i/>
        </w:rPr>
        <w:t>P</w:t>
      </w:r>
      <w:r w:rsidRPr="00C42B1A">
        <w:rPr>
          <w:i/>
        </w:rPr>
        <w:t>ronounced REE nah</w:t>
      </w:r>
    </w:p>
  </w:footnote>
  <w:footnote w:id="2">
    <w:p w14:paraId="73F2EF76" w14:textId="77777777" w:rsidR="00C42B1A" w:rsidRDefault="00C42B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3D8F">
        <w:t>The Fall 2020 number is considered predraft, but will be a good indication. Final numbers are due Spring 2021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CA5"/>
    <w:multiLevelType w:val="hybridMultilevel"/>
    <w:tmpl w:val="3FEEF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C72"/>
    <w:multiLevelType w:val="hybridMultilevel"/>
    <w:tmpl w:val="4126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6303"/>
    <w:multiLevelType w:val="hybridMultilevel"/>
    <w:tmpl w:val="6110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03E45"/>
    <w:multiLevelType w:val="hybridMultilevel"/>
    <w:tmpl w:val="22EAD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D0BBA"/>
    <w:multiLevelType w:val="hybridMultilevel"/>
    <w:tmpl w:val="1DC6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45"/>
    <w:rsid w:val="00015086"/>
    <w:rsid w:val="000B0BA3"/>
    <w:rsid w:val="000D75C2"/>
    <w:rsid w:val="000E2938"/>
    <w:rsid w:val="00127EF7"/>
    <w:rsid w:val="00151530"/>
    <w:rsid w:val="00153B9F"/>
    <w:rsid w:val="00155BED"/>
    <w:rsid w:val="00182E63"/>
    <w:rsid w:val="00195BCF"/>
    <w:rsid w:val="001A4966"/>
    <w:rsid w:val="001B31DD"/>
    <w:rsid w:val="0020006D"/>
    <w:rsid w:val="00207191"/>
    <w:rsid w:val="002612A1"/>
    <w:rsid w:val="0026406A"/>
    <w:rsid w:val="00272858"/>
    <w:rsid w:val="002940F1"/>
    <w:rsid w:val="0029642E"/>
    <w:rsid w:val="002A2912"/>
    <w:rsid w:val="002C7246"/>
    <w:rsid w:val="002F5B65"/>
    <w:rsid w:val="00303810"/>
    <w:rsid w:val="0031353A"/>
    <w:rsid w:val="003177AD"/>
    <w:rsid w:val="003861A4"/>
    <w:rsid w:val="00386BB5"/>
    <w:rsid w:val="003A4609"/>
    <w:rsid w:val="003D08E9"/>
    <w:rsid w:val="003D6F32"/>
    <w:rsid w:val="003E553F"/>
    <w:rsid w:val="0040695D"/>
    <w:rsid w:val="00410187"/>
    <w:rsid w:val="00430F88"/>
    <w:rsid w:val="004627C3"/>
    <w:rsid w:val="00482C42"/>
    <w:rsid w:val="004871A5"/>
    <w:rsid w:val="004C4145"/>
    <w:rsid w:val="00510765"/>
    <w:rsid w:val="00554299"/>
    <w:rsid w:val="005D154D"/>
    <w:rsid w:val="005F30C9"/>
    <w:rsid w:val="006344EB"/>
    <w:rsid w:val="00691C87"/>
    <w:rsid w:val="00694278"/>
    <w:rsid w:val="006D5E40"/>
    <w:rsid w:val="00736ED2"/>
    <w:rsid w:val="00752E5D"/>
    <w:rsid w:val="007564DF"/>
    <w:rsid w:val="007726B3"/>
    <w:rsid w:val="0077670E"/>
    <w:rsid w:val="0078360A"/>
    <w:rsid w:val="00785872"/>
    <w:rsid w:val="007A411E"/>
    <w:rsid w:val="007B31F7"/>
    <w:rsid w:val="007F54F8"/>
    <w:rsid w:val="00816F80"/>
    <w:rsid w:val="008568E6"/>
    <w:rsid w:val="008610A5"/>
    <w:rsid w:val="00887A62"/>
    <w:rsid w:val="00893EA8"/>
    <w:rsid w:val="008A01F7"/>
    <w:rsid w:val="008E59E9"/>
    <w:rsid w:val="0090053C"/>
    <w:rsid w:val="009127A2"/>
    <w:rsid w:val="0092289B"/>
    <w:rsid w:val="00941C24"/>
    <w:rsid w:val="00950049"/>
    <w:rsid w:val="00953086"/>
    <w:rsid w:val="00962512"/>
    <w:rsid w:val="00986E3F"/>
    <w:rsid w:val="009B4A08"/>
    <w:rsid w:val="009D4AF1"/>
    <w:rsid w:val="00A07F76"/>
    <w:rsid w:val="00A31667"/>
    <w:rsid w:val="00A334D6"/>
    <w:rsid w:val="00A36262"/>
    <w:rsid w:val="00A45543"/>
    <w:rsid w:val="00A71CF2"/>
    <w:rsid w:val="00A81C5C"/>
    <w:rsid w:val="00A8524B"/>
    <w:rsid w:val="00AE488A"/>
    <w:rsid w:val="00AF1A10"/>
    <w:rsid w:val="00B73DCA"/>
    <w:rsid w:val="00BF2C60"/>
    <w:rsid w:val="00C26A54"/>
    <w:rsid w:val="00C42B1A"/>
    <w:rsid w:val="00C44BDE"/>
    <w:rsid w:val="00C52AE4"/>
    <w:rsid w:val="00C768EB"/>
    <w:rsid w:val="00C90184"/>
    <w:rsid w:val="00CE3AF3"/>
    <w:rsid w:val="00D4015F"/>
    <w:rsid w:val="00D57282"/>
    <w:rsid w:val="00D823FF"/>
    <w:rsid w:val="00D82D9E"/>
    <w:rsid w:val="00D960F3"/>
    <w:rsid w:val="00D97F68"/>
    <w:rsid w:val="00DB6429"/>
    <w:rsid w:val="00DD2735"/>
    <w:rsid w:val="00E10F0F"/>
    <w:rsid w:val="00E12769"/>
    <w:rsid w:val="00E52B43"/>
    <w:rsid w:val="00E6028A"/>
    <w:rsid w:val="00E80446"/>
    <w:rsid w:val="00E83D8F"/>
    <w:rsid w:val="00EA2439"/>
    <w:rsid w:val="00EA5678"/>
    <w:rsid w:val="00EA6BFC"/>
    <w:rsid w:val="00EB6FC0"/>
    <w:rsid w:val="00F474C7"/>
    <w:rsid w:val="00FA283C"/>
    <w:rsid w:val="00FA4F3D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B34B"/>
  <w15:chartTrackingRefBased/>
  <w15:docId w15:val="{3C6F162C-A741-4843-AF59-12A5CED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42B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B1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7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0C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0C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30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0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0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0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A5"/>
  </w:style>
  <w:style w:type="paragraph" w:styleId="Footer">
    <w:name w:val="footer"/>
    <w:basedOn w:val="Normal"/>
    <w:link w:val="FooterChar"/>
    <w:uiPriority w:val="99"/>
    <w:unhideWhenUsed/>
    <w:rsid w:val="0086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na-factors.mtcanalytics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hna-factors.mtcanalytic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0C50-312A-4291-AC32-81CE915B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Abrams</dc:creator>
  <cp:keywords/>
  <dc:description/>
  <cp:lastModifiedBy>Joshua Abrams</cp:lastModifiedBy>
  <cp:revision>4</cp:revision>
  <dcterms:created xsi:type="dcterms:W3CDTF">2020-06-03T03:07:00Z</dcterms:created>
  <dcterms:modified xsi:type="dcterms:W3CDTF">2020-06-03T03:09:00Z</dcterms:modified>
</cp:coreProperties>
</file>