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05E5A" w14:textId="77777777" w:rsidR="004D6EEA" w:rsidRDefault="004D6EEA">
      <w:pPr>
        <w:jc w:val="both"/>
        <w:rPr>
          <w:rFonts w:ascii="Times New Roman" w:hAnsi="Times New Roman"/>
        </w:rPr>
      </w:pPr>
    </w:p>
    <w:p w14:paraId="6287C9C3" w14:textId="0901F801" w:rsidR="00740E47" w:rsidRPr="003B5C98" w:rsidRDefault="00740E47" w:rsidP="00740E47">
      <w:pPr>
        <w:pStyle w:val="BodyText"/>
        <w:jc w:val="left"/>
        <w:rPr>
          <w:b/>
          <w:smallCaps/>
          <w:color w:val="000000"/>
        </w:rPr>
      </w:pPr>
      <w:r w:rsidRPr="003B5C98">
        <w:rPr>
          <w:b/>
          <w:smallCaps/>
          <w:color w:val="000000"/>
        </w:rPr>
        <w:t>Background</w:t>
      </w:r>
      <w:r>
        <w:rPr>
          <w:b/>
          <w:smallCaps/>
          <w:color w:val="000000"/>
        </w:rPr>
        <w:t>/Discussion</w:t>
      </w:r>
    </w:p>
    <w:p w14:paraId="2D0F9CE0" w14:textId="77777777" w:rsidR="0085123F" w:rsidRDefault="0085123F" w:rsidP="0085123F">
      <w:pPr>
        <w:pStyle w:val="Default"/>
        <w:rPr>
          <w:rFonts w:ascii="Times New Roman" w:hAnsi="Times New Roman" w:cs="Times New Roman"/>
        </w:rPr>
      </w:pPr>
    </w:p>
    <w:p w14:paraId="3849DFEB" w14:textId="28C18903" w:rsidR="00F82C6A" w:rsidRDefault="00FB2C08" w:rsidP="007D0FDC">
      <w:pPr>
        <w:pStyle w:val="Default"/>
        <w:rPr>
          <w:rFonts w:ascii="Times New Roman" w:hAnsi="Times New Roman" w:cs="Times New Roman"/>
        </w:rPr>
      </w:pPr>
      <w:r>
        <w:rPr>
          <w:rFonts w:ascii="Times New Roman" w:hAnsi="Times New Roman" w:cs="Times New Roman"/>
        </w:rPr>
        <w:t xml:space="preserve">This memo </w:t>
      </w:r>
      <w:r w:rsidR="00BF1D7E">
        <w:rPr>
          <w:rFonts w:ascii="Times New Roman" w:hAnsi="Times New Roman" w:cs="Times New Roman"/>
        </w:rPr>
        <w:t>provides an update</w:t>
      </w:r>
      <w:r>
        <w:rPr>
          <w:rFonts w:ascii="Times New Roman" w:hAnsi="Times New Roman" w:cs="Times New Roman"/>
        </w:rPr>
        <w:t xml:space="preserve"> on the </w:t>
      </w:r>
      <w:r w:rsidR="00F82C6A">
        <w:rPr>
          <w:rFonts w:ascii="Times New Roman" w:hAnsi="Times New Roman" w:cs="Times New Roman"/>
        </w:rPr>
        <w:t xml:space="preserve">RHNA 6 </w:t>
      </w:r>
      <w:r>
        <w:rPr>
          <w:rFonts w:ascii="Times New Roman" w:hAnsi="Times New Roman" w:cs="Times New Roman"/>
        </w:rPr>
        <w:t xml:space="preserve">Housing Element Update process. </w:t>
      </w:r>
      <w:r w:rsidR="00F82C6A">
        <w:rPr>
          <w:rFonts w:ascii="Times New Roman" w:hAnsi="Times New Roman" w:cs="Times New Roman"/>
        </w:rPr>
        <w:t>In particular, it focuses on the</w:t>
      </w:r>
      <w:r w:rsidR="00BB11FE">
        <w:rPr>
          <w:rFonts w:ascii="Times New Roman" w:hAnsi="Times New Roman" w:cs="Times New Roman"/>
        </w:rPr>
        <w:t xml:space="preserve"> </w:t>
      </w:r>
      <w:r w:rsidR="0085123F" w:rsidRPr="0085123F">
        <w:rPr>
          <w:rFonts w:ascii="Times New Roman" w:hAnsi="Times New Roman" w:cs="Times New Roman"/>
        </w:rPr>
        <w:t>Regional Housing Needs Allocation (RHNA)</w:t>
      </w:r>
      <w:r w:rsidR="00F82C6A">
        <w:rPr>
          <w:rFonts w:ascii="Times New Roman" w:hAnsi="Times New Roman" w:cs="Times New Roman"/>
        </w:rPr>
        <w:t>.</w:t>
      </w:r>
    </w:p>
    <w:p w14:paraId="3ABCCCE7" w14:textId="77777777" w:rsidR="00F82C6A" w:rsidRDefault="00F82C6A" w:rsidP="007D0FDC">
      <w:pPr>
        <w:pStyle w:val="Default"/>
        <w:rPr>
          <w:rFonts w:ascii="Times New Roman" w:hAnsi="Times New Roman" w:cs="Times New Roman"/>
        </w:rPr>
      </w:pPr>
    </w:p>
    <w:p w14:paraId="2782456B" w14:textId="23F38C06" w:rsidR="00826E01" w:rsidRDefault="00F82C6A" w:rsidP="007D0FDC">
      <w:pPr>
        <w:pStyle w:val="Default"/>
        <w:rPr>
          <w:rFonts w:ascii="Times New Roman" w:hAnsi="Times New Roman" w:cs="Times New Roman"/>
        </w:rPr>
      </w:pPr>
      <w:r>
        <w:rPr>
          <w:rFonts w:ascii="Times New Roman" w:hAnsi="Times New Roman" w:cs="Times New Roman"/>
        </w:rPr>
        <w:t>Key deadlines for Housing Elements are summarized below:</w:t>
      </w:r>
      <w:r w:rsidR="007D0FDC">
        <w:rPr>
          <w:rFonts w:ascii="Times New Roman" w:hAnsi="Times New Roman" w:cs="Times New Roman"/>
        </w:rPr>
        <w:t xml:space="preserve"> </w:t>
      </w:r>
    </w:p>
    <w:p w14:paraId="685D81F7" w14:textId="746E445A" w:rsidR="00826E01" w:rsidRDefault="00F82C6A" w:rsidP="00F82C6A">
      <w:pPr>
        <w:pStyle w:val="Default"/>
        <w:tabs>
          <w:tab w:val="left" w:pos="8664"/>
        </w:tabs>
        <w:rPr>
          <w:rFonts w:ascii="Times New Roman" w:hAnsi="Times New Roman" w:cs="Times New Roman"/>
        </w:rPr>
      </w:pPr>
      <w:r>
        <w:rPr>
          <w:rFonts w:ascii="Times New Roman" w:hAnsi="Times New Roman" w:cs="Times New Roman"/>
        </w:rPr>
        <w:tab/>
      </w:r>
    </w:p>
    <w:p w14:paraId="3EC68A8B" w14:textId="588838E5" w:rsidR="00FB2C08" w:rsidRPr="00FB2C08" w:rsidRDefault="00E85A9C" w:rsidP="00FB2C08">
      <w:pPr>
        <w:pStyle w:val="Default"/>
        <w:rPr>
          <w:rFonts w:ascii="Times New Roman" w:hAnsi="Times New Roman" w:cs="Times New Roman"/>
        </w:rPr>
      </w:pPr>
      <w:r>
        <w:rPr>
          <w:rFonts w:ascii="Times New Roman" w:hAnsi="Times New Roman" w:cs="Times New Roman"/>
        </w:rPr>
        <w:t xml:space="preserve">June 2020 </w:t>
      </w:r>
      <w:r>
        <w:rPr>
          <w:rFonts w:ascii="Times New Roman" w:hAnsi="Times New Roman" w:cs="Times New Roman"/>
        </w:rPr>
        <w:tab/>
        <w:t>HCD released</w:t>
      </w:r>
      <w:r w:rsidR="00FB2C08" w:rsidRPr="00FB2C08">
        <w:rPr>
          <w:rFonts w:ascii="Times New Roman" w:hAnsi="Times New Roman" w:cs="Times New Roman"/>
        </w:rPr>
        <w:t xml:space="preserve"> number for the region</w:t>
      </w:r>
    </w:p>
    <w:p w14:paraId="61BDC8FE" w14:textId="2D9EFD19" w:rsidR="00FB2C08" w:rsidRPr="00FB2C08" w:rsidRDefault="00E85A9C" w:rsidP="00FB2C08">
      <w:pPr>
        <w:pStyle w:val="Default"/>
        <w:rPr>
          <w:rFonts w:ascii="Times New Roman" w:hAnsi="Times New Roman" w:cs="Times New Roman"/>
        </w:rPr>
      </w:pPr>
      <w:r>
        <w:rPr>
          <w:rFonts w:ascii="Times New Roman" w:hAnsi="Times New Roman" w:cs="Times New Roman"/>
        </w:rPr>
        <w:t xml:space="preserve">July 2020 </w:t>
      </w:r>
      <w:r>
        <w:rPr>
          <w:rFonts w:ascii="Times New Roman" w:hAnsi="Times New Roman" w:cs="Times New Roman"/>
        </w:rPr>
        <w:tab/>
      </w:r>
      <w:r w:rsidR="00FB2C08" w:rsidRPr="00FB2C08">
        <w:rPr>
          <w:rFonts w:ascii="Times New Roman" w:hAnsi="Times New Roman" w:cs="Times New Roman"/>
        </w:rPr>
        <w:t>Draft Blueprint (which may affect RHNA allocations)</w:t>
      </w:r>
    </w:p>
    <w:p w14:paraId="48D49196" w14:textId="516E26A6" w:rsidR="00FB2C08" w:rsidRPr="00FB2C08" w:rsidRDefault="00E85A9C" w:rsidP="00FB2C08">
      <w:pPr>
        <w:pStyle w:val="Default"/>
        <w:rPr>
          <w:rFonts w:ascii="Times New Roman" w:hAnsi="Times New Roman" w:cs="Times New Roman"/>
        </w:rPr>
      </w:pPr>
      <w:r>
        <w:rPr>
          <w:rFonts w:ascii="Times New Roman" w:hAnsi="Times New Roman" w:cs="Times New Roman"/>
        </w:rPr>
        <w:t xml:space="preserve">Fall 2020 </w:t>
      </w:r>
      <w:r>
        <w:rPr>
          <w:rFonts w:ascii="Times New Roman" w:hAnsi="Times New Roman" w:cs="Times New Roman"/>
        </w:rPr>
        <w:tab/>
      </w:r>
      <w:r w:rsidR="00FB2C08" w:rsidRPr="00FB2C08">
        <w:rPr>
          <w:rFonts w:ascii="Times New Roman" w:hAnsi="Times New Roman" w:cs="Times New Roman"/>
        </w:rPr>
        <w:t xml:space="preserve">Draft methodology / </w:t>
      </w:r>
      <w:r>
        <w:rPr>
          <w:rFonts w:ascii="Times New Roman" w:hAnsi="Times New Roman" w:cs="Times New Roman"/>
        </w:rPr>
        <w:t>which may provide insight into the a</w:t>
      </w:r>
      <w:r w:rsidR="00FB2C08" w:rsidRPr="00FB2C08">
        <w:rPr>
          <w:rFonts w:ascii="Times New Roman" w:hAnsi="Times New Roman" w:cs="Times New Roman"/>
        </w:rPr>
        <w:t>llocations</w:t>
      </w:r>
    </w:p>
    <w:p w14:paraId="1DE2151D" w14:textId="39DB1FCF" w:rsidR="00FB2C08" w:rsidRPr="00FB2C08" w:rsidRDefault="00E85A9C" w:rsidP="00FB2C08">
      <w:pPr>
        <w:pStyle w:val="Default"/>
        <w:rPr>
          <w:rFonts w:ascii="Times New Roman" w:hAnsi="Times New Roman" w:cs="Times New Roman"/>
        </w:rPr>
      </w:pPr>
      <w:r>
        <w:rPr>
          <w:rFonts w:ascii="Times New Roman" w:hAnsi="Times New Roman" w:cs="Times New Roman"/>
        </w:rPr>
        <w:t xml:space="preserve">Dec 2020 </w:t>
      </w:r>
      <w:r>
        <w:rPr>
          <w:rFonts w:ascii="Times New Roman" w:hAnsi="Times New Roman" w:cs="Times New Roman"/>
        </w:rPr>
        <w:tab/>
      </w:r>
      <w:r w:rsidR="00FB2C08" w:rsidRPr="00FB2C08">
        <w:rPr>
          <w:rFonts w:ascii="Times New Roman" w:hAnsi="Times New Roman" w:cs="Times New Roman"/>
        </w:rPr>
        <w:t>Final Blueprint</w:t>
      </w:r>
    </w:p>
    <w:p w14:paraId="0550C96A" w14:textId="57885F75" w:rsidR="00FB2C08" w:rsidRPr="00FB2C08" w:rsidRDefault="00E85A9C" w:rsidP="00FB2C08">
      <w:pPr>
        <w:pStyle w:val="Default"/>
        <w:rPr>
          <w:rFonts w:ascii="Times New Roman" w:hAnsi="Times New Roman" w:cs="Times New Roman"/>
        </w:rPr>
      </w:pPr>
      <w:r>
        <w:rPr>
          <w:rFonts w:ascii="Times New Roman" w:hAnsi="Times New Roman" w:cs="Times New Roman"/>
        </w:rPr>
        <w:t xml:space="preserve">Spring 2021 </w:t>
      </w:r>
      <w:r>
        <w:rPr>
          <w:rFonts w:ascii="Times New Roman" w:hAnsi="Times New Roman" w:cs="Times New Roman"/>
        </w:rPr>
        <w:tab/>
      </w:r>
      <w:r w:rsidR="00FB2C08" w:rsidRPr="00FB2C08">
        <w:rPr>
          <w:rFonts w:ascii="Times New Roman" w:hAnsi="Times New Roman" w:cs="Times New Roman"/>
        </w:rPr>
        <w:t>Final methodology / draft allocations</w:t>
      </w:r>
    </w:p>
    <w:p w14:paraId="074B8CC0" w14:textId="421BA4AC" w:rsidR="00FB2C08" w:rsidRPr="00FB2C08" w:rsidRDefault="00E85A9C" w:rsidP="00FB2C08">
      <w:pPr>
        <w:pStyle w:val="Default"/>
        <w:rPr>
          <w:rFonts w:ascii="Times New Roman" w:hAnsi="Times New Roman" w:cs="Times New Roman"/>
        </w:rPr>
      </w:pPr>
      <w:r>
        <w:rPr>
          <w:rFonts w:ascii="Times New Roman" w:hAnsi="Times New Roman" w:cs="Times New Roman"/>
        </w:rPr>
        <w:t xml:space="preserve">Winter 2021 </w:t>
      </w:r>
      <w:r>
        <w:rPr>
          <w:rFonts w:ascii="Times New Roman" w:hAnsi="Times New Roman" w:cs="Times New Roman"/>
        </w:rPr>
        <w:tab/>
      </w:r>
      <w:r w:rsidR="00FB2C08" w:rsidRPr="00FB2C08">
        <w:rPr>
          <w:rFonts w:ascii="Times New Roman" w:hAnsi="Times New Roman" w:cs="Times New Roman"/>
        </w:rPr>
        <w:t>Final allocations</w:t>
      </w:r>
    </w:p>
    <w:p w14:paraId="0C3D021E" w14:textId="61E24C37" w:rsidR="00FB2C08" w:rsidRDefault="00E85A9C" w:rsidP="00FB2C08">
      <w:pPr>
        <w:pStyle w:val="Default"/>
        <w:rPr>
          <w:rFonts w:ascii="Times New Roman" w:hAnsi="Times New Roman" w:cs="Times New Roman"/>
        </w:rPr>
      </w:pPr>
      <w:r>
        <w:rPr>
          <w:rFonts w:ascii="Times New Roman" w:hAnsi="Times New Roman" w:cs="Times New Roman"/>
        </w:rPr>
        <w:t xml:space="preserve">Jan 2023 </w:t>
      </w:r>
      <w:r>
        <w:rPr>
          <w:rFonts w:ascii="Times New Roman" w:hAnsi="Times New Roman" w:cs="Times New Roman"/>
        </w:rPr>
        <w:tab/>
      </w:r>
      <w:r w:rsidR="00FB2C08" w:rsidRPr="00FB2C08">
        <w:rPr>
          <w:rFonts w:ascii="Times New Roman" w:hAnsi="Times New Roman" w:cs="Times New Roman"/>
        </w:rPr>
        <w:t>Housing Elements due</w:t>
      </w:r>
    </w:p>
    <w:p w14:paraId="2D32ADA9" w14:textId="77777777" w:rsidR="00FB2C08" w:rsidRDefault="00FB2C08" w:rsidP="007D0FDC">
      <w:pPr>
        <w:pStyle w:val="Default"/>
        <w:rPr>
          <w:rFonts w:ascii="Times New Roman" w:hAnsi="Times New Roman" w:cs="Times New Roman"/>
        </w:rPr>
      </w:pPr>
    </w:p>
    <w:p w14:paraId="4192CF65" w14:textId="23B1F948" w:rsidR="00E85A9C" w:rsidRDefault="00FC0AE4" w:rsidP="007D0FDC">
      <w:pPr>
        <w:pStyle w:val="Default"/>
        <w:rPr>
          <w:rFonts w:ascii="Times New Roman" w:hAnsi="Times New Roman" w:cs="Times New Roman"/>
        </w:rPr>
      </w:pPr>
      <w:r>
        <w:rPr>
          <w:rFonts w:ascii="Times New Roman" w:hAnsi="Times New Roman" w:cs="Times New Roman"/>
        </w:rPr>
        <w:t>B</w:t>
      </w:r>
      <w:r w:rsidR="00E85A9C">
        <w:rPr>
          <w:rFonts w:ascii="Times New Roman" w:hAnsi="Times New Roman" w:cs="Times New Roman"/>
        </w:rPr>
        <w:t xml:space="preserve">ecause </w:t>
      </w:r>
      <w:r w:rsidR="00F82C6A">
        <w:rPr>
          <w:rFonts w:ascii="Times New Roman" w:hAnsi="Times New Roman" w:cs="Times New Roman"/>
        </w:rPr>
        <w:t xml:space="preserve">draft Housing Elements must be reviewed by the state, the timeline </w:t>
      </w:r>
      <w:r w:rsidR="00BF1D7E">
        <w:rPr>
          <w:rFonts w:ascii="Times New Roman" w:hAnsi="Times New Roman" w:cs="Times New Roman"/>
        </w:rPr>
        <w:t xml:space="preserve">for completion of the draft Housing Element </w:t>
      </w:r>
      <w:r w:rsidR="00F82C6A">
        <w:rPr>
          <w:rFonts w:ascii="Times New Roman" w:hAnsi="Times New Roman" w:cs="Times New Roman"/>
        </w:rPr>
        <w:t xml:space="preserve">is </w:t>
      </w:r>
      <w:r w:rsidR="00BF1D7E">
        <w:rPr>
          <w:rFonts w:ascii="Times New Roman" w:hAnsi="Times New Roman" w:cs="Times New Roman"/>
        </w:rPr>
        <w:t>Fall 2022</w:t>
      </w:r>
      <w:r w:rsidR="00F82C6A">
        <w:rPr>
          <w:rFonts w:ascii="Times New Roman" w:hAnsi="Times New Roman" w:cs="Times New Roman"/>
        </w:rPr>
        <w:t xml:space="preserve">. </w:t>
      </w:r>
    </w:p>
    <w:p w14:paraId="69ABFE85" w14:textId="77777777" w:rsidR="00E85A9C" w:rsidRDefault="00E85A9C" w:rsidP="007D0FDC">
      <w:pPr>
        <w:pStyle w:val="Default"/>
        <w:rPr>
          <w:rFonts w:ascii="Times New Roman" w:hAnsi="Times New Roman" w:cs="Times New Roman"/>
        </w:rPr>
      </w:pPr>
    </w:p>
    <w:p w14:paraId="70B4A0EA" w14:textId="418568D4" w:rsidR="004B1B3E" w:rsidRPr="00081692" w:rsidRDefault="00F82C6A" w:rsidP="0085123F">
      <w:pPr>
        <w:pStyle w:val="Default"/>
        <w:rPr>
          <w:rFonts w:ascii="Times New Roman" w:hAnsi="Times New Roman"/>
        </w:rPr>
      </w:pPr>
      <w:r>
        <w:rPr>
          <w:rFonts w:ascii="Times New Roman" w:hAnsi="Times New Roman"/>
        </w:rPr>
        <w:t>As part of the Housing Element</w:t>
      </w:r>
      <w:r w:rsidR="007D0FDC" w:rsidRPr="007D0FDC">
        <w:rPr>
          <w:rFonts w:ascii="Times New Roman" w:hAnsi="Times New Roman"/>
        </w:rPr>
        <w:t xml:space="preserve"> process, the California Department of Housing and Community Development (HCD) develops the total housing need determination (RHND) for the Bay Area for an eight-year </w:t>
      </w:r>
      <w:r w:rsidR="007D0FDC">
        <w:rPr>
          <w:rFonts w:ascii="Times New Roman" w:hAnsi="Times New Roman"/>
        </w:rPr>
        <w:t xml:space="preserve">planning </w:t>
      </w:r>
      <w:r w:rsidR="007D0FDC" w:rsidRPr="007D0FDC">
        <w:rPr>
          <w:rFonts w:ascii="Times New Roman" w:hAnsi="Times New Roman"/>
        </w:rPr>
        <w:t>period</w:t>
      </w:r>
      <w:r w:rsidR="007D0FDC">
        <w:rPr>
          <w:rFonts w:ascii="Times New Roman" w:hAnsi="Times New Roman"/>
        </w:rPr>
        <w:t xml:space="preserve"> (</w:t>
      </w:r>
      <w:r w:rsidR="00826E01">
        <w:rPr>
          <w:rFonts w:ascii="Times New Roman" w:hAnsi="Times New Roman"/>
        </w:rPr>
        <w:t xml:space="preserve">RHNA </w:t>
      </w:r>
      <w:r w:rsidR="007D0FDC">
        <w:rPr>
          <w:rFonts w:ascii="Times New Roman" w:hAnsi="Times New Roman"/>
        </w:rPr>
        <w:t>Cycle)</w:t>
      </w:r>
      <w:r w:rsidR="00826E01">
        <w:rPr>
          <w:rFonts w:ascii="Times New Roman" w:hAnsi="Times New Roman"/>
        </w:rPr>
        <w:t xml:space="preserve">.  </w:t>
      </w:r>
      <w:r w:rsidR="00081692">
        <w:rPr>
          <w:rFonts w:ascii="Times New Roman" w:hAnsi="Times New Roman"/>
        </w:rPr>
        <w:t>The Association of Bay Area Governments (</w:t>
      </w:r>
      <w:r w:rsidR="0020452D" w:rsidRPr="0020452D">
        <w:rPr>
          <w:rFonts w:ascii="Times New Roman" w:hAnsi="Times New Roman"/>
        </w:rPr>
        <w:t>ABAG</w:t>
      </w:r>
      <w:r w:rsidR="00081692">
        <w:rPr>
          <w:rFonts w:ascii="Times New Roman" w:hAnsi="Times New Roman"/>
        </w:rPr>
        <w:t>)</w:t>
      </w:r>
      <w:r w:rsidR="0020452D" w:rsidRPr="0020452D">
        <w:rPr>
          <w:rFonts w:ascii="Times New Roman" w:hAnsi="Times New Roman"/>
        </w:rPr>
        <w:t xml:space="preserve"> then </w:t>
      </w:r>
      <w:r w:rsidR="00121EC7">
        <w:rPr>
          <w:rFonts w:ascii="Times New Roman" w:hAnsi="Times New Roman"/>
        </w:rPr>
        <w:t xml:space="preserve">develops a methodology and </w:t>
      </w:r>
      <w:r w:rsidR="0020452D" w:rsidRPr="0020452D">
        <w:rPr>
          <w:rFonts w:ascii="Times New Roman" w:hAnsi="Times New Roman"/>
        </w:rPr>
        <w:t xml:space="preserve">distributes a share of the region’s housing need to each </w:t>
      </w:r>
      <w:r w:rsidR="00FC0AE4">
        <w:rPr>
          <w:rFonts w:ascii="Times New Roman" w:hAnsi="Times New Roman"/>
        </w:rPr>
        <w:t>jurisdiction</w:t>
      </w:r>
      <w:r w:rsidR="0020452D" w:rsidRPr="0020452D">
        <w:rPr>
          <w:rFonts w:ascii="Times New Roman" w:hAnsi="Times New Roman"/>
        </w:rPr>
        <w:t>. Each local government must then update the Housing Element of its general plan to show the locations where housing can be built and the policies and strategies necessary to meet the community’s housing needs.</w:t>
      </w:r>
      <w:bookmarkStart w:id="0" w:name="_Hlk44518207"/>
    </w:p>
    <w:bookmarkEnd w:id="0"/>
    <w:p w14:paraId="51C1474E" w14:textId="77777777" w:rsidR="004B1B3E" w:rsidRDefault="004B1B3E" w:rsidP="0085123F">
      <w:pPr>
        <w:pStyle w:val="Default"/>
        <w:rPr>
          <w:rFonts w:ascii="Times New Roman" w:hAnsi="Times New Roman" w:cs="Times New Roman"/>
        </w:rPr>
      </w:pPr>
    </w:p>
    <w:p w14:paraId="2567A286" w14:textId="32AFC31F" w:rsidR="0085123F" w:rsidRPr="00081692" w:rsidRDefault="004B1B3E" w:rsidP="0085123F">
      <w:pPr>
        <w:pStyle w:val="Default"/>
        <w:rPr>
          <w:rFonts w:ascii="Times New Roman" w:hAnsi="Times New Roman" w:cs="Times New Roman"/>
        </w:rPr>
      </w:pPr>
      <w:r w:rsidRPr="004B1B3E">
        <w:rPr>
          <w:rFonts w:ascii="Times New Roman" w:hAnsi="Times New Roman" w:cs="Times New Roman"/>
        </w:rPr>
        <w:t xml:space="preserve">On June 9, 2020, HCD provided the </w:t>
      </w:r>
      <w:r w:rsidR="0048799D">
        <w:rPr>
          <w:rFonts w:ascii="Times New Roman" w:hAnsi="Times New Roman" w:cs="Times New Roman"/>
        </w:rPr>
        <w:t>following RHND</w:t>
      </w:r>
      <w:r w:rsidRPr="004B1B3E">
        <w:rPr>
          <w:rFonts w:ascii="Times New Roman" w:hAnsi="Times New Roman" w:cs="Times New Roman"/>
        </w:rPr>
        <w:t xml:space="preserve"> for the Bay Area</w:t>
      </w:r>
      <w:r w:rsidR="00081692">
        <w:rPr>
          <w:rFonts w:ascii="Times New Roman" w:hAnsi="Times New Roman" w:cs="Times New Roman"/>
        </w:rPr>
        <w:t xml:space="preserve">, which </w:t>
      </w:r>
      <w:r w:rsidR="00081692" w:rsidRPr="00081692">
        <w:rPr>
          <w:rFonts w:ascii="Times New Roman" w:hAnsi="Times New Roman"/>
        </w:rPr>
        <w:t>will cover</w:t>
      </w:r>
      <w:r w:rsidR="00081692" w:rsidRPr="007D0FDC">
        <w:rPr>
          <w:rFonts w:ascii="Times New Roman" w:hAnsi="Times New Roman"/>
        </w:rPr>
        <w:t xml:space="preserve"> </w:t>
      </w:r>
      <w:r w:rsidR="00081692" w:rsidRPr="00081692">
        <w:rPr>
          <w:rFonts w:ascii="Times New Roman" w:hAnsi="Times New Roman"/>
        </w:rPr>
        <w:t xml:space="preserve">the period from </w:t>
      </w:r>
      <w:r w:rsidR="00081692" w:rsidRPr="007D0FDC">
        <w:rPr>
          <w:rFonts w:ascii="Times New Roman" w:hAnsi="Times New Roman"/>
        </w:rPr>
        <w:t>202</w:t>
      </w:r>
      <w:r w:rsidR="00081692" w:rsidRPr="00081692">
        <w:rPr>
          <w:rFonts w:ascii="Times New Roman" w:hAnsi="Times New Roman"/>
        </w:rPr>
        <w:t>3</w:t>
      </w:r>
      <w:r w:rsidR="00081692" w:rsidRPr="007D0FDC">
        <w:rPr>
          <w:rFonts w:ascii="Times New Roman" w:hAnsi="Times New Roman"/>
        </w:rPr>
        <w:t xml:space="preserve"> to 2030</w:t>
      </w:r>
      <w:r w:rsidR="00081692">
        <w:rPr>
          <w:rFonts w:ascii="Times New Roman" w:hAnsi="Times New Roman"/>
        </w:rPr>
        <w:t xml:space="preserve"> (RHNA 6)</w:t>
      </w:r>
      <w:r w:rsidR="00081692">
        <w:rPr>
          <w:rFonts w:ascii="Times New Roman" w:hAnsi="Times New Roman" w:cs="Times New Roman"/>
        </w:rPr>
        <w:t>:</w:t>
      </w:r>
    </w:p>
    <w:p w14:paraId="0565D5BF" w14:textId="77777777" w:rsidR="004B1B3E" w:rsidRDefault="004B1B3E" w:rsidP="0085123F">
      <w:pPr>
        <w:pStyle w:val="Default"/>
        <w:rPr>
          <w:rFonts w:ascii="Times New Roman" w:hAnsi="Times New Roman" w:cs="Times New Roman"/>
        </w:rPr>
      </w:pPr>
    </w:p>
    <w:tbl>
      <w:tblPr>
        <w:tblStyle w:val="TableGrid"/>
        <w:tblW w:w="0" w:type="auto"/>
        <w:tblLook w:val="04A0" w:firstRow="1" w:lastRow="0" w:firstColumn="1" w:lastColumn="0" w:noHBand="0" w:noVBand="1"/>
      </w:tblPr>
      <w:tblGrid>
        <w:gridCol w:w="4577"/>
        <w:gridCol w:w="3514"/>
        <w:gridCol w:w="1547"/>
      </w:tblGrid>
      <w:tr w:rsidR="004B1B3E" w14:paraId="153AFACB" w14:textId="77777777" w:rsidTr="004B1B3E">
        <w:tc>
          <w:tcPr>
            <w:tcW w:w="4698" w:type="dxa"/>
          </w:tcPr>
          <w:p w14:paraId="29550DDA" w14:textId="3D04DB4E" w:rsidR="004B1B3E" w:rsidRPr="004B1B3E" w:rsidRDefault="004B1B3E" w:rsidP="0085123F">
            <w:pPr>
              <w:pStyle w:val="Default"/>
              <w:rPr>
                <w:rFonts w:ascii="Times New Roman" w:hAnsi="Times New Roman" w:cs="Times New Roman"/>
                <w:b/>
                <w:bCs/>
              </w:rPr>
            </w:pPr>
            <w:r w:rsidRPr="004B1B3E">
              <w:rPr>
                <w:rFonts w:ascii="Times New Roman" w:hAnsi="Times New Roman" w:cs="Times New Roman"/>
                <w:b/>
                <w:bCs/>
              </w:rPr>
              <w:t>Income Category</w:t>
            </w:r>
          </w:p>
        </w:tc>
        <w:tc>
          <w:tcPr>
            <w:tcW w:w="3600" w:type="dxa"/>
          </w:tcPr>
          <w:p w14:paraId="3F012994" w14:textId="145684F3" w:rsidR="004B1B3E" w:rsidRPr="004B1B3E" w:rsidRDefault="004B1B3E" w:rsidP="0085123F">
            <w:pPr>
              <w:pStyle w:val="Default"/>
              <w:rPr>
                <w:rFonts w:ascii="Times New Roman" w:hAnsi="Times New Roman" w:cs="Times New Roman"/>
                <w:b/>
                <w:bCs/>
              </w:rPr>
            </w:pPr>
            <w:r w:rsidRPr="004B1B3E">
              <w:rPr>
                <w:rFonts w:ascii="Times New Roman" w:hAnsi="Times New Roman" w:cs="Times New Roman"/>
                <w:b/>
                <w:bCs/>
              </w:rPr>
              <w:t>Housing Unit Need</w:t>
            </w:r>
          </w:p>
        </w:tc>
        <w:tc>
          <w:tcPr>
            <w:tcW w:w="1566" w:type="dxa"/>
          </w:tcPr>
          <w:p w14:paraId="2AA4F440" w14:textId="5206B8B2" w:rsidR="004B1B3E" w:rsidRPr="004B1B3E" w:rsidRDefault="004B1B3E" w:rsidP="0085123F">
            <w:pPr>
              <w:pStyle w:val="Default"/>
              <w:rPr>
                <w:rFonts w:ascii="Times New Roman" w:hAnsi="Times New Roman" w:cs="Times New Roman"/>
                <w:b/>
                <w:bCs/>
              </w:rPr>
            </w:pPr>
            <w:r w:rsidRPr="004B1B3E">
              <w:rPr>
                <w:rFonts w:ascii="Times New Roman" w:hAnsi="Times New Roman" w:cs="Times New Roman"/>
                <w:b/>
                <w:bCs/>
              </w:rPr>
              <w:t>Percent</w:t>
            </w:r>
          </w:p>
        </w:tc>
      </w:tr>
      <w:tr w:rsidR="004B1B3E" w14:paraId="7AE57CF4" w14:textId="77777777" w:rsidTr="004B1B3E">
        <w:tc>
          <w:tcPr>
            <w:tcW w:w="4698" w:type="dxa"/>
          </w:tcPr>
          <w:p w14:paraId="12B3F26C" w14:textId="287DE783" w:rsidR="004B1B3E" w:rsidRDefault="004B1B3E" w:rsidP="0085123F">
            <w:pPr>
              <w:pStyle w:val="Default"/>
              <w:rPr>
                <w:rFonts w:ascii="Times New Roman" w:hAnsi="Times New Roman" w:cs="Times New Roman"/>
              </w:rPr>
            </w:pPr>
            <w:r w:rsidRPr="004B1B3E">
              <w:rPr>
                <w:rFonts w:ascii="Times New Roman" w:hAnsi="Times New Roman" w:cs="Times New Roman"/>
              </w:rPr>
              <w:t xml:space="preserve">Very Low Income (0-50% AMI*) </w:t>
            </w:r>
          </w:p>
        </w:tc>
        <w:tc>
          <w:tcPr>
            <w:tcW w:w="3600" w:type="dxa"/>
          </w:tcPr>
          <w:p w14:paraId="1C67E750" w14:textId="014882C8" w:rsidR="004B1B3E" w:rsidRDefault="004B1B3E" w:rsidP="0085123F">
            <w:pPr>
              <w:pStyle w:val="Default"/>
              <w:rPr>
                <w:rFonts w:ascii="Times New Roman" w:hAnsi="Times New Roman" w:cs="Times New Roman"/>
              </w:rPr>
            </w:pPr>
            <w:r w:rsidRPr="004B1B3E">
              <w:rPr>
                <w:rFonts w:ascii="Times New Roman" w:hAnsi="Times New Roman" w:cs="Times New Roman"/>
              </w:rPr>
              <w:t xml:space="preserve">114,442 </w:t>
            </w:r>
          </w:p>
        </w:tc>
        <w:tc>
          <w:tcPr>
            <w:tcW w:w="1566" w:type="dxa"/>
          </w:tcPr>
          <w:p w14:paraId="5921A5E1" w14:textId="55CDE1DC" w:rsidR="004B1B3E" w:rsidRDefault="004B1B3E" w:rsidP="0085123F">
            <w:pPr>
              <w:pStyle w:val="Default"/>
              <w:rPr>
                <w:rFonts w:ascii="Times New Roman" w:hAnsi="Times New Roman" w:cs="Times New Roman"/>
              </w:rPr>
            </w:pPr>
            <w:r w:rsidRPr="004B1B3E">
              <w:rPr>
                <w:rFonts w:ascii="Times New Roman" w:hAnsi="Times New Roman" w:cs="Times New Roman"/>
              </w:rPr>
              <w:t>25.9%</w:t>
            </w:r>
          </w:p>
        </w:tc>
      </w:tr>
      <w:tr w:rsidR="004B1B3E" w14:paraId="46E4C6BE" w14:textId="77777777" w:rsidTr="004B1B3E">
        <w:tc>
          <w:tcPr>
            <w:tcW w:w="4698" w:type="dxa"/>
          </w:tcPr>
          <w:p w14:paraId="50F7A323" w14:textId="1FAE45A0" w:rsidR="004B1B3E" w:rsidRDefault="004B1B3E" w:rsidP="0085123F">
            <w:pPr>
              <w:pStyle w:val="Default"/>
              <w:rPr>
                <w:rFonts w:ascii="Times New Roman" w:hAnsi="Times New Roman" w:cs="Times New Roman"/>
              </w:rPr>
            </w:pPr>
            <w:r w:rsidRPr="004B1B3E">
              <w:rPr>
                <w:rFonts w:ascii="Times New Roman" w:hAnsi="Times New Roman" w:cs="Times New Roman"/>
              </w:rPr>
              <w:t xml:space="preserve">Low Income (50-80% AMI) </w:t>
            </w:r>
          </w:p>
        </w:tc>
        <w:tc>
          <w:tcPr>
            <w:tcW w:w="3600" w:type="dxa"/>
          </w:tcPr>
          <w:p w14:paraId="473A515A" w14:textId="7BB1C56A" w:rsidR="004B1B3E" w:rsidRDefault="004B1B3E" w:rsidP="0085123F">
            <w:pPr>
              <w:pStyle w:val="Default"/>
              <w:rPr>
                <w:rFonts w:ascii="Times New Roman" w:hAnsi="Times New Roman" w:cs="Times New Roman"/>
              </w:rPr>
            </w:pPr>
            <w:r w:rsidRPr="004B1B3E">
              <w:rPr>
                <w:rFonts w:ascii="Times New Roman" w:hAnsi="Times New Roman" w:cs="Times New Roman"/>
              </w:rPr>
              <w:t>65,892</w:t>
            </w:r>
          </w:p>
        </w:tc>
        <w:tc>
          <w:tcPr>
            <w:tcW w:w="1566" w:type="dxa"/>
          </w:tcPr>
          <w:p w14:paraId="234FC928" w14:textId="4A908D01" w:rsidR="004B1B3E" w:rsidRDefault="004B1B3E" w:rsidP="0085123F">
            <w:pPr>
              <w:pStyle w:val="Default"/>
              <w:rPr>
                <w:rFonts w:ascii="Times New Roman" w:hAnsi="Times New Roman" w:cs="Times New Roman"/>
              </w:rPr>
            </w:pPr>
            <w:r w:rsidRPr="004B1B3E">
              <w:rPr>
                <w:rFonts w:ascii="Times New Roman" w:hAnsi="Times New Roman" w:cs="Times New Roman"/>
              </w:rPr>
              <w:t>14.9%</w:t>
            </w:r>
          </w:p>
        </w:tc>
      </w:tr>
      <w:tr w:rsidR="004B1B3E" w14:paraId="07E030D3" w14:textId="77777777" w:rsidTr="004B1B3E">
        <w:tc>
          <w:tcPr>
            <w:tcW w:w="4698" w:type="dxa"/>
          </w:tcPr>
          <w:p w14:paraId="51A93E3D" w14:textId="5FDCCAA8" w:rsidR="004B1B3E" w:rsidRDefault="004B1B3E" w:rsidP="0085123F">
            <w:pPr>
              <w:pStyle w:val="Default"/>
              <w:rPr>
                <w:rFonts w:ascii="Times New Roman" w:hAnsi="Times New Roman" w:cs="Times New Roman"/>
              </w:rPr>
            </w:pPr>
            <w:r w:rsidRPr="004B1B3E">
              <w:rPr>
                <w:rFonts w:ascii="Times New Roman" w:hAnsi="Times New Roman" w:cs="Times New Roman"/>
              </w:rPr>
              <w:t xml:space="preserve">Moderate Income (80-120% AMI) </w:t>
            </w:r>
          </w:p>
        </w:tc>
        <w:tc>
          <w:tcPr>
            <w:tcW w:w="3600" w:type="dxa"/>
          </w:tcPr>
          <w:p w14:paraId="64C5947B" w14:textId="783D1BEB" w:rsidR="004B1B3E" w:rsidRDefault="004B1B3E" w:rsidP="0085123F">
            <w:pPr>
              <w:pStyle w:val="Default"/>
              <w:rPr>
                <w:rFonts w:ascii="Times New Roman" w:hAnsi="Times New Roman" w:cs="Times New Roman"/>
              </w:rPr>
            </w:pPr>
            <w:r w:rsidRPr="004B1B3E">
              <w:rPr>
                <w:rFonts w:ascii="Times New Roman" w:hAnsi="Times New Roman" w:cs="Times New Roman"/>
              </w:rPr>
              <w:t xml:space="preserve">72,712 </w:t>
            </w:r>
          </w:p>
        </w:tc>
        <w:tc>
          <w:tcPr>
            <w:tcW w:w="1566" w:type="dxa"/>
          </w:tcPr>
          <w:p w14:paraId="0ADE2939" w14:textId="5B64F9D6" w:rsidR="004B1B3E" w:rsidRDefault="004B1B3E" w:rsidP="0085123F">
            <w:pPr>
              <w:pStyle w:val="Default"/>
              <w:rPr>
                <w:rFonts w:ascii="Times New Roman" w:hAnsi="Times New Roman" w:cs="Times New Roman"/>
              </w:rPr>
            </w:pPr>
            <w:r w:rsidRPr="004B1B3E">
              <w:rPr>
                <w:rFonts w:ascii="Times New Roman" w:hAnsi="Times New Roman" w:cs="Times New Roman"/>
              </w:rPr>
              <w:t>16.5%</w:t>
            </w:r>
          </w:p>
        </w:tc>
      </w:tr>
      <w:tr w:rsidR="004B1B3E" w14:paraId="58320E3A" w14:textId="77777777" w:rsidTr="004B1B3E">
        <w:tc>
          <w:tcPr>
            <w:tcW w:w="4698" w:type="dxa"/>
          </w:tcPr>
          <w:p w14:paraId="3EBDBC36" w14:textId="60FC2C72" w:rsidR="004B1B3E" w:rsidRDefault="004B1B3E" w:rsidP="0085123F">
            <w:pPr>
              <w:pStyle w:val="Default"/>
              <w:rPr>
                <w:rFonts w:ascii="Times New Roman" w:hAnsi="Times New Roman" w:cs="Times New Roman"/>
              </w:rPr>
            </w:pPr>
            <w:r w:rsidRPr="004B1B3E">
              <w:rPr>
                <w:rFonts w:ascii="Times New Roman" w:hAnsi="Times New Roman" w:cs="Times New Roman"/>
              </w:rPr>
              <w:t xml:space="preserve">Above Moderate Income (120%+ AMI) </w:t>
            </w:r>
          </w:p>
        </w:tc>
        <w:tc>
          <w:tcPr>
            <w:tcW w:w="3600" w:type="dxa"/>
          </w:tcPr>
          <w:p w14:paraId="0FEA27E1" w14:textId="53BB40FE" w:rsidR="004B1B3E" w:rsidRDefault="004B1B3E" w:rsidP="0085123F">
            <w:pPr>
              <w:pStyle w:val="Default"/>
              <w:rPr>
                <w:rFonts w:ascii="Times New Roman" w:hAnsi="Times New Roman" w:cs="Times New Roman"/>
              </w:rPr>
            </w:pPr>
            <w:r w:rsidRPr="004B1B3E">
              <w:rPr>
                <w:rFonts w:ascii="Times New Roman" w:hAnsi="Times New Roman" w:cs="Times New Roman"/>
              </w:rPr>
              <w:t xml:space="preserve">188,130 </w:t>
            </w:r>
          </w:p>
        </w:tc>
        <w:tc>
          <w:tcPr>
            <w:tcW w:w="1566" w:type="dxa"/>
          </w:tcPr>
          <w:p w14:paraId="2508A86C" w14:textId="51B932F4" w:rsidR="004B1B3E" w:rsidRDefault="004B1B3E" w:rsidP="0085123F">
            <w:pPr>
              <w:pStyle w:val="Default"/>
              <w:rPr>
                <w:rFonts w:ascii="Times New Roman" w:hAnsi="Times New Roman" w:cs="Times New Roman"/>
              </w:rPr>
            </w:pPr>
            <w:r w:rsidRPr="004B1B3E">
              <w:rPr>
                <w:rFonts w:ascii="Times New Roman" w:hAnsi="Times New Roman" w:cs="Times New Roman"/>
              </w:rPr>
              <w:t>42.6%</w:t>
            </w:r>
          </w:p>
        </w:tc>
      </w:tr>
      <w:tr w:rsidR="004B1B3E" w14:paraId="3E12EC30" w14:textId="77777777" w:rsidTr="004B1B3E">
        <w:tc>
          <w:tcPr>
            <w:tcW w:w="4698" w:type="dxa"/>
          </w:tcPr>
          <w:p w14:paraId="13589C7E" w14:textId="46FFA1F2" w:rsidR="004B1B3E" w:rsidRPr="004B1B3E" w:rsidRDefault="004B1B3E" w:rsidP="0085123F">
            <w:pPr>
              <w:pStyle w:val="Default"/>
              <w:rPr>
                <w:rFonts w:ascii="Times New Roman" w:hAnsi="Times New Roman" w:cs="Times New Roman"/>
                <w:b/>
                <w:bCs/>
              </w:rPr>
            </w:pPr>
            <w:r w:rsidRPr="004B1B3E">
              <w:rPr>
                <w:rFonts w:ascii="Times New Roman" w:hAnsi="Times New Roman" w:cs="Times New Roman"/>
                <w:b/>
                <w:bCs/>
              </w:rPr>
              <w:t>TOTAL</w:t>
            </w:r>
          </w:p>
        </w:tc>
        <w:tc>
          <w:tcPr>
            <w:tcW w:w="3600" w:type="dxa"/>
          </w:tcPr>
          <w:p w14:paraId="497843F2" w14:textId="06F36332" w:rsidR="004B1B3E" w:rsidRPr="004B1B3E" w:rsidRDefault="004B1B3E" w:rsidP="0085123F">
            <w:pPr>
              <w:pStyle w:val="Default"/>
              <w:rPr>
                <w:rFonts w:ascii="Times New Roman" w:hAnsi="Times New Roman" w:cs="Times New Roman"/>
                <w:b/>
                <w:bCs/>
              </w:rPr>
            </w:pPr>
            <w:r w:rsidRPr="004B1B3E">
              <w:rPr>
                <w:rFonts w:ascii="Times New Roman" w:hAnsi="Times New Roman" w:cs="Times New Roman"/>
                <w:b/>
                <w:bCs/>
              </w:rPr>
              <w:t xml:space="preserve">441,176 </w:t>
            </w:r>
          </w:p>
        </w:tc>
        <w:tc>
          <w:tcPr>
            <w:tcW w:w="1566" w:type="dxa"/>
          </w:tcPr>
          <w:p w14:paraId="25D38145" w14:textId="42311DB3" w:rsidR="004B1B3E" w:rsidRPr="004B1B3E" w:rsidRDefault="004B1B3E" w:rsidP="0085123F">
            <w:pPr>
              <w:pStyle w:val="Default"/>
              <w:rPr>
                <w:rFonts w:ascii="Times New Roman" w:hAnsi="Times New Roman" w:cs="Times New Roman"/>
                <w:b/>
                <w:bCs/>
              </w:rPr>
            </w:pPr>
            <w:r w:rsidRPr="004B1B3E">
              <w:rPr>
                <w:rFonts w:ascii="Times New Roman" w:hAnsi="Times New Roman" w:cs="Times New Roman"/>
                <w:b/>
                <w:bCs/>
              </w:rPr>
              <w:t>100%</w:t>
            </w:r>
          </w:p>
        </w:tc>
      </w:tr>
    </w:tbl>
    <w:p w14:paraId="539D912C" w14:textId="61616F56" w:rsidR="004B1B3E" w:rsidRDefault="004B1B3E" w:rsidP="0085123F">
      <w:pPr>
        <w:pStyle w:val="Default"/>
        <w:rPr>
          <w:rFonts w:ascii="Times New Roman" w:hAnsi="Times New Roman" w:cs="Times New Roman"/>
        </w:rPr>
      </w:pPr>
      <w:r w:rsidRPr="004B1B3E">
        <w:rPr>
          <w:rFonts w:ascii="Times New Roman" w:hAnsi="Times New Roman" w:cs="Times New Roman"/>
        </w:rPr>
        <w:t>* Area Median Income</w:t>
      </w:r>
    </w:p>
    <w:p w14:paraId="00F166A1" w14:textId="0A7D8C3A" w:rsidR="0048799D" w:rsidRDefault="0048799D" w:rsidP="0085123F">
      <w:pPr>
        <w:pStyle w:val="Default"/>
        <w:rPr>
          <w:rFonts w:ascii="Times New Roman" w:hAnsi="Times New Roman" w:cs="Times New Roman"/>
        </w:rPr>
      </w:pPr>
    </w:p>
    <w:p w14:paraId="3CAC6061" w14:textId="7F6FFF28" w:rsidR="00081692" w:rsidRDefault="00F82C6A" w:rsidP="0085123F">
      <w:pPr>
        <w:pStyle w:val="Default"/>
        <w:rPr>
          <w:rFonts w:ascii="Times New Roman" w:hAnsi="Times New Roman" w:cs="Times New Roman"/>
        </w:rPr>
      </w:pPr>
      <w:r>
        <w:rPr>
          <w:rFonts w:ascii="Times New Roman" w:hAnsi="Times New Roman" w:cs="Times New Roman"/>
        </w:rPr>
        <w:t>This is approximately 2.3 times higher than the</w:t>
      </w:r>
      <w:r w:rsidR="00081692">
        <w:rPr>
          <w:rFonts w:ascii="Times New Roman" w:hAnsi="Times New Roman" w:cs="Times New Roman"/>
        </w:rPr>
        <w:t xml:space="preserve"> RHND for the Bay Area for RHNA 5</w:t>
      </w:r>
      <w:r w:rsidR="00FC0AE4">
        <w:rPr>
          <w:rFonts w:ascii="Times New Roman" w:hAnsi="Times New Roman" w:cs="Times New Roman"/>
        </w:rPr>
        <w:t>, which</w:t>
      </w:r>
      <w:r w:rsidR="00081692">
        <w:rPr>
          <w:rFonts w:ascii="Times New Roman" w:hAnsi="Times New Roman" w:cs="Times New Roman"/>
        </w:rPr>
        <w:t xml:space="preserve"> was </w:t>
      </w:r>
      <w:r w:rsidR="00081692" w:rsidRPr="00121EC7">
        <w:rPr>
          <w:rFonts w:ascii="Times New Roman" w:hAnsi="Times New Roman" w:cs="Times New Roman"/>
          <w:b/>
          <w:bCs/>
        </w:rPr>
        <w:t>187,990</w:t>
      </w:r>
      <w:r>
        <w:rPr>
          <w:rFonts w:ascii="Times New Roman" w:hAnsi="Times New Roman" w:cs="Times New Roman"/>
        </w:rPr>
        <w:t xml:space="preserve">. </w:t>
      </w:r>
      <w:r w:rsidR="00D73386">
        <w:rPr>
          <w:rFonts w:ascii="Times New Roman" w:hAnsi="Times New Roman" w:cs="Times New Roman"/>
        </w:rPr>
        <w:t xml:space="preserve">ABAG did not appeal the RHND (and appeals are no longer allowed). </w:t>
      </w:r>
      <w:r>
        <w:rPr>
          <w:rFonts w:ascii="Times New Roman" w:hAnsi="Times New Roman" w:cs="Times New Roman"/>
        </w:rPr>
        <w:t xml:space="preserve">The income breakdown did not change significantly from last cycle. </w:t>
      </w:r>
      <w:r w:rsidR="008A7B75">
        <w:rPr>
          <w:rFonts w:ascii="Times New Roman" w:hAnsi="Times New Roman" w:cs="Times New Roman"/>
        </w:rPr>
        <w:t xml:space="preserve">The </w:t>
      </w:r>
      <w:r w:rsidR="00FC0AE4">
        <w:rPr>
          <w:rFonts w:ascii="Times New Roman" w:hAnsi="Times New Roman" w:cs="Times New Roman"/>
        </w:rPr>
        <w:t xml:space="preserve">overall </w:t>
      </w:r>
      <w:r w:rsidR="008A7B75">
        <w:rPr>
          <w:rFonts w:ascii="Times New Roman" w:hAnsi="Times New Roman" w:cs="Times New Roman"/>
        </w:rPr>
        <w:t xml:space="preserve">increase is similar to </w:t>
      </w:r>
      <w:r w:rsidR="00BF1D7E">
        <w:rPr>
          <w:rFonts w:ascii="Times New Roman" w:hAnsi="Times New Roman" w:cs="Times New Roman"/>
        </w:rPr>
        <w:t xml:space="preserve">what </w:t>
      </w:r>
      <w:r w:rsidR="008A7B75">
        <w:rPr>
          <w:rFonts w:ascii="Times New Roman" w:hAnsi="Times New Roman" w:cs="Times New Roman"/>
        </w:rPr>
        <w:t xml:space="preserve">other regions </w:t>
      </w:r>
      <w:r w:rsidR="00BF1D7E">
        <w:rPr>
          <w:rFonts w:ascii="Times New Roman" w:hAnsi="Times New Roman" w:cs="Times New Roman"/>
        </w:rPr>
        <w:t xml:space="preserve">have </w:t>
      </w:r>
      <w:r w:rsidR="008A7B75">
        <w:rPr>
          <w:rFonts w:ascii="Times New Roman" w:hAnsi="Times New Roman" w:cs="Times New Roman"/>
        </w:rPr>
        <w:t>experienced</w:t>
      </w:r>
      <w:r w:rsidR="00FC0AE4">
        <w:rPr>
          <w:rFonts w:ascii="Times New Roman" w:hAnsi="Times New Roman" w:cs="Times New Roman"/>
        </w:rPr>
        <w:t xml:space="preserve"> and is </w:t>
      </w:r>
      <w:r w:rsidR="00BF1D7E">
        <w:rPr>
          <w:rFonts w:ascii="Times New Roman" w:hAnsi="Times New Roman" w:cs="Times New Roman"/>
        </w:rPr>
        <w:t xml:space="preserve">largely </w:t>
      </w:r>
      <w:r w:rsidR="00FC0AE4">
        <w:rPr>
          <w:rFonts w:ascii="Times New Roman" w:hAnsi="Times New Roman" w:cs="Times New Roman"/>
        </w:rPr>
        <w:t xml:space="preserve">due to </w:t>
      </w:r>
      <w:r w:rsidR="00BF1D7E">
        <w:rPr>
          <w:rFonts w:ascii="Times New Roman" w:hAnsi="Times New Roman" w:cs="Times New Roman"/>
        </w:rPr>
        <w:t xml:space="preserve">changes in the projection methodology to </w:t>
      </w:r>
      <w:r w:rsidR="00FC0AE4">
        <w:rPr>
          <w:rFonts w:ascii="Times New Roman" w:hAnsi="Times New Roman" w:cs="Times New Roman"/>
        </w:rPr>
        <w:t>bet</w:t>
      </w:r>
      <w:r w:rsidR="008A7B75">
        <w:rPr>
          <w:rFonts w:ascii="Times New Roman" w:hAnsi="Times New Roman" w:cs="Times New Roman"/>
        </w:rPr>
        <w:t xml:space="preserve">ter account for overcrowding. </w:t>
      </w:r>
    </w:p>
    <w:p w14:paraId="03DCF628" w14:textId="77777777" w:rsidR="00081692" w:rsidRDefault="00081692" w:rsidP="0085123F">
      <w:pPr>
        <w:pStyle w:val="Default"/>
        <w:rPr>
          <w:rFonts w:ascii="Times New Roman" w:hAnsi="Times New Roman" w:cs="Times New Roman"/>
        </w:rPr>
      </w:pPr>
    </w:p>
    <w:p w14:paraId="61139183" w14:textId="77777777" w:rsidR="007B4E40" w:rsidRDefault="00393CD8" w:rsidP="007B4E40">
      <w:pPr>
        <w:tabs>
          <w:tab w:val="left" w:pos="8472"/>
        </w:tabs>
      </w:pPr>
      <w:r>
        <w:rPr>
          <w:rFonts w:ascii="Times New Roman" w:hAnsi="Times New Roman"/>
        </w:rPr>
        <w:t xml:space="preserve">To assist in developing a RHNA distribution methodology, </w:t>
      </w:r>
      <w:r w:rsidR="00F17CD3" w:rsidRPr="00F17CD3">
        <w:rPr>
          <w:rFonts w:ascii="Times New Roman" w:hAnsi="Times New Roman"/>
        </w:rPr>
        <w:t>ABAG</w:t>
      </w:r>
      <w:r w:rsidR="00081692">
        <w:rPr>
          <w:rFonts w:ascii="Times New Roman" w:hAnsi="Times New Roman"/>
        </w:rPr>
        <w:t xml:space="preserve"> has convened a</w:t>
      </w:r>
      <w:r w:rsidR="00F17CD3" w:rsidRPr="00F17CD3">
        <w:rPr>
          <w:rFonts w:ascii="Times New Roman" w:hAnsi="Times New Roman"/>
        </w:rPr>
        <w:t xml:space="preserve"> </w:t>
      </w:r>
      <w:r w:rsidRPr="00393CD8">
        <w:rPr>
          <w:rFonts w:ascii="Times New Roman" w:hAnsi="Times New Roman"/>
        </w:rPr>
        <w:t xml:space="preserve">Housing Methodology Committee </w:t>
      </w:r>
      <w:r>
        <w:rPr>
          <w:rFonts w:ascii="Times New Roman" w:hAnsi="Times New Roman"/>
        </w:rPr>
        <w:t xml:space="preserve">(HMC) </w:t>
      </w:r>
      <w:r w:rsidRPr="00393CD8">
        <w:rPr>
          <w:rFonts w:ascii="Times New Roman" w:hAnsi="Times New Roman"/>
        </w:rPr>
        <w:t>consist</w:t>
      </w:r>
      <w:r>
        <w:rPr>
          <w:rFonts w:ascii="Times New Roman" w:hAnsi="Times New Roman"/>
        </w:rPr>
        <w:t xml:space="preserve">ing </w:t>
      </w:r>
      <w:r w:rsidRPr="00393CD8">
        <w:rPr>
          <w:rFonts w:ascii="Times New Roman" w:hAnsi="Times New Roman"/>
        </w:rPr>
        <w:t>of elected officials and staff from each county, as well as stakeholders f</w:t>
      </w:r>
      <w:r w:rsidR="00121EC7">
        <w:rPr>
          <w:rFonts w:ascii="Times New Roman" w:hAnsi="Times New Roman"/>
        </w:rPr>
        <w:t>r</w:t>
      </w:r>
      <w:r w:rsidRPr="00393CD8">
        <w:rPr>
          <w:rFonts w:ascii="Times New Roman" w:hAnsi="Times New Roman"/>
        </w:rPr>
        <w:t>o</w:t>
      </w:r>
      <w:r w:rsidR="00121EC7">
        <w:rPr>
          <w:rFonts w:ascii="Times New Roman" w:hAnsi="Times New Roman"/>
        </w:rPr>
        <w:t>m</w:t>
      </w:r>
      <w:r w:rsidRPr="00393CD8">
        <w:rPr>
          <w:rFonts w:ascii="Times New Roman" w:hAnsi="Times New Roman"/>
        </w:rPr>
        <w:t xml:space="preserve"> interest groups.  </w:t>
      </w:r>
      <w:r w:rsidR="007B4E40" w:rsidRPr="007B4E40">
        <w:rPr>
          <w:rFonts w:ascii="Times New Roman" w:hAnsi="Times New Roman"/>
        </w:rPr>
        <w:t xml:space="preserve">Santa Clara County’s representatives are </w:t>
      </w:r>
      <w:proofErr w:type="spellStart"/>
      <w:r w:rsidR="007B4E40" w:rsidRPr="007B4E40">
        <w:rPr>
          <w:rFonts w:ascii="Times New Roman" w:hAnsi="Times New Roman"/>
        </w:rPr>
        <w:t>Neysa</w:t>
      </w:r>
      <w:proofErr w:type="spellEnd"/>
      <w:r w:rsidR="007B4E40" w:rsidRPr="007B4E40">
        <w:rPr>
          <w:rFonts w:ascii="Times New Roman" w:hAnsi="Times New Roman"/>
        </w:rPr>
        <w:t xml:space="preserve"> </w:t>
      </w:r>
      <w:proofErr w:type="spellStart"/>
      <w:r w:rsidR="007B4E40" w:rsidRPr="007B4E40">
        <w:rPr>
          <w:rFonts w:ascii="Times New Roman" w:hAnsi="Times New Roman"/>
        </w:rPr>
        <w:t>Fligor</w:t>
      </w:r>
      <w:proofErr w:type="spellEnd"/>
      <w:r w:rsidR="007B4E40" w:rsidRPr="007B4E40">
        <w:rPr>
          <w:rFonts w:ascii="Times New Roman" w:hAnsi="Times New Roman"/>
        </w:rPr>
        <w:t xml:space="preserve">, Vice Mayor, City of Los Altos; Michael </w:t>
      </w:r>
      <w:proofErr w:type="spellStart"/>
      <w:r w:rsidR="007B4E40" w:rsidRPr="007B4E40">
        <w:rPr>
          <w:rFonts w:ascii="Times New Roman" w:hAnsi="Times New Roman"/>
        </w:rPr>
        <w:t>Brilliot</w:t>
      </w:r>
      <w:proofErr w:type="spellEnd"/>
      <w:r w:rsidR="007B4E40" w:rsidRPr="007B4E40">
        <w:rPr>
          <w:rFonts w:ascii="Times New Roman" w:hAnsi="Times New Roman"/>
        </w:rPr>
        <w:t>, Deputy Director for Citywide Planning, City of San Jose; Aarti Shrivastava, Assistant City Manager/Community Development Director, City of Mountain View.</w:t>
      </w:r>
    </w:p>
    <w:p w14:paraId="17737D81" w14:textId="46C22C2D" w:rsidR="00393CD8" w:rsidRDefault="00393CD8" w:rsidP="00393CD8">
      <w:pPr>
        <w:pStyle w:val="Default"/>
        <w:rPr>
          <w:rFonts w:ascii="Times New Roman" w:hAnsi="Times New Roman"/>
        </w:rPr>
      </w:pPr>
    </w:p>
    <w:p w14:paraId="73CD420C" w14:textId="1B399145" w:rsidR="00081692" w:rsidRPr="00081692" w:rsidRDefault="00F17CD3" w:rsidP="00081692">
      <w:pPr>
        <w:pStyle w:val="Default"/>
        <w:rPr>
          <w:rFonts w:ascii="Times New Roman" w:hAnsi="Times New Roman"/>
        </w:rPr>
      </w:pPr>
      <w:r w:rsidRPr="00F17CD3">
        <w:rPr>
          <w:rFonts w:ascii="Times New Roman" w:hAnsi="Times New Roman" w:cs="Times New Roman"/>
        </w:rPr>
        <w:lastRenderedPageBreak/>
        <w:t>Ultimately, the HMC will need to recommend a RHNA methodology that both assigns a total number of housing units to each Bay Area jurisdiction and distributes each jurisdiction’s allocation among the four affordability levels.</w:t>
      </w:r>
      <w:r w:rsidR="00393CD8">
        <w:rPr>
          <w:rFonts w:ascii="Times New Roman" w:hAnsi="Times New Roman" w:cs="Times New Roman"/>
        </w:rPr>
        <w:t xml:space="preserve">  </w:t>
      </w:r>
      <w:r w:rsidR="0042071F">
        <w:rPr>
          <w:rFonts w:ascii="Times New Roman" w:hAnsi="Times New Roman"/>
        </w:rPr>
        <w:t>T</w:t>
      </w:r>
      <w:r w:rsidR="00393CD8" w:rsidRPr="00393CD8">
        <w:rPr>
          <w:rFonts w:ascii="Times New Roman" w:hAnsi="Times New Roman"/>
        </w:rPr>
        <w:t xml:space="preserve">he final methodology </w:t>
      </w:r>
      <w:r w:rsidR="0042071F">
        <w:rPr>
          <w:rFonts w:ascii="Times New Roman" w:hAnsi="Times New Roman"/>
        </w:rPr>
        <w:t>must be</w:t>
      </w:r>
      <w:r w:rsidR="00393CD8" w:rsidRPr="00393CD8">
        <w:rPr>
          <w:rFonts w:ascii="Times New Roman" w:hAnsi="Times New Roman"/>
        </w:rPr>
        <w:t xml:space="preserve"> consistent with the development pattern outline</w:t>
      </w:r>
      <w:r w:rsidR="00BF1D7E">
        <w:rPr>
          <w:rFonts w:ascii="Times New Roman" w:hAnsi="Times New Roman"/>
        </w:rPr>
        <w:t>d</w:t>
      </w:r>
      <w:r w:rsidR="00393CD8" w:rsidRPr="00393CD8">
        <w:rPr>
          <w:rFonts w:ascii="Times New Roman" w:hAnsi="Times New Roman"/>
        </w:rPr>
        <w:t xml:space="preserve"> in </w:t>
      </w:r>
      <w:r w:rsidR="00393CD8" w:rsidRPr="00393CD8">
        <w:rPr>
          <w:rFonts w:ascii="Times New Roman" w:hAnsi="Times New Roman"/>
          <w:i/>
          <w:iCs/>
        </w:rPr>
        <w:t>Plan Bay Area 2050</w:t>
      </w:r>
      <w:r w:rsidR="00E66CCA">
        <w:rPr>
          <w:rFonts w:ascii="Times New Roman" w:hAnsi="Times New Roman"/>
        </w:rPr>
        <w:t>. Plan Bay Area is a</w:t>
      </w:r>
      <w:r w:rsidR="00BF1D7E">
        <w:rPr>
          <w:rFonts w:ascii="Times New Roman" w:hAnsi="Times New Roman"/>
        </w:rPr>
        <w:t xml:space="preserve"> separate but</w:t>
      </w:r>
      <w:r w:rsidR="00E66CCA">
        <w:rPr>
          <w:rFonts w:ascii="Times New Roman" w:hAnsi="Times New Roman"/>
        </w:rPr>
        <w:t xml:space="preserve"> related long term visioning exercise. </w:t>
      </w:r>
      <w:r w:rsidR="00393CD8" w:rsidRPr="00393CD8">
        <w:rPr>
          <w:rFonts w:ascii="Times New Roman" w:hAnsi="Times New Roman"/>
        </w:rPr>
        <w:t xml:space="preserve"> </w:t>
      </w:r>
      <w:r w:rsidR="00E66CCA">
        <w:rPr>
          <w:rFonts w:ascii="Times New Roman" w:hAnsi="Times New Roman"/>
        </w:rPr>
        <w:t>The methodology must s</w:t>
      </w:r>
      <w:r w:rsidR="0042071F">
        <w:rPr>
          <w:rFonts w:ascii="Times New Roman" w:hAnsi="Times New Roman"/>
        </w:rPr>
        <w:t xml:space="preserve">atisfy the </w:t>
      </w:r>
      <w:r w:rsidR="00393CD8" w:rsidRPr="00393CD8">
        <w:rPr>
          <w:rFonts w:ascii="Times New Roman" w:hAnsi="Times New Roman"/>
        </w:rPr>
        <w:t>many s</w:t>
      </w:r>
      <w:r w:rsidR="00081692" w:rsidRPr="00081692">
        <w:rPr>
          <w:rFonts w:ascii="Times New Roman" w:hAnsi="Times New Roman"/>
        </w:rPr>
        <w:t>tatutory requirements for RHNA distribution</w:t>
      </w:r>
      <w:r w:rsidR="00393CD8" w:rsidRPr="00393CD8">
        <w:rPr>
          <w:rFonts w:ascii="Times New Roman" w:hAnsi="Times New Roman"/>
        </w:rPr>
        <w:t>, including</w:t>
      </w:r>
      <w:r w:rsidR="00081692" w:rsidRPr="00081692">
        <w:rPr>
          <w:rFonts w:ascii="Times New Roman" w:hAnsi="Times New Roman"/>
        </w:rPr>
        <w:t>:</w:t>
      </w:r>
    </w:p>
    <w:p w14:paraId="620EE675" w14:textId="77777777" w:rsidR="00E66CCA" w:rsidRPr="00081692" w:rsidRDefault="00E66CCA" w:rsidP="00081692">
      <w:pPr>
        <w:pStyle w:val="Default"/>
        <w:rPr>
          <w:rFonts w:ascii="Times New Roman" w:hAnsi="Times New Roman"/>
        </w:rPr>
      </w:pPr>
    </w:p>
    <w:p w14:paraId="517D245F" w14:textId="77777777" w:rsidR="00081692" w:rsidRPr="00081692" w:rsidRDefault="00081692" w:rsidP="00081692">
      <w:pPr>
        <w:pStyle w:val="Default"/>
        <w:numPr>
          <w:ilvl w:val="0"/>
          <w:numId w:val="5"/>
        </w:numPr>
        <w:rPr>
          <w:rFonts w:ascii="Times New Roman" w:hAnsi="Times New Roman"/>
        </w:rPr>
      </w:pPr>
      <w:r w:rsidRPr="00081692">
        <w:rPr>
          <w:rFonts w:ascii="Times New Roman" w:hAnsi="Times New Roman"/>
        </w:rPr>
        <w:t xml:space="preserve">Increase housing supply and mix of housing types, tenure, and affordability in all cities and counties in an equitable manner throughout the region; </w:t>
      </w:r>
    </w:p>
    <w:p w14:paraId="48E93A76" w14:textId="77777777" w:rsidR="00081692" w:rsidRPr="00081692" w:rsidRDefault="00081692" w:rsidP="00081692">
      <w:pPr>
        <w:pStyle w:val="Default"/>
        <w:numPr>
          <w:ilvl w:val="0"/>
          <w:numId w:val="5"/>
        </w:numPr>
        <w:rPr>
          <w:rFonts w:ascii="Times New Roman" w:hAnsi="Times New Roman"/>
        </w:rPr>
      </w:pPr>
      <w:r w:rsidRPr="00081692">
        <w:rPr>
          <w:rFonts w:ascii="Times New Roman" w:hAnsi="Times New Roman"/>
        </w:rPr>
        <w:t>Promote infill development and socioeconomic equity, protect environmental and agricultural resources, encourage efficient development patterns, and achieve GHG reductions targets;</w:t>
      </w:r>
    </w:p>
    <w:p w14:paraId="36749490" w14:textId="77777777" w:rsidR="00081692" w:rsidRPr="00081692" w:rsidRDefault="00081692" w:rsidP="00081692">
      <w:pPr>
        <w:pStyle w:val="Default"/>
        <w:numPr>
          <w:ilvl w:val="0"/>
          <w:numId w:val="5"/>
        </w:numPr>
        <w:rPr>
          <w:rFonts w:ascii="Times New Roman" w:hAnsi="Times New Roman"/>
        </w:rPr>
      </w:pPr>
      <w:r w:rsidRPr="00081692">
        <w:rPr>
          <w:rFonts w:ascii="Times New Roman" w:hAnsi="Times New Roman"/>
        </w:rPr>
        <w:t xml:space="preserve">Promote improved intraregional jobs-housing relationship, including balance between low-wage jobs and affordable housing (jobs/housing fit); </w:t>
      </w:r>
    </w:p>
    <w:p w14:paraId="31742E08" w14:textId="77777777" w:rsidR="00081692" w:rsidRPr="00081692" w:rsidRDefault="00081692" w:rsidP="00081692">
      <w:pPr>
        <w:pStyle w:val="Default"/>
        <w:numPr>
          <w:ilvl w:val="0"/>
          <w:numId w:val="5"/>
        </w:numPr>
        <w:rPr>
          <w:rFonts w:ascii="Times New Roman" w:hAnsi="Times New Roman"/>
        </w:rPr>
      </w:pPr>
      <w:r w:rsidRPr="00081692">
        <w:rPr>
          <w:rFonts w:ascii="Times New Roman" w:hAnsi="Times New Roman"/>
        </w:rPr>
        <w:t>Balance disproportionate household income distributions (more high-income RHNA to lower-income areas and vice-versa); and,</w:t>
      </w:r>
    </w:p>
    <w:p w14:paraId="5116BAF4" w14:textId="77777777" w:rsidR="00081692" w:rsidRPr="00081692" w:rsidRDefault="00081692" w:rsidP="00081692">
      <w:pPr>
        <w:pStyle w:val="Default"/>
        <w:numPr>
          <w:ilvl w:val="0"/>
          <w:numId w:val="5"/>
        </w:numPr>
        <w:rPr>
          <w:rFonts w:ascii="Times New Roman" w:hAnsi="Times New Roman"/>
        </w:rPr>
      </w:pPr>
      <w:r w:rsidRPr="00081692">
        <w:rPr>
          <w:rFonts w:ascii="Times New Roman" w:hAnsi="Times New Roman"/>
        </w:rPr>
        <w:t>Affirmatively further fair housing.</w:t>
      </w:r>
    </w:p>
    <w:p w14:paraId="66523F23" w14:textId="77777777" w:rsidR="009C2295" w:rsidRDefault="009C2295" w:rsidP="007D0FDC">
      <w:pPr>
        <w:rPr>
          <w:rFonts w:ascii="Times New Roman" w:hAnsi="Times New Roman"/>
          <w:szCs w:val="24"/>
        </w:rPr>
      </w:pPr>
    </w:p>
    <w:p w14:paraId="7C4CFD59" w14:textId="69F6EB9A" w:rsidR="0085123F" w:rsidRDefault="0085123F" w:rsidP="007D0FDC">
      <w:pPr>
        <w:rPr>
          <w:rFonts w:ascii="Times New Roman" w:hAnsi="Times New Roman"/>
          <w:szCs w:val="24"/>
        </w:rPr>
      </w:pPr>
      <w:r>
        <w:rPr>
          <w:rFonts w:ascii="Times New Roman" w:hAnsi="Times New Roman"/>
          <w:szCs w:val="24"/>
        </w:rPr>
        <w:t xml:space="preserve">The </w:t>
      </w:r>
      <w:r w:rsidR="0042071F">
        <w:rPr>
          <w:rFonts w:ascii="Times New Roman" w:hAnsi="Times New Roman"/>
          <w:szCs w:val="24"/>
        </w:rPr>
        <w:t>HMC</w:t>
      </w:r>
      <w:r>
        <w:rPr>
          <w:rFonts w:ascii="Times New Roman" w:hAnsi="Times New Roman"/>
          <w:szCs w:val="24"/>
        </w:rPr>
        <w:t xml:space="preserve"> </w:t>
      </w:r>
      <w:r w:rsidR="009C2295">
        <w:rPr>
          <w:rFonts w:ascii="Times New Roman" w:hAnsi="Times New Roman"/>
          <w:szCs w:val="24"/>
        </w:rPr>
        <w:t>has been</w:t>
      </w:r>
      <w:r>
        <w:rPr>
          <w:rFonts w:ascii="Times New Roman" w:hAnsi="Times New Roman"/>
          <w:szCs w:val="24"/>
        </w:rPr>
        <w:t xml:space="preserve"> meeting </w:t>
      </w:r>
      <w:r w:rsidR="009C2295">
        <w:rPr>
          <w:rFonts w:ascii="Times New Roman" w:hAnsi="Times New Roman"/>
          <w:szCs w:val="24"/>
        </w:rPr>
        <w:t>since</w:t>
      </w:r>
      <w:r>
        <w:rPr>
          <w:rFonts w:ascii="Times New Roman" w:hAnsi="Times New Roman"/>
          <w:szCs w:val="24"/>
        </w:rPr>
        <w:t xml:space="preserve"> October 2019</w:t>
      </w:r>
      <w:r w:rsidR="00AD252A">
        <w:rPr>
          <w:rFonts w:ascii="Times New Roman" w:hAnsi="Times New Roman"/>
          <w:szCs w:val="24"/>
        </w:rPr>
        <w:t xml:space="preserve"> and is </w:t>
      </w:r>
      <w:r w:rsidR="00BF1D7E">
        <w:rPr>
          <w:rFonts w:ascii="Times New Roman" w:hAnsi="Times New Roman"/>
          <w:szCs w:val="24"/>
        </w:rPr>
        <w:t>expected</w:t>
      </w:r>
      <w:r w:rsidR="00AD252A">
        <w:rPr>
          <w:rFonts w:ascii="Times New Roman" w:hAnsi="Times New Roman"/>
          <w:szCs w:val="24"/>
        </w:rPr>
        <w:t xml:space="preserve"> to finalize its recommendations by September for consideration by the ABAG Regional Planning Committee</w:t>
      </w:r>
      <w:r w:rsidR="009C2295">
        <w:rPr>
          <w:rFonts w:ascii="Times New Roman" w:hAnsi="Times New Roman"/>
          <w:szCs w:val="24"/>
        </w:rPr>
        <w:t xml:space="preserve">. </w:t>
      </w:r>
      <w:r w:rsidR="00E66CCA">
        <w:rPr>
          <w:rFonts w:ascii="Times New Roman" w:hAnsi="Times New Roman"/>
          <w:szCs w:val="24"/>
        </w:rPr>
        <w:t>At the June meeting, the committee vote</w:t>
      </w:r>
      <w:r w:rsidR="00FC0AE4">
        <w:rPr>
          <w:rFonts w:ascii="Times New Roman" w:hAnsi="Times New Roman"/>
          <w:szCs w:val="24"/>
        </w:rPr>
        <w:t xml:space="preserve">d to give higher allocations to jurisdictions that 1) have </w:t>
      </w:r>
      <w:r w:rsidR="00327F1B">
        <w:rPr>
          <w:rFonts w:ascii="Times New Roman" w:hAnsi="Times New Roman"/>
          <w:szCs w:val="24"/>
        </w:rPr>
        <w:t xml:space="preserve">more jobs than housing </w:t>
      </w:r>
      <w:r w:rsidR="00FC0AE4">
        <w:rPr>
          <w:rFonts w:ascii="Times New Roman" w:hAnsi="Times New Roman"/>
          <w:szCs w:val="24"/>
        </w:rPr>
        <w:t xml:space="preserve">or are near </w:t>
      </w:r>
      <w:r w:rsidR="00327F1B">
        <w:rPr>
          <w:rFonts w:ascii="Times New Roman" w:hAnsi="Times New Roman"/>
          <w:szCs w:val="24"/>
        </w:rPr>
        <w:t>job centers</w:t>
      </w:r>
      <w:r w:rsidR="00FC0AE4">
        <w:rPr>
          <w:rFonts w:ascii="Times New Roman" w:hAnsi="Times New Roman"/>
          <w:szCs w:val="24"/>
        </w:rPr>
        <w:t xml:space="preserve"> and 2) have high opportunity areas. High opportunity areas are </w:t>
      </w:r>
      <w:r w:rsidR="00BF1D7E">
        <w:rPr>
          <w:rFonts w:ascii="Times New Roman" w:hAnsi="Times New Roman"/>
          <w:szCs w:val="24"/>
        </w:rPr>
        <w:t xml:space="preserve">defined </w:t>
      </w:r>
      <w:r w:rsidR="00FC0AE4">
        <w:rPr>
          <w:rFonts w:ascii="Times New Roman" w:hAnsi="Times New Roman"/>
          <w:szCs w:val="24"/>
        </w:rPr>
        <w:t>based on factors such as quality</w:t>
      </w:r>
      <w:r w:rsidR="00BF1D7E">
        <w:rPr>
          <w:rFonts w:ascii="Times New Roman" w:hAnsi="Times New Roman"/>
          <w:szCs w:val="24"/>
        </w:rPr>
        <w:t xml:space="preserve"> of</w:t>
      </w:r>
      <w:r w:rsidR="00FC0AE4">
        <w:rPr>
          <w:rFonts w:ascii="Times New Roman" w:hAnsi="Times New Roman"/>
          <w:szCs w:val="24"/>
        </w:rPr>
        <w:t xml:space="preserve"> schools and low crime.    </w:t>
      </w:r>
      <w:r w:rsidR="009C2295">
        <w:rPr>
          <w:rFonts w:ascii="Times New Roman" w:hAnsi="Times New Roman"/>
          <w:szCs w:val="24"/>
        </w:rPr>
        <w:t xml:space="preserve"> </w:t>
      </w:r>
      <w:r w:rsidR="00613947">
        <w:rPr>
          <w:rFonts w:ascii="Times New Roman" w:hAnsi="Times New Roman"/>
          <w:szCs w:val="24"/>
        </w:rPr>
        <w:t xml:space="preserve">  </w:t>
      </w:r>
    </w:p>
    <w:p w14:paraId="30A04528" w14:textId="268E3210" w:rsidR="00613947" w:rsidRDefault="00FC0AE4" w:rsidP="00FC0AE4">
      <w:pPr>
        <w:tabs>
          <w:tab w:val="left" w:pos="2928"/>
        </w:tabs>
        <w:rPr>
          <w:rFonts w:ascii="Times New Roman" w:hAnsi="Times New Roman"/>
          <w:szCs w:val="24"/>
        </w:rPr>
      </w:pPr>
      <w:r>
        <w:rPr>
          <w:rFonts w:ascii="Times New Roman" w:hAnsi="Times New Roman"/>
          <w:szCs w:val="24"/>
        </w:rPr>
        <w:tab/>
      </w:r>
    </w:p>
    <w:p w14:paraId="521005A0" w14:textId="58447EB5" w:rsidR="00A1616B" w:rsidRDefault="00571EF0" w:rsidP="00E66CCA">
      <w:pPr>
        <w:tabs>
          <w:tab w:val="left" w:pos="-1440"/>
        </w:tabs>
        <w:rPr>
          <w:rFonts w:ascii="Times New Roman" w:hAnsi="Times New Roman"/>
        </w:rPr>
      </w:pPr>
      <w:r>
        <w:rPr>
          <w:rFonts w:ascii="Times New Roman" w:hAnsi="Times New Roman"/>
        </w:rPr>
        <w:t xml:space="preserve">While the implication for ___ will not be known until this fall at the earliest, it is anticipated that most communities </w:t>
      </w:r>
      <w:r w:rsidR="00BF1D7E">
        <w:rPr>
          <w:rFonts w:ascii="Times New Roman" w:hAnsi="Times New Roman"/>
        </w:rPr>
        <w:t xml:space="preserve">in </w:t>
      </w:r>
      <w:r w:rsidR="007B4E40">
        <w:rPr>
          <w:rFonts w:ascii="Times New Roman" w:hAnsi="Times New Roman"/>
        </w:rPr>
        <w:t>Santa Clara County</w:t>
      </w:r>
      <w:r w:rsidR="00BF1D7E">
        <w:rPr>
          <w:rFonts w:ascii="Times New Roman" w:hAnsi="Times New Roman"/>
        </w:rPr>
        <w:t xml:space="preserve"> will receive RHNA targets </w:t>
      </w:r>
      <w:r w:rsidR="00D73386">
        <w:rPr>
          <w:rFonts w:ascii="Times New Roman" w:hAnsi="Times New Roman"/>
        </w:rPr>
        <w:t>several times</w:t>
      </w:r>
      <w:r w:rsidR="00BF1D7E">
        <w:rPr>
          <w:rFonts w:ascii="Times New Roman" w:hAnsi="Times New Roman"/>
        </w:rPr>
        <w:t xml:space="preserve"> higher than in the past update cycle, meaning that most jurisdictions </w:t>
      </w:r>
      <w:r>
        <w:rPr>
          <w:rFonts w:ascii="Times New Roman" w:hAnsi="Times New Roman"/>
        </w:rPr>
        <w:t xml:space="preserve">will need to rezone land to accommodate their RHNA. Rezoning often takes two years, meaning </w:t>
      </w:r>
      <w:r w:rsidR="00BF1D7E">
        <w:rPr>
          <w:rFonts w:ascii="Times New Roman" w:hAnsi="Times New Roman"/>
        </w:rPr>
        <w:t xml:space="preserve">that the update </w:t>
      </w:r>
      <w:r>
        <w:rPr>
          <w:rFonts w:ascii="Times New Roman" w:hAnsi="Times New Roman"/>
        </w:rPr>
        <w:t xml:space="preserve">process </w:t>
      </w:r>
      <w:r w:rsidR="00BF1D7E">
        <w:rPr>
          <w:rFonts w:ascii="Times New Roman" w:hAnsi="Times New Roman"/>
        </w:rPr>
        <w:t xml:space="preserve">needs to </w:t>
      </w:r>
      <w:r>
        <w:rPr>
          <w:rFonts w:ascii="Times New Roman" w:hAnsi="Times New Roman"/>
        </w:rPr>
        <w:t xml:space="preserve">begin soon.  </w:t>
      </w:r>
    </w:p>
    <w:sectPr w:rsidR="00A1616B">
      <w:footerReference w:type="default" r:id="rId7"/>
      <w:endnotePr>
        <w:numFmt w:val="decimal"/>
      </w:endnotePr>
      <w:type w:val="continuous"/>
      <w:pgSz w:w="12240" w:h="15840" w:code="1"/>
      <w:pgMar w:top="1080" w:right="1296" w:bottom="432" w:left="1296" w:header="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C42F7" w14:textId="77777777" w:rsidR="00E27D31" w:rsidRDefault="00E27D31">
      <w:r>
        <w:separator/>
      </w:r>
    </w:p>
  </w:endnote>
  <w:endnote w:type="continuationSeparator" w:id="0">
    <w:p w14:paraId="67CA7DD1" w14:textId="77777777" w:rsidR="00E27D31" w:rsidRDefault="00E2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BD62E" w14:textId="77777777" w:rsidR="004D6EEA" w:rsidRDefault="004D6EEA">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C8EDD" w14:textId="77777777" w:rsidR="00E27D31" w:rsidRDefault="00E27D31">
      <w:r>
        <w:separator/>
      </w:r>
    </w:p>
  </w:footnote>
  <w:footnote w:type="continuationSeparator" w:id="0">
    <w:p w14:paraId="22B55BA6" w14:textId="77777777" w:rsidR="00E27D31" w:rsidRDefault="00E27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331DB"/>
    <w:multiLevelType w:val="hybridMultilevel"/>
    <w:tmpl w:val="A3E07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D34EC7"/>
    <w:multiLevelType w:val="hybridMultilevel"/>
    <w:tmpl w:val="B64AA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A46C5"/>
    <w:multiLevelType w:val="hybridMultilevel"/>
    <w:tmpl w:val="94282A0A"/>
    <w:lvl w:ilvl="0" w:tplc="89482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685CB2"/>
    <w:multiLevelType w:val="hybridMultilevel"/>
    <w:tmpl w:val="A63E42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642BAC"/>
    <w:multiLevelType w:val="hybridMultilevel"/>
    <w:tmpl w:val="C74E7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F57AAF"/>
    <w:multiLevelType w:val="hybridMultilevel"/>
    <w:tmpl w:val="D7822F4E"/>
    <w:lvl w:ilvl="0" w:tplc="DD70D0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D6666B"/>
    <w:multiLevelType w:val="hybridMultilevel"/>
    <w:tmpl w:val="CD04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E11"/>
    <w:rsid w:val="00015DC5"/>
    <w:rsid w:val="00052ED3"/>
    <w:rsid w:val="0007648F"/>
    <w:rsid w:val="00081692"/>
    <w:rsid w:val="000B177C"/>
    <w:rsid w:val="000C2CF8"/>
    <w:rsid w:val="000C4827"/>
    <w:rsid w:val="00121EC7"/>
    <w:rsid w:val="0012236B"/>
    <w:rsid w:val="00134AD0"/>
    <w:rsid w:val="001A49D6"/>
    <w:rsid w:val="001C210B"/>
    <w:rsid w:val="0020452D"/>
    <w:rsid w:val="00213D0B"/>
    <w:rsid w:val="002201BA"/>
    <w:rsid w:val="002251C6"/>
    <w:rsid w:val="002308CE"/>
    <w:rsid w:val="00232FDF"/>
    <w:rsid w:val="0025761A"/>
    <w:rsid w:val="00257F35"/>
    <w:rsid w:val="002949EE"/>
    <w:rsid w:val="002B117E"/>
    <w:rsid w:val="00303096"/>
    <w:rsid w:val="003041E3"/>
    <w:rsid w:val="00323080"/>
    <w:rsid w:val="00327F1B"/>
    <w:rsid w:val="00347959"/>
    <w:rsid w:val="00393C94"/>
    <w:rsid w:val="00393CD8"/>
    <w:rsid w:val="003E4554"/>
    <w:rsid w:val="0042071F"/>
    <w:rsid w:val="0048799D"/>
    <w:rsid w:val="004B1B3E"/>
    <w:rsid w:val="004D4CAB"/>
    <w:rsid w:val="004D6EEA"/>
    <w:rsid w:val="004E1E64"/>
    <w:rsid w:val="004E7A32"/>
    <w:rsid w:val="004F26C8"/>
    <w:rsid w:val="00511437"/>
    <w:rsid w:val="005369E1"/>
    <w:rsid w:val="00541125"/>
    <w:rsid w:val="00571EF0"/>
    <w:rsid w:val="00576E12"/>
    <w:rsid w:val="00590B88"/>
    <w:rsid w:val="005B07DD"/>
    <w:rsid w:val="005C66E0"/>
    <w:rsid w:val="00613947"/>
    <w:rsid w:val="00614C40"/>
    <w:rsid w:val="00675142"/>
    <w:rsid w:val="006860BA"/>
    <w:rsid w:val="006A6476"/>
    <w:rsid w:val="006D0D8D"/>
    <w:rsid w:val="006E2F30"/>
    <w:rsid w:val="00727C10"/>
    <w:rsid w:val="00740E47"/>
    <w:rsid w:val="00761CC9"/>
    <w:rsid w:val="00791011"/>
    <w:rsid w:val="007B34CE"/>
    <w:rsid w:val="007B4E40"/>
    <w:rsid w:val="007D0FDC"/>
    <w:rsid w:val="00801C1E"/>
    <w:rsid w:val="00826E01"/>
    <w:rsid w:val="0085123F"/>
    <w:rsid w:val="00872976"/>
    <w:rsid w:val="00875433"/>
    <w:rsid w:val="008756ED"/>
    <w:rsid w:val="0089311C"/>
    <w:rsid w:val="008A7B75"/>
    <w:rsid w:val="008B405F"/>
    <w:rsid w:val="008B57D7"/>
    <w:rsid w:val="008D64A2"/>
    <w:rsid w:val="008E0DF2"/>
    <w:rsid w:val="0090209F"/>
    <w:rsid w:val="009031CC"/>
    <w:rsid w:val="009772C1"/>
    <w:rsid w:val="009C2295"/>
    <w:rsid w:val="009F767E"/>
    <w:rsid w:val="00A1616B"/>
    <w:rsid w:val="00A65109"/>
    <w:rsid w:val="00AD252A"/>
    <w:rsid w:val="00AE64B1"/>
    <w:rsid w:val="00AF15AE"/>
    <w:rsid w:val="00B25023"/>
    <w:rsid w:val="00B3648E"/>
    <w:rsid w:val="00B567CB"/>
    <w:rsid w:val="00B723D9"/>
    <w:rsid w:val="00BA1E57"/>
    <w:rsid w:val="00BB11FE"/>
    <w:rsid w:val="00BC39F8"/>
    <w:rsid w:val="00BC3BC2"/>
    <w:rsid w:val="00BD4777"/>
    <w:rsid w:val="00BF1D7E"/>
    <w:rsid w:val="00C04286"/>
    <w:rsid w:val="00C042E5"/>
    <w:rsid w:val="00C12C05"/>
    <w:rsid w:val="00C25AD3"/>
    <w:rsid w:val="00C60499"/>
    <w:rsid w:val="00C907AC"/>
    <w:rsid w:val="00CB37B3"/>
    <w:rsid w:val="00CC2007"/>
    <w:rsid w:val="00CD4E34"/>
    <w:rsid w:val="00D07560"/>
    <w:rsid w:val="00D52A7E"/>
    <w:rsid w:val="00D56449"/>
    <w:rsid w:val="00D73386"/>
    <w:rsid w:val="00D90B33"/>
    <w:rsid w:val="00DF0971"/>
    <w:rsid w:val="00E26AA7"/>
    <w:rsid w:val="00E27D31"/>
    <w:rsid w:val="00E36D90"/>
    <w:rsid w:val="00E66CCA"/>
    <w:rsid w:val="00E85A9C"/>
    <w:rsid w:val="00E90E11"/>
    <w:rsid w:val="00E94AC1"/>
    <w:rsid w:val="00F108FE"/>
    <w:rsid w:val="00F17CD3"/>
    <w:rsid w:val="00F31287"/>
    <w:rsid w:val="00F82C6A"/>
    <w:rsid w:val="00F83D41"/>
    <w:rsid w:val="00FA2195"/>
    <w:rsid w:val="00FB2C08"/>
    <w:rsid w:val="00FC0AE4"/>
    <w:rsid w:val="00FF3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223F90"/>
  <w15:chartTrackingRefBased/>
  <w15:docId w15:val="{BFE38035-AF05-4F07-B8AF-CCB7FDF81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692"/>
    <w:pPr>
      <w:widowControl w:val="0"/>
    </w:pPr>
    <w:rPr>
      <w:rFonts w:ascii="Courier" w:hAnsi="Courier"/>
      <w:snapToGrid w:val="0"/>
      <w:sz w:val="24"/>
    </w:rPr>
  </w:style>
  <w:style w:type="paragraph" w:styleId="Heading1">
    <w:name w:val="heading 1"/>
    <w:basedOn w:val="Normal"/>
    <w:next w:val="Normal"/>
    <w:qFormat/>
    <w:pPr>
      <w:keepNext/>
      <w:tabs>
        <w:tab w:val="center" w:pos="4680"/>
      </w:tabs>
      <w:outlineLvl w:val="0"/>
    </w:pPr>
    <w:rPr>
      <w:rFonts w:ascii="Times New Roman" w:hAnsi="Times New Roman"/>
      <w:b/>
      <w:sz w:val="36"/>
    </w:rPr>
  </w:style>
  <w:style w:type="paragraph" w:styleId="Heading2">
    <w:name w:val="heading 2"/>
    <w:basedOn w:val="Normal"/>
    <w:next w:val="Normal"/>
    <w:qFormat/>
    <w:pPr>
      <w:keepNext/>
      <w:tabs>
        <w:tab w:val="center" w:pos="4680"/>
      </w:tabs>
      <w:jc w:val="center"/>
      <w:outlineLvl w:val="1"/>
    </w:pPr>
    <w:rPr>
      <w:rFonts w:ascii="Times New Roman" w:hAnsi="Times New Rom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tabs>
        <w:tab w:val="center" w:pos="4680"/>
      </w:tabs>
      <w:jc w:val="center"/>
    </w:pPr>
    <w:rPr>
      <w:rFonts w:ascii="Times New Roman" w:hAnsi="Times New Roman"/>
      <w:b/>
    </w:rPr>
  </w:style>
  <w:style w:type="paragraph" w:customStyle="1" w:styleId="CenterTitle">
    <w:name w:val="CenterTitle"/>
    <w:basedOn w:val="Normal"/>
    <w:pPr>
      <w:tabs>
        <w:tab w:val="center" w:pos="4680"/>
      </w:tabs>
      <w:spacing w:line="480" w:lineRule="auto"/>
      <w:jc w:val="center"/>
    </w:pPr>
    <w:rPr>
      <w:rFonts w:ascii="Times New Roman" w:hAnsi="Times New Roman"/>
      <w:b/>
    </w:rPr>
  </w:style>
  <w:style w:type="paragraph" w:customStyle="1" w:styleId="para1">
    <w:name w:val="para1"/>
    <w:basedOn w:val="Normal"/>
    <w:pPr>
      <w:tabs>
        <w:tab w:val="left" w:pos="720"/>
      </w:tabs>
      <w:spacing w:line="480" w:lineRule="auto"/>
      <w:jc w:val="both"/>
    </w:pPr>
    <w:rPr>
      <w:rFonts w:ascii="Times New Roman" w:hAnsi="Times New Roman"/>
    </w:r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347959"/>
    <w:rPr>
      <w:rFonts w:ascii="Tahoma" w:hAnsi="Tahoma"/>
      <w:sz w:val="16"/>
      <w:szCs w:val="16"/>
      <w:lang w:val="x-none" w:eastAsia="x-none"/>
    </w:rPr>
  </w:style>
  <w:style w:type="character" w:customStyle="1" w:styleId="BalloonTextChar">
    <w:name w:val="Balloon Text Char"/>
    <w:link w:val="BalloonText"/>
    <w:uiPriority w:val="99"/>
    <w:semiHidden/>
    <w:rsid w:val="00347959"/>
    <w:rPr>
      <w:rFonts w:ascii="Tahoma" w:hAnsi="Tahoma" w:cs="Tahoma"/>
      <w:snapToGrid w:val="0"/>
      <w:sz w:val="16"/>
      <w:szCs w:val="16"/>
    </w:rPr>
  </w:style>
  <w:style w:type="character" w:styleId="CommentReference">
    <w:name w:val="annotation reference"/>
    <w:uiPriority w:val="99"/>
    <w:semiHidden/>
    <w:unhideWhenUsed/>
    <w:rsid w:val="00323080"/>
    <w:rPr>
      <w:sz w:val="16"/>
      <w:szCs w:val="16"/>
    </w:rPr>
  </w:style>
  <w:style w:type="paragraph" w:styleId="CommentText">
    <w:name w:val="annotation text"/>
    <w:basedOn w:val="Normal"/>
    <w:link w:val="CommentTextChar"/>
    <w:uiPriority w:val="99"/>
    <w:semiHidden/>
    <w:unhideWhenUsed/>
    <w:rsid w:val="00323080"/>
    <w:rPr>
      <w:sz w:val="20"/>
      <w:lang w:val="x-none" w:eastAsia="x-none"/>
    </w:rPr>
  </w:style>
  <w:style w:type="character" w:customStyle="1" w:styleId="CommentTextChar">
    <w:name w:val="Comment Text Char"/>
    <w:link w:val="CommentText"/>
    <w:uiPriority w:val="99"/>
    <w:semiHidden/>
    <w:rsid w:val="00323080"/>
    <w:rPr>
      <w:rFonts w:ascii="Courier" w:hAnsi="Courier"/>
      <w:snapToGrid w:val="0"/>
    </w:rPr>
  </w:style>
  <w:style w:type="paragraph" w:styleId="CommentSubject">
    <w:name w:val="annotation subject"/>
    <w:basedOn w:val="CommentText"/>
    <w:next w:val="CommentText"/>
    <w:link w:val="CommentSubjectChar"/>
    <w:uiPriority w:val="99"/>
    <w:semiHidden/>
    <w:unhideWhenUsed/>
    <w:rsid w:val="00323080"/>
    <w:rPr>
      <w:b/>
      <w:bCs/>
    </w:rPr>
  </w:style>
  <w:style w:type="character" w:customStyle="1" w:styleId="CommentSubjectChar">
    <w:name w:val="Comment Subject Char"/>
    <w:link w:val="CommentSubject"/>
    <w:uiPriority w:val="99"/>
    <w:semiHidden/>
    <w:rsid w:val="00323080"/>
    <w:rPr>
      <w:rFonts w:ascii="Courier" w:hAnsi="Courier"/>
      <w:b/>
      <w:bCs/>
      <w:snapToGrid w:val="0"/>
    </w:rPr>
  </w:style>
  <w:style w:type="paragraph" w:customStyle="1" w:styleId="Default">
    <w:name w:val="Default"/>
    <w:rsid w:val="0085123F"/>
    <w:pPr>
      <w:autoSpaceDE w:val="0"/>
      <w:autoSpaceDN w:val="0"/>
      <w:adjustRightInd w:val="0"/>
    </w:pPr>
    <w:rPr>
      <w:rFonts w:ascii="Arial" w:hAnsi="Arial" w:cs="Arial"/>
      <w:color w:val="000000"/>
      <w:sz w:val="24"/>
      <w:szCs w:val="24"/>
    </w:rPr>
  </w:style>
  <w:style w:type="character" w:styleId="Hyperlink">
    <w:name w:val="Hyperlink"/>
    <w:uiPriority w:val="99"/>
    <w:unhideWhenUsed/>
    <w:rsid w:val="00A1616B"/>
    <w:rPr>
      <w:color w:val="0563C1"/>
      <w:u w:val="single"/>
    </w:rPr>
  </w:style>
  <w:style w:type="character" w:customStyle="1" w:styleId="UnresolvedMention1">
    <w:name w:val="Unresolved Mention1"/>
    <w:uiPriority w:val="99"/>
    <w:semiHidden/>
    <w:unhideWhenUsed/>
    <w:rsid w:val="00A1616B"/>
    <w:rPr>
      <w:color w:val="605E5C"/>
      <w:shd w:val="clear" w:color="auto" w:fill="E1DFDD"/>
    </w:rPr>
  </w:style>
  <w:style w:type="table" w:styleId="TableGrid">
    <w:name w:val="Table Grid"/>
    <w:basedOn w:val="TableNormal"/>
    <w:uiPriority w:val="59"/>
    <w:rsid w:val="004B1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40E47"/>
    <w:pPr>
      <w:autoSpaceDE w:val="0"/>
      <w:autoSpaceDN w:val="0"/>
      <w:adjustRightInd w:val="0"/>
      <w:jc w:val="both"/>
    </w:pPr>
    <w:rPr>
      <w:rFonts w:ascii="Times New Roman" w:hAnsi="Times New Roman"/>
      <w:snapToGrid/>
      <w:szCs w:val="24"/>
    </w:rPr>
  </w:style>
  <w:style w:type="character" w:customStyle="1" w:styleId="BodyTextChar">
    <w:name w:val="Body Text Char"/>
    <w:basedOn w:val="DefaultParagraphFont"/>
    <w:link w:val="BodyText"/>
    <w:rsid w:val="00740E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7089955">
      <w:bodyDiv w:val="1"/>
      <w:marLeft w:val="0"/>
      <w:marRight w:val="0"/>
      <w:marTop w:val="0"/>
      <w:marBottom w:val="0"/>
      <w:divBdr>
        <w:top w:val="none" w:sz="0" w:space="0" w:color="auto"/>
        <w:left w:val="none" w:sz="0" w:space="0" w:color="auto"/>
        <w:bottom w:val="none" w:sz="0" w:space="0" w:color="auto"/>
        <w:right w:val="none" w:sz="0" w:space="0" w:color="auto"/>
      </w:divBdr>
    </w:div>
    <w:div w:id="150188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C/CAG AGENDA REPORT</vt:lpstr>
    </vt:vector>
  </TitlesOfParts>
  <Company>Dept Of Public Works</Company>
  <LinksUpToDate>false</LinksUpToDate>
  <CharactersWithSpaces>4519</CharactersWithSpaces>
  <SharedDoc>false</SharedDoc>
  <HLinks>
    <vt:vector size="6" baseType="variant">
      <vt:variant>
        <vt:i4>917513</vt:i4>
      </vt:variant>
      <vt:variant>
        <vt:i4>0</vt:i4>
      </vt:variant>
      <vt:variant>
        <vt:i4>0</vt:i4>
      </vt:variant>
      <vt:variant>
        <vt:i4>5</vt:i4>
      </vt:variant>
      <vt:variant>
        <vt:lpwstr>https://www.ccag.ca.gov/committees/board-of-directors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C/CAG AGENDA REPORT</dc:title>
  <dc:subject/>
  <dc:creator>PWUser</dc:creator>
  <cp:keywords/>
  <cp:lastModifiedBy>paul peninger</cp:lastModifiedBy>
  <cp:revision>2</cp:revision>
  <cp:lastPrinted>2015-03-05T17:59:00Z</cp:lastPrinted>
  <dcterms:created xsi:type="dcterms:W3CDTF">2020-07-23T21:36:00Z</dcterms:created>
  <dcterms:modified xsi:type="dcterms:W3CDTF">2020-07-23T21:36:00Z</dcterms:modified>
</cp:coreProperties>
</file>