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4ED2A" w14:textId="77777777" w:rsidR="006B2566" w:rsidRDefault="00D66BB9" w:rsidP="006B2566">
      <w:r>
        <w:rPr>
          <w:noProof/>
        </w:rPr>
        <w:pict w14:anchorId="3D4584EC">
          <v:rect id="_x0000_i1025" alt="" style="width:468pt;height:.05pt;mso-width-percent:0;mso-height-percent:0;mso-width-percent:0;mso-height-percent:0" o:hralign="center" o:hrstd="t" o:hr="t" fillcolor="#a0a0a0" stroked="f"/>
        </w:pict>
      </w:r>
    </w:p>
    <w:p w14:paraId="19EB4FC8" w14:textId="419BACF2" w:rsidR="006B2566" w:rsidRDefault="00EC0E9F" w:rsidP="00173B1B">
      <w:pPr>
        <w:spacing w:after="120"/>
        <w:jc w:val="center"/>
        <w:rPr>
          <w:b/>
          <w:sz w:val="36"/>
          <w:szCs w:val="36"/>
        </w:rPr>
      </w:pPr>
      <w:r>
        <w:rPr>
          <w:b/>
          <w:sz w:val="36"/>
          <w:szCs w:val="36"/>
        </w:rPr>
        <w:t>D</w:t>
      </w:r>
      <w:r w:rsidR="00790F4B">
        <w:rPr>
          <w:b/>
          <w:sz w:val="36"/>
          <w:szCs w:val="36"/>
        </w:rPr>
        <w:t>RAF</w:t>
      </w:r>
      <w:r>
        <w:rPr>
          <w:b/>
          <w:sz w:val="36"/>
          <w:szCs w:val="36"/>
        </w:rPr>
        <w:t xml:space="preserve">T </w:t>
      </w:r>
      <w:r w:rsidR="000A1B5A">
        <w:rPr>
          <w:b/>
          <w:sz w:val="36"/>
          <w:szCs w:val="36"/>
        </w:rPr>
        <w:t>Housing Element</w:t>
      </w:r>
      <w:r w:rsidR="006B2566">
        <w:rPr>
          <w:b/>
          <w:sz w:val="36"/>
          <w:szCs w:val="36"/>
        </w:rPr>
        <w:t xml:space="preserve"> Staff Report</w:t>
      </w:r>
    </w:p>
    <w:p w14:paraId="7360784E" w14:textId="77777777" w:rsidR="006B2566" w:rsidRDefault="006B2566" w:rsidP="00173B1B">
      <w:pPr>
        <w:spacing w:after="0"/>
        <w:jc w:val="center"/>
        <w:rPr>
          <w:noProof/>
        </w:rPr>
      </w:pPr>
      <w:r>
        <w:rPr>
          <w:noProof/>
        </w:rPr>
        <w:t>January 2021</w:t>
      </w:r>
    </w:p>
    <w:p w14:paraId="56F44192" w14:textId="77777777" w:rsidR="006B2566" w:rsidRDefault="00D66BB9" w:rsidP="006B2566">
      <w:pPr>
        <w:jc w:val="center"/>
        <w:rPr>
          <w:b/>
          <w:sz w:val="6"/>
          <w:szCs w:val="6"/>
        </w:rPr>
      </w:pPr>
      <w:r>
        <w:rPr>
          <w:noProof/>
        </w:rPr>
        <w:pict w14:anchorId="0FAB2320">
          <v:rect id="_x0000_i1026" alt="" style="width:468pt;height:.05pt;mso-width-percent:0;mso-height-percent:0;mso-width-percent:0;mso-height-percent:0" o:hralign="center" o:hrstd="t" o:hr="t" fillcolor="#a0a0a0" stroked="f"/>
        </w:pict>
      </w:r>
    </w:p>
    <w:p w14:paraId="738453FB" w14:textId="77777777" w:rsidR="006B2566" w:rsidRPr="006B2566" w:rsidRDefault="006B2566" w:rsidP="006B2566">
      <w:pPr>
        <w:jc w:val="center"/>
        <w:rPr>
          <w:b/>
        </w:rPr>
      </w:pPr>
    </w:p>
    <w:p w14:paraId="3696AB23" w14:textId="6B34E4CB" w:rsidR="006B2566" w:rsidRPr="006B2566" w:rsidRDefault="006B2566" w:rsidP="006B2566">
      <w:pPr>
        <w:rPr>
          <w:rFonts w:ascii="Calibri" w:eastAsia="Calibri" w:hAnsi="Calibri" w:cs="Calibri"/>
        </w:rPr>
      </w:pPr>
      <w:r w:rsidRPr="006B2566">
        <w:rPr>
          <w:rFonts w:ascii="Calibri" w:eastAsia="Calibri" w:hAnsi="Calibri" w:cs="Calibri"/>
          <w:b/>
        </w:rPr>
        <w:t xml:space="preserve">Note: </w:t>
      </w:r>
      <w:r>
        <w:rPr>
          <w:rFonts w:ascii="Calibri" w:eastAsia="Calibri" w:hAnsi="Calibri" w:cs="Calibri"/>
        </w:rPr>
        <w:t xml:space="preserve">This document contains sample language you can use when preparing a staff report introducing your City Council </w:t>
      </w:r>
      <w:r w:rsidR="00412A72">
        <w:rPr>
          <w:rFonts w:ascii="Calibri" w:eastAsia="Calibri" w:hAnsi="Calibri" w:cs="Calibri"/>
        </w:rPr>
        <w:t>and/or Planning Commission t</w:t>
      </w:r>
      <w:r>
        <w:rPr>
          <w:rFonts w:ascii="Calibri" w:eastAsia="Calibri" w:hAnsi="Calibri" w:cs="Calibri"/>
        </w:rPr>
        <w:t xml:space="preserve">o </w:t>
      </w:r>
      <w:r w:rsidR="000A1B5A">
        <w:rPr>
          <w:rFonts w:ascii="Calibri" w:eastAsia="Calibri" w:hAnsi="Calibri" w:cs="Calibri"/>
        </w:rPr>
        <w:t>Housing Element</w:t>
      </w:r>
      <w:r>
        <w:rPr>
          <w:rFonts w:ascii="Calibri" w:eastAsia="Calibri" w:hAnsi="Calibri" w:cs="Calibri"/>
        </w:rPr>
        <w:t xml:space="preserve">s. </w:t>
      </w:r>
      <w:r w:rsidR="00003258">
        <w:rPr>
          <w:rFonts w:ascii="Calibri" w:eastAsia="Calibri" w:hAnsi="Calibri" w:cs="Calibri"/>
        </w:rPr>
        <w:t xml:space="preserve">Be sure to replace the </w:t>
      </w:r>
      <w:r w:rsidR="00003258" w:rsidRPr="00003258">
        <w:rPr>
          <w:rFonts w:ascii="Calibri" w:eastAsia="Calibri" w:hAnsi="Calibri" w:cs="Calibri"/>
          <w:highlight w:val="yellow"/>
        </w:rPr>
        <w:t>yellow highlights</w:t>
      </w:r>
      <w:r w:rsidR="00003258">
        <w:rPr>
          <w:rFonts w:ascii="Calibri" w:eastAsia="Calibri" w:hAnsi="Calibri" w:cs="Calibri"/>
        </w:rPr>
        <w:t xml:space="preserve"> with information for your jurisdiction. Additionally, if you are hiring a </w:t>
      </w:r>
      <w:r w:rsidR="00556B13">
        <w:rPr>
          <w:rFonts w:ascii="Calibri" w:eastAsia="Calibri" w:hAnsi="Calibri" w:cs="Calibri"/>
        </w:rPr>
        <w:t xml:space="preserve">consultant, adjust the language accordingly. </w:t>
      </w:r>
    </w:p>
    <w:p w14:paraId="4D30275E" w14:textId="77777777" w:rsidR="009F3D04" w:rsidRPr="00F826B6" w:rsidRDefault="0030183B" w:rsidP="00F826B6">
      <w:pPr>
        <w:pStyle w:val="Heading1"/>
        <w:rPr>
          <w:b/>
        </w:rPr>
      </w:pPr>
      <w:r>
        <w:rPr>
          <w:b/>
        </w:rPr>
        <w:t>Executive Summary</w:t>
      </w:r>
    </w:p>
    <w:p w14:paraId="4B633031" w14:textId="6DFF5772" w:rsidR="0003755B" w:rsidRDefault="000F0F86">
      <w:r>
        <w:t xml:space="preserve">The </w:t>
      </w:r>
      <w:r w:rsidR="000A1B5A">
        <w:t>Housing Element</w:t>
      </w:r>
      <w:r>
        <w:t xml:space="preserve"> is part of </w:t>
      </w:r>
      <w:r w:rsidR="00E90575" w:rsidRPr="00E90575">
        <w:rPr>
          <w:highlight w:val="yellow"/>
        </w:rPr>
        <w:t>JURISDICTION</w:t>
      </w:r>
      <w:r>
        <w:t xml:space="preserve">’s General Plan and identifies policies and programs to meet the housing needs of </w:t>
      </w:r>
      <w:r w:rsidR="000A1B5A">
        <w:t xml:space="preserve">the city’s </w:t>
      </w:r>
      <w:r>
        <w:t xml:space="preserve">current and future residents. </w:t>
      </w:r>
      <w:r w:rsidRPr="000F0F86">
        <w:t xml:space="preserve">State law (Government Code Sections 65580-65589.8) requires that every city and county in California adopt a </w:t>
      </w:r>
      <w:r w:rsidR="000A1B5A">
        <w:t>Housing Element</w:t>
      </w:r>
      <w:r>
        <w:t xml:space="preserve">, approximately every eight years. In addition, the State Department of Housing and Community Development </w:t>
      </w:r>
      <w:r w:rsidR="00EC0A76">
        <w:t xml:space="preserve">(HCD) </w:t>
      </w:r>
      <w:r>
        <w:t xml:space="preserve">reviews and certifies that each </w:t>
      </w:r>
      <w:r w:rsidR="00E90575" w:rsidRPr="00E90575">
        <w:rPr>
          <w:highlight w:val="yellow"/>
        </w:rPr>
        <w:t>JURISDICTION</w:t>
      </w:r>
      <w:r w:rsidR="000A1B5A">
        <w:t>’</w:t>
      </w:r>
      <w:r>
        <w:t xml:space="preserve">s </w:t>
      </w:r>
      <w:r w:rsidR="000A1B5A">
        <w:t>Housing Element</w:t>
      </w:r>
      <w:r>
        <w:t xml:space="preserve"> meets all the requirements of the law. </w:t>
      </w:r>
      <w:r w:rsidR="00E90575" w:rsidRPr="00E90575">
        <w:rPr>
          <w:highlight w:val="yellow"/>
        </w:rPr>
        <w:t>JURISDICTION</w:t>
      </w:r>
      <w:r>
        <w:t xml:space="preserve">’s </w:t>
      </w:r>
      <w:r w:rsidR="000A1B5A">
        <w:t>previous Housing Element</w:t>
      </w:r>
      <w:r>
        <w:t xml:space="preserve"> was adopted in </w:t>
      </w:r>
      <w:r w:rsidRPr="00EC0A76">
        <w:rPr>
          <w:highlight w:val="yellow"/>
        </w:rPr>
        <w:t>YEAR</w:t>
      </w:r>
      <w:r>
        <w:t xml:space="preserve"> and </w:t>
      </w:r>
      <w:r w:rsidR="000A1B5A">
        <w:t xml:space="preserve">the new </w:t>
      </w:r>
      <w:r w:rsidR="00EC0A76">
        <w:t>document</w:t>
      </w:r>
      <w:r w:rsidR="000A1B5A">
        <w:t xml:space="preserve"> </w:t>
      </w:r>
      <w:r>
        <w:t>must be adopted by January 2023</w:t>
      </w:r>
      <w:r w:rsidR="00F63713">
        <w:t>, but the approval process can take several months</w:t>
      </w:r>
      <w:r>
        <w:t xml:space="preserve">. </w:t>
      </w:r>
      <w:r w:rsidR="00923571">
        <w:t xml:space="preserve">The work effort to update the Housing Element is now getting underway, as outlined in this memo. </w:t>
      </w:r>
      <w:r w:rsidR="006C185F">
        <w:t xml:space="preserve">No </w:t>
      </w:r>
      <w:r w:rsidR="000A1B5A">
        <w:t xml:space="preserve">Council </w:t>
      </w:r>
      <w:r w:rsidR="00412A72">
        <w:t xml:space="preserve">(or Commission) </w:t>
      </w:r>
      <w:r w:rsidR="006C185F">
        <w:t xml:space="preserve">action is required at this time. </w:t>
      </w:r>
    </w:p>
    <w:p w14:paraId="373CA8FC" w14:textId="673A39CD" w:rsidR="00BB7C5E" w:rsidRDefault="00BB7C5E">
      <w:r>
        <w:t xml:space="preserve">This </w:t>
      </w:r>
      <w:r w:rsidR="000A1B5A">
        <w:t>Housing Element</w:t>
      </w:r>
      <w:r w:rsidR="00923571">
        <w:t xml:space="preserve"> update</w:t>
      </w:r>
      <w:r>
        <w:t xml:space="preserve"> </w:t>
      </w:r>
      <w:r w:rsidR="00412A72">
        <w:t xml:space="preserve">process </w:t>
      </w:r>
      <w:r>
        <w:t xml:space="preserve">is expected to be more </w:t>
      </w:r>
      <w:r w:rsidR="00412A72">
        <w:t xml:space="preserve">time intensive and rigorous </w:t>
      </w:r>
      <w:r w:rsidR="001270B1">
        <w:t xml:space="preserve">than previous cycles for several reasons. </w:t>
      </w:r>
      <w:r w:rsidR="00E90575" w:rsidRPr="00E90575">
        <w:rPr>
          <w:highlight w:val="yellow"/>
        </w:rPr>
        <w:t>JURISDICTION</w:t>
      </w:r>
      <w:r w:rsidR="00A7609E">
        <w:t xml:space="preserve">’s Regional Housing Needs Allocation (RHNA) is significantly higher than last cycle, </w:t>
      </w:r>
      <w:r w:rsidR="00A7609E" w:rsidRPr="000A1B5A">
        <w:rPr>
          <w:highlight w:val="yellow"/>
        </w:rPr>
        <w:t>NUMBER</w:t>
      </w:r>
      <w:r w:rsidR="00A7609E">
        <w:t xml:space="preserve"> compared to </w:t>
      </w:r>
      <w:r w:rsidR="00A7609E" w:rsidRPr="000A1B5A">
        <w:rPr>
          <w:highlight w:val="yellow"/>
        </w:rPr>
        <w:t>PREVIOUS NUMBER</w:t>
      </w:r>
      <w:r w:rsidR="00A7609E">
        <w:t xml:space="preserve">. </w:t>
      </w:r>
      <w:r w:rsidR="00923571">
        <w:t>Also, b</w:t>
      </w:r>
      <w:r w:rsidR="00B30BA0">
        <w:t xml:space="preserve">ecause of changes in state law, it will be harder to identify sites that </w:t>
      </w:r>
      <w:r w:rsidR="00923571">
        <w:t xml:space="preserve">can </w:t>
      </w:r>
      <w:r w:rsidR="00B30BA0">
        <w:t xml:space="preserve">count towards meeting the RHNA. </w:t>
      </w:r>
      <w:r w:rsidR="00923571">
        <w:t>T</w:t>
      </w:r>
      <w:r w:rsidR="00357484">
        <w:t xml:space="preserve">here are </w:t>
      </w:r>
      <w:r w:rsidR="00923571">
        <w:t xml:space="preserve">also other </w:t>
      </w:r>
      <w:r w:rsidR="00357484">
        <w:t>new rules, such as Affirmatively Furthering Fair Housing</w:t>
      </w:r>
      <w:r w:rsidR="00923571">
        <w:t xml:space="preserve"> (described below)</w:t>
      </w:r>
      <w:r w:rsidR="00357484">
        <w:t xml:space="preserve">, which are in effect for the first time this cycle. </w:t>
      </w:r>
      <w:r w:rsidR="00CA26C3">
        <w:t xml:space="preserve"> </w:t>
      </w:r>
    </w:p>
    <w:p w14:paraId="2D2B9594" w14:textId="35490603" w:rsidR="00D64B65" w:rsidRDefault="00923571">
      <w:r w:rsidRPr="00B51D32">
        <w:rPr>
          <w:highlight w:val="yellow"/>
        </w:rPr>
        <w:t xml:space="preserve">Adjust accordingly if you </w:t>
      </w:r>
      <w:r>
        <w:rPr>
          <w:highlight w:val="yellow"/>
        </w:rPr>
        <w:t>are hiring a consultant</w:t>
      </w:r>
      <w:r w:rsidRPr="00B51D32">
        <w:rPr>
          <w:highlight w:val="yellow"/>
        </w:rPr>
        <w:t>.</w:t>
      </w:r>
      <w:r>
        <w:t xml:space="preserve">  </w:t>
      </w:r>
      <w:r w:rsidR="00D64B65">
        <w:t>The City will be collaborating with other jurisdiction</w:t>
      </w:r>
      <w:r w:rsidR="004F3818">
        <w:t xml:space="preserve">s in </w:t>
      </w:r>
      <w:r w:rsidR="00412A72">
        <w:t>Santa Clara County</w:t>
      </w:r>
      <w:r w:rsidR="004F3818">
        <w:t xml:space="preserve"> to complete </w:t>
      </w:r>
      <w:r>
        <w:t xml:space="preserve">our </w:t>
      </w:r>
      <w:r w:rsidR="000A1B5A">
        <w:t>Housing Element</w:t>
      </w:r>
      <w:r w:rsidR="003101A8">
        <w:t xml:space="preserve"> through </w:t>
      </w:r>
      <w:r w:rsidR="00412A72">
        <w:t>the Santa Clara County Planning Collaborative</w:t>
      </w:r>
      <w:r w:rsidR="00D63067">
        <w:t xml:space="preserve">. </w:t>
      </w:r>
      <w:r w:rsidR="00412A72">
        <w:t>The Collaborative</w:t>
      </w:r>
      <w:r w:rsidR="00D63067">
        <w:t xml:space="preserve"> will assist </w:t>
      </w:r>
      <w:r w:rsidR="00E90575" w:rsidRPr="00E90575">
        <w:rPr>
          <w:highlight w:val="yellow"/>
        </w:rPr>
        <w:t>JURISDICTION</w:t>
      </w:r>
      <w:r w:rsidR="00D63067">
        <w:t xml:space="preserve"> staff in completing the necessary tasks to </w:t>
      </w:r>
      <w:r>
        <w:t xml:space="preserve">achieve </w:t>
      </w:r>
      <w:r w:rsidR="00D63067">
        <w:t xml:space="preserve">a certified </w:t>
      </w:r>
      <w:r w:rsidR="000A1B5A">
        <w:t>Housing Element</w:t>
      </w:r>
      <w:r w:rsidR="00D63067">
        <w:t xml:space="preserve">. </w:t>
      </w:r>
      <w:r w:rsidR="00F543B7">
        <w:t xml:space="preserve">This approach will be significantly less expensive than the traditional route of hiring a consultant to run the process. </w:t>
      </w:r>
      <w:r w:rsidR="004F3818">
        <w:t xml:space="preserve"> </w:t>
      </w:r>
    </w:p>
    <w:p w14:paraId="7C1613EC" w14:textId="3B69BA90" w:rsidR="00357484" w:rsidRDefault="00357484">
      <w:r w:rsidRPr="007252F3">
        <w:rPr>
          <w:highlight w:val="yellow"/>
        </w:rPr>
        <w:t xml:space="preserve">JURISDICTION will also need to update its </w:t>
      </w:r>
      <w:r w:rsidR="00AB6C07">
        <w:rPr>
          <w:highlight w:val="yellow"/>
        </w:rPr>
        <w:t>Safety</w:t>
      </w:r>
      <w:r w:rsidR="000A1B5A">
        <w:rPr>
          <w:highlight w:val="yellow"/>
        </w:rPr>
        <w:t xml:space="preserve"> Element</w:t>
      </w:r>
      <w:r w:rsidRPr="007252F3">
        <w:rPr>
          <w:highlight w:val="yellow"/>
        </w:rPr>
        <w:t xml:space="preserve"> and </w:t>
      </w:r>
      <w:r w:rsidR="00412A72">
        <w:rPr>
          <w:highlight w:val="yellow"/>
        </w:rPr>
        <w:t xml:space="preserve">potentially </w:t>
      </w:r>
      <w:r w:rsidRPr="007252F3">
        <w:rPr>
          <w:highlight w:val="yellow"/>
        </w:rPr>
        <w:t>add an Environmental Justice Element.</w:t>
      </w:r>
      <w:r>
        <w:t xml:space="preserve"> </w:t>
      </w:r>
    </w:p>
    <w:p w14:paraId="760737AC" w14:textId="77777777" w:rsidR="00BB7C5E" w:rsidRPr="00F826B6" w:rsidRDefault="000A1B5A" w:rsidP="00F826B6">
      <w:pPr>
        <w:pStyle w:val="Heading1"/>
        <w:rPr>
          <w:b/>
        </w:rPr>
      </w:pPr>
      <w:r>
        <w:rPr>
          <w:b/>
        </w:rPr>
        <w:lastRenderedPageBreak/>
        <w:t>Housing Element</w:t>
      </w:r>
      <w:r w:rsidR="0030183B">
        <w:rPr>
          <w:b/>
        </w:rPr>
        <w:t xml:space="preserve"> Overview</w:t>
      </w:r>
    </w:p>
    <w:p w14:paraId="0DEFB3E7" w14:textId="49806091" w:rsidR="001C44E5" w:rsidRDefault="00E90575" w:rsidP="006C650E">
      <w:r w:rsidRPr="00E90575">
        <w:rPr>
          <w:highlight w:val="yellow"/>
        </w:rPr>
        <w:t>JURISDICTION</w:t>
      </w:r>
      <w:r w:rsidR="001C44E5">
        <w:t xml:space="preserve">’s previous </w:t>
      </w:r>
      <w:r w:rsidR="000A1B5A">
        <w:t>Housing Element</w:t>
      </w:r>
      <w:r w:rsidR="001C44E5">
        <w:t xml:space="preserve"> covered 2015 to 2023 and was adopted in </w:t>
      </w:r>
      <w:r w:rsidR="001C44E5" w:rsidRPr="00AB6C07">
        <w:rPr>
          <w:highlight w:val="yellow"/>
        </w:rPr>
        <w:t>DATE</w:t>
      </w:r>
      <w:r w:rsidR="001C44E5">
        <w:t xml:space="preserve"> and certified in </w:t>
      </w:r>
      <w:r w:rsidR="001C44E5" w:rsidRPr="00AB6C07">
        <w:rPr>
          <w:highlight w:val="yellow"/>
        </w:rPr>
        <w:t>DATE</w:t>
      </w:r>
      <w:r w:rsidR="001C44E5">
        <w:t xml:space="preserve">. </w:t>
      </w:r>
      <w:r w:rsidR="00192B1B">
        <w:t xml:space="preserve">The new </w:t>
      </w:r>
      <w:r w:rsidR="000A1B5A">
        <w:t>Housing Element</w:t>
      </w:r>
      <w:r w:rsidR="00192B1B">
        <w:t xml:space="preserve"> will </w:t>
      </w:r>
      <w:r w:rsidR="00412A72">
        <w:t xml:space="preserve">be for the </w:t>
      </w:r>
      <w:r w:rsidR="00192B1B">
        <w:t>2023-203</w:t>
      </w:r>
      <w:r w:rsidR="00874A30">
        <w:t>1</w:t>
      </w:r>
      <w:r w:rsidR="00412A72">
        <w:t xml:space="preserve"> </w:t>
      </w:r>
      <w:r w:rsidR="00EC0E9F">
        <w:t>planning</w:t>
      </w:r>
      <w:r w:rsidR="00412A72">
        <w:t xml:space="preserve"> period</w:t>
      </w:r>
      <w:r w:rsidR="00000627">
        <w:rPr>
          <w:rStyle w:val="FootnoteReference"/>
        </w:rPr>
        <w:footnoteReference w:id="1"/>
      </w:r>
      <w:r w:rsidR="00192B1B">
        <w:t xml:space="preserve">. </w:t>
      </w:r>
      <w:r w:rsidR="001C44E5">
        <w:t xml:space="preserve"> </w:t>
      </w:r>
    </w:p>
    <w:p w14:paraId="3FD5667B" w14:textId="77777777" w:rsidR="006C650E" w:rsidRDefault="006C650E" w:rsidP="006C650E">
      <w:r>
        <w:t xml:space="preserve">The </w:t>
      </w:r>
      <w:r w:rsidR="000A1B5A">
        <w:t>Housing Element</w:t>
      </w:r>
      <w:r>
        <w:t xml:space="preserve"> typically includes several major components:</w:t>
      </w:r>
    </w:p>
    <w:p w14:paraId="78C9540C" w14:textId="77777777" w:rsidR="006C650E" w:rsidRDefault="006C650E" w:rsidP="00C91DB1">
      <w:pPr>
        <w:pStyle w:val="ListParagraph"/>
        <w:numPr>
          <w:ilvl w:val="0"/>
          <w:numId w:val="2"/>
        </w:numPr>
      </w:pPr>
      <w:r w:rsidRPr="00C91DB1">
        <w:rPr>
          <w:b/>
        </w:rPr>
        <w:t>Housing Needs Assessment</w:t>
      </w:r>
      <w:r>
        <w:t>: Analyze demographic and housing tr</w:t>
      </w:r>
      <w:r w:rsidR="00AB6C07">
        <w:t>ends and conditions</w:t>
      </w:r>
      <w:r>
        <w:t>.</w:t>
      </w:r>
    </w:p>
    <w:p w14:paraId="5EAA489E" w14:textId="77777777" w:rsidR="006C650E" w:rsidRDefault="006C650E" w:rsidP="00C91DB1">
      <w:pPr>
        <w:pStyle w:val="ListParagraph"/>
        <w:numPr>
          <w:ilvl w:val="0"/>
          <w:numId w:val="2"/>
        </w:numPr>
      </w:pPr>
      <w:r w:rsidRPr="00C91DB1">
        <w:rPr>
          <w:b/>
        </w:rPr>
        <w:t>Constraints Analysis</w:t>
      </w:r>
      <w:r>
        <w:t>: Analyze and address existing and potential governmental and nongovernmental constraints to the development of housing.</w:t>
      </w:r>
    </w:p>
    <w:p w14:paraId="45B0C3C5" w14:textId="77777777" w:rsidR="006C650E" w:rsidRDefault="006C650E" w:rsidP="00C91DB1">
      <w:pPr>
        <w:pStyle w:val="ListParagraph"/>
        <w:numPr>
          <w:ilvl w:val="0"/>
          <w:numId w:val="2"/>
        </w:numPr>
      </w:pPr>
      <w:r w:rsidRPr="00C91DB1">
        <w:rPr>
          <w:b/>
        </w:rPr>
        <w:t>Evaluation of Past Performance</w:t>
      </w:r>
      <w:r>
        <w:t xml:space="preserve">: Assess progress in implementing the policies and programs from the prior </w:t>
      </w:r>
      <w:r w:rsidR="000A1B5A">
        <w:t>Housing Element</w:t>
      </w:r>
      <w:r>
        <w:t>.</w:t>
      </w:r>
    </w:p>
    <w:p w14:paraId="29532566" w14:textId="77777777" w:rsidR="006C650E" w:rsidRDefault="006C650E" w:rsidP="00C91DB1">
      <w:pPr>
        <w:pStyle w:val="ListParagraph"/>
        <w:numPr>
          <w:ilvl w:val="0"/>
          <w:numId w:val="2"/>
        </w:numPr>
      </w:pPr>
      <w:r w:rsidRPr="00C91DB1">
        <w:rPr>
          <w:b/>
        </w:rPr>
        <w:t>Housing Sites Inventory</w:t>
      </w:r>
      <w:r>
        <w:t>: Identify housing sites available for development or redevelopment, ensuring that there is sufficient capacity to address the Regional Housing Needs Allocation.</w:t>
      </w:r>
    </w:p>
    <w:tbl>
      <w:tblPr>
        <w:tblStyle w:val="TableGrid"/>
        <w:tblpPr w:leftFromText="180" w:rightFromText="180" w:vertAnchor="text" w:horzAnchor="margin" w:tblpXSpec="right" w:tblpY="118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81"/>
        <w:gridCol w:w="1481"/>
      </w:tblGrid>
      <w:tr w:rsidR="00263AF4" w:rsidRPr="00EE218D" w14:paraId="76AAD184" w14:textId="77777777" w:rsidTr="008E3A02">
        <w:trPr>
          <w:trHeight w:val="302"/>
        </w:trPr>
        <w:tc>
          <w:tcPr>
            <w:tcW w:w="2581" w:type="dxa"/>
            <w:noWrap/>
            <w:hideMark/>
          </w:tcPr>
          <w:p w14:paraId="754BE211" w14:textId="77777777" w:rsidR="00263AF4" w:rsidRPr="00263AF4" w:rsidRDefault="00263AF4" w:rsidP="00263AF4">
            <w:pPr>
              <w:rPr>
                <w:b/>
                <w:bCs/>
              </w:rPr>
            </w:pPr>
            <w:r w:rsidRPr="00263AF4">
              <w:rPr>
                <w:b/>
                <w:bCs/>
              </w:rPr>
              <w:t>Jurisdiction</w:t>
            </w:r>
          </w:p>
        </w:tc>
        <w:tc>
          <w:tcPr>
            <w:tcW w:w="1481" w:type="dxa"/>
            <w:noWrap/>
            <w:hideMark/>
          </w:tcPr>
          <w:p w14:paraId="7B2C89AE" w14:textId="1460FDCE" w:rsidR="00263AF4" w:rsidRPr="00263AF4" w:rsidRDefault="00263AF4" w:rsidP="00263AF4">
            <w:pPr>
              <w:rPr>
                <w:b/>
                <w:bCs/>
              </w:rPr>
            </w:pPr>
            <w:r w:rsidRPr="00263AF4">
              <w:rPr>
                <w:b/>
                <w:bCs/>
              </w:rPr>
              <w:t>RHNA 6 (</w:t>
            </w:r>
            <w:r w:rsidR="00EC0E9F">
              <w:rPr>
                <w:b/>
                <w:bCs/>
              </w:rPr>
              <w:t>Jan.</w:t>
            </w:r>
            <w:r w:rsidRPr="00263AF4">
              <w:rPr>
                <w:b/>
                <w:bCs/>
              </w:rPr>
              <w:t xml:space="preserve"> 202</w:t>
            </w:r>
            <w:r w:rsidR="00412A72">
              <w:rPr>
                <w:b/>
                <w:bCs/>
              </w:rPr>
              <w:t>1</w:t>
            </w:r>
            <w:r w:rsidRPr="00263AF4">
              <w:rPr>
                <w:b/>
                <w:bCs/>
              </w:rPr>
              <w:t xml:space="preserve"> Draft)</w:t>
            </w:r>
          </w:p>
        </w:tc>
      </w:tr>
      <w:tr w:rsidR="00263AF4" w:rsidRPr="00EE218D" w14:paraId="36D0BCC7" w14:textId="77777777" w:rsidTr="008E3A02">
        <w:trPr>
          <w:trHeight w:val="302"/>
        </w:trPr>
        <w:tc>
          <w:tcPr>
            <w:tcW w:w="2581" w:type="dxa"/>
            <w:noWrap/>
            <w:hideMark/>
          </w:tcPr>
          <w:p w14:paraId="1234B828" w14:textId="214BC2C2" w:rsidR="00263AF4" w:rsidRPr="00263AF4" w:rsidRDefault="00D20236" w:rsidP="00263AF4">
            <w:r>
              <w:t>Campbell</w:t>
            </w:r>
          </w:p>
        </w:tc>
        <w:tc>
          <w:tcPr>
            <w:tcW w:w="1481" w:type="dxa"/>
            <w:noWrap/>
            <w:hideMark/>
          </w:tcPr>
          <w:p w14:paraId="0B898C1C" w14:textId="1C9349AB" w:rsidR="00D20236" w:rsidRPr="00263AF4" w:rsidRDefault="00412A72" w:rsidP="00D20236">
            <w:pPr>
              <w:jc w:val="right"/>
            </w:pPr>
            <w:r>
              <w:t>2,977</w:t>
            </w:r>
          </w:p>
        </w:tc>
      </w:tr>
      <w:tr w:rsidR="00263AF4" w:rsidRPr="00EE218D" w14:paraId="0CFC56AB" w14:textId="77777777" w:rsidTr="008E3A02">
        <w:trPr>
          <w:trHeight w:val="302"/>
        </w:trPr>
        <w:tc>
          <w:tcPr>
            <w:tcW w:w="2581" w:type="dxa"/>
            <w:noWrap/>
            <w:hideMark/>
          </w:tcPr>
          <w:p w14:paraId="00E6F763" w14:textId="531F8E7D" w:rsidR="00263AF4" w:rsidRPr="00263AF4" w:rsidRDefault="00D20236" w:rsidP="00263AF4">
            <w:r>
              <w:t>Cupertino</w:t>
            </w:r>
          </w:p>
        </w:tc>
        <w:tc>
          <w:tcPr>
            <w:tcW w:w="1481" w:type="dxa"/>
            <w:noWrap/>
            <w:hideMark/>
          </w:tcPr>
          <w:p w14:paraId="37AD4351" w14:textId="4A9ACC7A" w:rsidR="00263AF4" w:rsidRPr="00263AF4" w:rsidRDefault="00D20236" w:rsidP="00D20236">
            <w:pPr>
              <w:jc w:val="right"/>
            </w:pPr>
            <w:r>
              <w:t>4,588</w:t>
            </w:r>
          </w:p>
        </w:tc>
      </w:tr>
      <w:tr w:rsidR="00263AF4" w:rsidRPr="00EE218D" w14:paraId="2E9B50B1" w14:textId="77777777" w:rsidTr="008E3A02">
        <w:trPr>
          <w:trHeight w:val="302"/>
        </w:trPr>
        <w:tc>
          <w:tcPr>
            <w:tcW w:w="2581" w:type="dxa"/>
            <w:noWrap/>
            <w:hideMark/>
          </w:tcPr>
          <w:p w14:paraId="47958DB3" w14:textId="41CEFDDD" w:rsidR="00263AF4" w:rsidRPr="00263AF4" w:rsidRDefault="00D20236" w:rsidP="00263AF4">
            <w:r>
              <w:t>Gilroy</w:t>
            </w:r>
          </w:p>
        </w:tc>
        <w:tc>
          <w:tcPr>
            <w:tcW w:w="1481" w:type="dxa"/>
            <w:noWrap/>
            <w:hideMark/>
          </w:tcPr>
          <w:p w14:paraId="4F69F2FA" w14:textId="4D77E568" w:rsidR="00263AF4" w:rsidRPr="00263AF4" w:rsidRDefault="00263AF4" w:rsidP="00D20236">
            <w:pPr>
              <w:jc w:val="right"/>
            </w:pPr>
            <w:r w:rsidRPr="00263AF4">
              <w:t xml:space="preserve">         </w:t>
            </w:r>
            <w:r w:rsidR="00D20236">
              <w:t>1,</w:t>
            </w:r>
            <w:r w:rsidR="00412A72">
              <w:t>773</w:t>
            </w:r>
            <w:r w:rsidRPr="00263AF4">
              <w:t xml:space="preserve"> </w:t>
            </w:r>
          </w:p>
        </w:tc>
      </w:tr>
      <w:tr w:rsidR="00263AF4" w:rsidRPr="00EE218D" w14:paraId="13F88484" w14:textId="77777777" w:rsidTr="008E3A02">
        <w:trPr>
          <w:trHeight w:val="302"/>
        </w:trPr>
        <w:tc>
          <w:tcPr>
            <w:tcW w:w="2581" w:type="dxa"/>
            <w:noWrap/>
            <w:hideMark/>
          </w:tcPr>
          <w:p w14:paraId="1773510C" w14:textId="445FAFC7" w:rsidR="00263AF4" w:rsidRPr="00263AF4" w:rsidRDefault="00D20236" w:rsidP="00263AF4">
            <w:r>
              <w:t>Los Altos</w:t>
            </w:r>
          </w:p>
        </w:tc>
        <w:tc>
          <w:tcPr>
            <w:tcW w:w="1481" w:type="dxa"/>
            <w:noWrap/>
            <w:hideMark/>
          </w:tcPr>
          <w:p w14:paraId="3DF8FC6C" w14:textId="59D24DEF" w:rsidR="00263AF4" w:rsidRPr="00263AF4" w:rsidRDefault="00263AF4" w:rsidP="00D20236">
            <w:pPr>
              <w:jc w:val="right"/>
            </w:pPr>
            <w:r w:rsidRPr="00263AF4">
              <w:t xml:space="preserve">         </w:t>
            </w:r>
            <w:r w:rsidR="00D20236">
              <w:t>1,958</w:t>
            </w:r>
            <w:r w:rsidRPr="00263AF4">
              <w:t xml:space="preserve"> </w:t>
            </w:r>
          </w:p>
        </w:tc>
      </w:tr>
      <w:tr w:rsidR="00263AF4" w:rsidRPr="00EE218D" w14:paraId="5846C029" w14:textId="77777777" w:rsidTr="008E3A02">
        <w:trPr>
          <w:trHeight w:val="302"/>
        </w:trPr>
        <w:tc>
          <w:tcPr>
            <w:tcW w:w="2581" w:type="dxa"/>
            <w:noWrap/>
            <w:hideMark/>
          </w:tcPr>
          <w:p w14:paraId="40008828" w14:textId="43947286" w:rsidR="00263AF4" w:rsidRPr="00263AF4" w:rsidRDefault="00D20236" w:rsidP="00263AF4">
            <w:r>
              <w:t>Los Altos Hills</w:t>
            </w:r>
          </w:p>
        </w:tc>
        <w:tc>
          <w:tcPr>
            <w:tcW w:w="1481" w:type="dxa"/>
            <w:noWrap/>
            <w:hideMark/>
          </w:tcPr>
          <w:p w14:paraId="6F7435F4" w14:textId="4E75F1AA" w:rsidR="00263AF4" w:rsidRPr="00263AF4" w:rsidRDefault="00D20236" w:rsidP="00D20236">
            <w:pPr>
              <w:jc w:val="right"/>
            </w:pPr>
            <w:r>
              <w:t>489</w:t>
            </w:r>
          </w:p>
        </w:tc>
      </w:tr>
      <w:tr w:rsidR="00263AF4" w:rsidRPr="00EE218D" w14:paraId="5C748EDB" w14:textId="77777777" w:rsidTr="008E3A02">
        <w:trPr>
          <w:trHeight w:val="302"/>
        </w:trPr>
        <w:tc>
          <w:tcPr>
            <w:tcW w:w="2581" w:type="dxa"/>
            <w:noWrap/>
            <w:hideMark/>
          </w:tcPr>
          <w:p w14:paraId="2D46BBBD" w14:textId="1B79885D" w:rsidR="00263AF4" w:rsidRPr="00263AF4" w:rsidRDefault="00D20236" w:rsidP="00263AF4">
            <w:r>
              <w:t>Los Gatos</w:t>
            </w:r>
          </w:p>
        </w:tc>
        <w:tc>
          <w:tcPr>
            <w:tcW w:w="1481" w:type="dxa"/>
            <w:noWrap/>
            <w:hideMark/>
          </w:tcPr>
          <w:p w14:paraId="0D9D0925" w14:textId="4307A0BA" w:rsidR="00263AF4" w:rsidRPr="00263AF4" w:rsidRDefault="00D20236" w:rsidP="00D20236">
            <w:pPr>
              <w:jc w:val="right"/>
            </w:pPr>
            <w:r>
              <w:t>1,993</w:t>
            </w:r>
          </w:p>
        </w:tc>
      </w:tr>
      <w:tr w:rsidR="00263AF4" w:rsidRPr="00EE218D" w14:paraId="4BBA24DE" w14:textId="77777777" w:rsidTr="008E3A02">
        <w:trPr>
          <w:trHeight w:val="302"/>
        </w:trPr>
        <w:tc>
          <w:tcPr>
            <w:tcW w:w="2581" w:type="dxa"/>
            <w:noWrap/>
            <w:hideMark/>
          </w:tcPr>
          <w:p w14:paraId="7E994D28" w14:textId="188F5BAD" w:rsidR="00263AF4" w:rsidRPr="00263AF4" w:rsidRDefault="00D20236" w:rsidP="00263AF4">
            <w:r>
              <w:t>Milpitas</w:t>
            </w:r>
          </w:p>
        </w:tc>
        <w:tc>
          <w:tcPr>
            <w:tcW w:w="1481" w:type="dxa"/>
            <w:noWrap/>
            <w:hideMark/>
          </w:tcPr>
          <w:p w14:paraId="5A32036C" w14:textId="4A2EFBA2" w:rsidR="00263AF4" w:rsidRPr="00263AF4" w:rsidRDefault="00D20236" w:rsidP="00D20236">
            <w:pPr>
              <w:jc w:val="right"/>
            </w:pPr>
            <w:r>
              <w:t>6,713</w:t>
            </w:r>
          </w:p>
        </w:tc>
      </w:tr>
      <w:tr w:rsidR="00263AF4" w:rsidRPr="00EE218D" w14:paraId="609BC0F2" w14:textId="77777777" w:rsidTr="008E3A02">
        <w:trPr>
          <w:trHeight w:val="302"/>
        </w:trPr>
        <w:tc>
          <w:tcPr>
            <w:tcW w:w="2581" w:type="dxa"/>
            <w:noWrap/>
            <w:hideMark/>
          </w:tcPr>
          <w:p w14:paraId="3F25424C" w14:textId="50765608" w:rsidR="00263AF4" w:rsidRPr="00263AF4" w:rsidRDefault="00D20236" w:rsidP="00263AF4">
            <w:r>
              <w:t>Monte Sereno</w:t>
            </w:r>
          </w:p>
        </w:tc>
        <w:tc>
          <w:tcPr>
            <w:tcW w:w="1481" w:type="dxa"/>
            <w:noWrap/>
            <w:hideMark/>
          </w:tcPr>
          <w:p w14:paraId="136D3BCC" w14:textId="0BA8A6EB" w:rsidR="00D20236" w:rsidRPr="00263AF4" w:rsidRDefault="00D20236" w:rsidP="00D20236">
            <w:pPr>
              <w:jc w:val="right"/>
            </w:pPr>
            <w:r>
              <w:t>19</w:t>
            </w:r>
            <w:r w:rsidR="00412A72">
              <w:t>2</w:t>
            </w:r>
          </w:p>
        </w:tc>
      </w:tr>
      <w:tr w:rsidR="00263AF4" w:rsidRPr="00EE218D" w14:paraId="5E1EA3FC" w14:textId="77777777" w:rsidTr="008E3A02">
        <w:trPr>
          <w:trHeight w:val="302"/>
        </w:trPr>
        <w:tc>
          <w:tcPr>
            <w:tcW w:w="2581" w:type="dxa"/>
            <w:noWrap/>
            <w:hideMark/>
          </w:tcPr>
          <w:p w14:paraId="5245FAD3" w14:textId="4BE0F8F8" w:rsidR="00263AF4" w:rsidRPr="00263AF4" w:rsidRDefault="00D20236" w:rsidP="00263AF4">
            <w:r>
              <w:t>Morgan Hill</w:t>
            </w:r>
          </w:p>
        </w:tc>
        <w:tc>
          <w:tcPr>
            <w:tcW w:w="1481" w:type="dxa"/>
            <w:noWrap/>
            <w:hideMark/>
          </w:tcPr>
          <w:p w14:paraId="61B4549B" w14:textId="60183A92" w:rsidR="00263AF4" w:rsidRPr="00263AF4" w:rsidRDefault="00D20236" w:rsidP="00D20236">
            <w:pPr>
              <w:jc w:val="right"/>
            </w:pPr>
            <w:r>
              <w:t>1,0</w:t>
            </w:r>
            <w:r w:rsidR="00412A72">
              <w:t>3</w:t>
            </w:r>
            <w:r>
              <w:t>7</w:t>
            </w:r>
          </w:p>
        </w:tc>
      </w:tr>
      <w:tr w:rsidR="00263AF4" w:rsidRPr="00EE218D" w14:paraId="4C0F6461" w14:textId="77777777" w:rsidTr="008E3A02">
        <w:trPr>
          <w:trHeight w:val="302"/>
        </w:trPr>
        <w:tc>
          <w:tcPr>
            <w:tcW w:w="2581" w:type="dxa"/>
            <w:noWrap/>
            <w:hideMark/>
          </w:tcPr>
          <w:p w14:paraId="5885E70B" w14:textId="33C31281" w:rsidR="00263AF4" w:rsidRPr="00263AF4" w:rsidRDefault="00D20236" w:rsidP="00263AF4">
            <w:r>
              <w:t>Mountain View</w:t>
            </w:r>
          </w:p>
        </w:tc>
        <w:tc>
          <w:tcPr>
            <w:tcW w:w="1481" w:type="dxa"/>
            <w:noWrap/>
            <w:hideMark/>
          </w:tcPr>
          <w:p w14:paraId="23FD6B70" w14:textId="1C8BCB88" w:rsidR="00263AF4" w:rsidRPr="00263AF4" w:rsidRDefault="00D20236" w:rsidP="00D20236">
            <w:pPr>
              <w:jc w:val="right"/>
            </w:pPr>
            <w:r>
              <w:t>11,</w:t>
            </w:r>
            <w:r w:rsidR="00412A72">
              <w:t>135</w:t>
            </w:r>
          </w:p>
        </w:tc>
      </w:tr>
      <w:tr w:rsidR="00263AF4" w:rsidRPr="00EE218D" w14:paraId="02FB5C5D" w14:textId="77777777" w:rsidTr="008E3A02">
        <w:trPr>
          <w:trHeight w:val="302"/>
        </w:trPr>
        <w:tc>
          <w:tcPr>
            <w:tcW w:w="2581" w:type="dxa"/>
            <w:noWrap/>
            <w:hideMark/>
          </w:tcPr>
          <w:p w14:paraId="058ABC07" w14:textId="22F67213" w:rsidR="00263AF4" w:rsidRPr="00263AF4" w:rsidRDefault="00D20236" w:rsidP="00263AF4">
            <w:r>
              <w:t>Palo Alto</w:t>
            </w:r>
          </w:p>
        </w:tc>
        <w:tc>
          <w:tcPr>
            <w:tcW w:w="1481" w:type="dxa"/>
            <w:noWrap/>
            <w:hideMark/>
          </w:tcPr>
          <w:p w14:paraId="365C0367" w14:textId="00F6963A" w:rsidR="00263AF4" w:rsidRPr="00263AF4" w:rsidRDefault="00263AF4" w:rsidP="00D20236">
            <w:pPr>
              <w:jc w:val="right"/>
            </w:pPr>
            <w:r w:rsidRPr="00263AF4">
              <w:t xml:space="preserve">        </w:t>
            </w:r>
            <w:r w:rsidR="00D20236">
              <w:t>6,086</w:t>
            </w:r>
            <w:r w:rsidRPr="00263AF4">
              <w:t xml:space="preserve"> </w:t>
            </w:r>
          </w:p>
        </w:tc>
      </w:tr>
      <w:tr w:rsidR="00263AF4" w:rsidRPr="00EE218D" w14:paraId="0B2F7959" w14:textId="77777777" w:rsidTr="008E3A02">
        <w:trPr>
          <w:trHeight w:val="302"/>
        </w:trPr>
        <w:tc>
          <w:tcPr>
            <w:tcW w:w="2581" w:type="dxa"/>
            <w:noWrap/>
            <w:hideMark/>
          </w:tcPr>
          <w:p w14:paraId="00131C61" w14:textId="33473EC0" w:rsidR="00263AF4" w:rsidRPr="00263AF4" w:rsidRDefault="00D20236" w:rsidP="00263AF4">
            <w:r>
              <w:t>San Jose</w:t>
            </w:r>
          </w:p>
        </w:tc>
        <w:tc>
          <w:tcPr>
            <w:tcW w:w="1481" w:type="dxa"/>
            <w:noWrap/>
            <w:hideMark/>
          </w:tcPr>
          <w:p w14:paraId="78345861" w14:textId="3A0BE7BD" w:rsidR="00263AF4" w:rsidRPr="00263AF4" w:rsidRDefault="00D20236" w:rsidP="00D20236">
            <w:pPr>
              <w:jc w:val="right"/>
            </w:pPr>
            <w:r>
              <w:t>62,</w:t>
            </w:r>
            <w:r w:rsidR="00412A72">
              <w:t>202</w:t>
            </w:r>
          </w:p>
        </w:tc>
      </w:tr>
      <w:tr w:rsidR="00263AF4" w:rsidRPr="00EE218D" w14:paraId="4A755B7D" w14:textId="77777777" w:rsidTr="008E3A02">
        <w:trPr>
          <w:trHeight w:val="302"/>
        </w:trPr>
        <w:tc>
          <w:tcPr>
            <w:tcW w:w="2581" w:type="dxa"/>
            <w:noWrap/>
            <w:hideMark/>
          </w:tcPr>
          <w:p w14:paraId="374EF478" w14:textId="1ED70A3B" w:rsidR="00263AF4" w:rsidRPr="00263AF4" w:rsidRDefault="00D20236" w:rsidP="00263AF4">
            <w:r>
              <w:t>Santa Clara</w:t>
            </w:r>
          </w:p>
        </w:tc>
        <w:tc>
          <w:tcPr>
            <w:tcW w:w="1481" w:type="dxa"/>
            <w:noWrap/>
            <w:hideMark/>
          </w:tcPr>
          <w:p w14:paraId="6B056EB7" w14:textId="75C61480" w:rsidR="00263AF4" w:rsidRPr="00263AF4" w:rsidRDefault="00D20236" w:rsidP="00D20236">
            <w:pPr>
              <w:jc w:val="right"/>
            </w:pPr>
            <w:r>
              <w:t>11,</w:t>
            </w:r>
            <w:r w:rsidR="00412A72">
              <w:t>632</w:t>
            </w:r>
          </w:p>
        </w:tc>
      </w:tr>
      <w:tr w:rsidR="00263AF4" w:rsidRPr="00EE218D" w14:paraId="3B763772" w14:textId="77777777" w:rsidTr="008E3A02">
        <w:trPr>
          <w:trHeight w:val="302"/>
        </w:trPr>
        <w:tc>
          <w:tcPr>
            <w:tcW w:w="2581" w:type="dxa"/>
            <w:noWrap/>
            <w:hideMark/>
          </w:tcPr>
          <w:p w14:paraId="1343B1BD" w14:textId="2DBB2167" w:rsidR="00263AF4" w:rsidRPr="00263AF4" w:rsidRDefault="00D20236" w:rsidP="00263AF4">
            <w:r>
              <w:t>Saratoga</w:t>
            </w:r>
          </w:p>
        </w:tc>
        <w:tc>
          <w:tcPr>
            <w:tcW w:w="1481" w:type="dxa"/>
            <w:noWrap/>
            <w:hideMark/>
          </w:tcPr>
          <w:p w14:paraId="270665A5" w14:textId="74F32918" w:rsidR="00263AF4" w:rsidRPr="00263AF4" w:rsidRDefault="00D20236" w:rsidP="00D20236">
            <w:pPr>
              <w:jc w:val="right"/>
            </w:pPr>
            <w:r>
              <w:t>1,712</w:t>
            </w:r>
          </w:p>
        </w:tc>
      </w:tr>
      <w:tr w:rsidR="00263AF4" w:rsidRPr="00EE218D" w14:paraId="2B010F6A" w14:textId="77777777" w:rsidTr="008E3A02">
        <w:trPr>
          <w:trHeight w:val="302"/>
        </w:trPr>
        <w:tc>
          <w:tcPr>
            <w:tcW w:w="2581" w:type="dxa"/>
            <w:noWrap/>
            <w:hideMark/>
          </w:tcPr>
          <w:p w14:paraId="4139D559" w14:textId="26935EC8" w:rsidR="00263AF4" w:rsidRPr="00263AF4" w:rsidRDefault="00D20236" w:rsidP="00263AF4">
            <w:r>
              <w:t>Sunnyvale</w:t>
            </w:r>
          </w:p>
        </w:tc>
        <w:tc>
          <w:tcPr>
            <w:tcW w:w="1481" w:type="dxa"/>
            <w:noWrap/>
            <w:hideMark/>
          </w:tcPr>
          <w:p w14:paraId="62BA955E" w14:textId="4A9E1AD9" w:rsidR="00263AF4" w:rsidRPr="00263AF4" w:rsidRDefault="00D20236" w:rsidP="00D20236">
            <w:pPr>
              <w:jc w:val="right"/>
            </w:pPr>
            <w:r>
              <w:t>11,966</w:t>
            </w:r>
          </w:p>
        </w:tc>
      </w:tr>
      <w:tr w:rsidR="00263AF4" w:rsidRPr="00EE218D" w14:paraId="19BCA449" w14:textId="77777777" w:rsidTr="008E3A02">
        <w:trPr>
          <w:trHeight w:val="302"/>
        </w:trPr>
        <w:tc>
          <w:tcPr>
            <w:tcW w:w="2581" w:type="dxa"/>
            <w:noWrap/>
            <w:hideMark/>
          </w:tcPr>
          <w:p w14:paraId="62B92E4C" w14:textId="7729AB8C" w:rsidR="00263AF4" w:rsidRPr="00263AF4" w:rsidRDefault="00D20236" w:rsidP="00263AF4">
            <w:r>
              <w:t>Unincorporated</w:t>
            </w:r>
          </w:p>
        </w:tc>
        <w:tc>
          <w:tcPr>
            <w:tcW w:w="1481" w:type="dxa"/>
            <w:noWrap/>
            <w:hideMark/>
          </w:tcPr>
          <w:p w14:paraId="7531FCD0" w14:textId="4B0D6058" w:rsidR="00263AF4" w:rsidRPr="00263AF4" w:rsidRDefault="00D20236" w:rsidP="00D20236">
            <w:pPr>
              <w:jc w:val="right"/>
            </w:pPr>
            <w:r>
              <w:t>3,1</w:t>
            </w:r>
            <w:r w:rsidR="00412A72">
              <w:t>2</w:t>
            </w:r>
            <w:r>
              <w:t>6</w:t>
            </w:r>
          </w:p>
        </w:tc>
      </w:tr>
      <w:tr w:rsidR="00263AF4" w:rsidRPr="00EE218D" w14:paraId="7F7C808D" w14:textId="77777777" w:rsidTr="008E3A02">
        <w:trPr>
          <w:trHeight w:val="302"/>
        </w:trPr>
        <w:tc>
          <w:tcPr>
            <w:tcW w:w="2581" w:type="dxa"/>
            <w:noWrap/>
            <w:hideMark/>
          </w:tcPr>
          <w:p w14:paraId="39CE25F4" w14:textId="77777777" w:rsidR="00263AF4" w:rsidRPr="00263AF4" w:rsidRDefault="00263AF4" w:rsidP="00263AF4">
            <w:r w:rsidRPr="00263AF4">
              <w:t>COUNTY TOTAL</w:t>
            </w:r>
          </w:p>
        </w:tc>
        <w:tc>
          <w:tcPr>
            <w:tcW w:w="1481" w:type="dxa"/>
            <w:noWrap/>
            <w:hideMark/>
          </w:tcPr>
          <w:p w14:paraId="3492D184" w14:textId="5B35F4E5" w:rsidR="00263AF4" w:rsidRPr="00263AF4" w:rsidRDefault="00263AF4" w:rsidP="00D20236">
            <w:pPr>
              <w:jc w:val="right"/>
            </w:pPr>
            <w:r w:rsidRPr="00263AF4">
              <w:t xml:space="preserve">      </w:t>
            </w:r>
            <w:r w:rsidR="00D20236">
              <w:t>129,</w:t>
            </w:r>
            <w:r w:rsidR="00412A72">
              <w:t>579</w:t>
            </w:r>
          </w:p>
        </w:tc>
      </w:tr>
    </w:tbl>
    <w:p w14:paraId="75CE82CF" w14:textId="3C4CED08" w:rsidR="006C650E" w:rsidRDefault="006C650E" w:rsidP="00C91DB1">
      <w:pPr>
        <w:pStyle w:val="ListParagraph"/>
        <w:numPr>
          <w:ilvl w:val="0"/>
          <w:numId w:val="2"/>
        </w:numPr>
      </w:pPr>
      <w:r w:rsidRPr="00C91DB1">
        <w:rPr>
          <w:b/>
        </w:rPr>
        <w:t>Policies and Programs</w:t>
      </w:r>
      <w:r>
        <w:t>: Establish policies and programs to address the</w:t>
      </w:r>
      <w:r w:rsidR="00AB6C07">
        <w:t xml:space="preserve"> identified </w:t>
      </w:r>
      <w:r>
        <w:t>housing needs.</w:t>
      </w:r>
    </w:p>
    <w:p w14:paraId="0E7D275A" w14:textId="1467D849" w:rsidR="006C650E" w:rsidRDefault="006C650E" w:rsidP="00AC7A9B">
      <w:pPr>
        <w:pStyle w:val="ListParagraph"/>
        <w:numPr>
          <w:ilvl w:val="0"/>
          <w:numId w:val="2"/>
        </w:numPr>
      </w:pPr>
      <w:r w:rsidRPr="00C91DB1">
        <w:rPr>
          <w:b/>
        </w:rPr>
        <w:t>Community Outreach</w:t>
      </w:r>
      <w:r>
        <w:t xml:space="preserve"> </w:t>
      </w:r>
      <w:r w:rsidRPr="00C91DB1">
        <w:rPr>
          <w:b/>
        </w:rPr>
        <w:t>and Engagement</w:t>
      </w:r>
      <w:r>
        <w:t xml:space="preserve">: Conduct a thorough </w:t>
      </w:r>
      <w:r w:rsidR="009B0EE1">
        <w:t xml:space="preserve">program of community engagement, with a particular focus on outreach to traditionally underrepresented groups. </w:t>
      </w:r>
    </w:p>
    <w:p w14:paraId="725B6DC0" w14:textId="77777777" w:rsidR="005C6956" w:rsidRPr="00F826B6" w:rsidRDefault="0030183B" w:rsidP="00F826B6">
      <w:pPr>
        <w:pStyle w:val="Heading1"/>
        <w:rPr>
          <w:b/>
        </w:rPr>
      </w:pPr>
      <w:r>
        <w:rPr>
          <w:b/>
        </w:rPr>
        <w:t>Regional Housing Needs Allocation</w:t>
      </w:r>
      <w:r w:rsidR="005C6956" w:rsidRPr="00F826B6">
        <w:rPr>
          <w:b/>
        </w:rPr>
        <w:t xml:space="preserve"> </w:t>
      </w:r>
      <w:r w:rsidR="00F826B6">
        <w:rPr>
          <w:b/>
        </w:rPr>
        <w:t>(</w:t>
      </w:r>
      <w:r w:rsidR="005C6956" w:rsidRPr="00F826B6">
        <w:rPr>
          <w:b/>
        </w:rPr>
        <w:t>RHNA</w:t>
      </w:r>
      <w:r w:rsidR="00F826B6">
        <w:rPr>
          <w:b/>
        </w:rPr>
        <w:t>)</w:t>
      </w:r>
    </w:p>
    <w:p w14:paraId="0C1CCCEE" w14:textId="4000E8BB" w:rsidR="004678A8" w:rsidRDefault="00F53E24" w:rsidP="00BB7C5E">
      <w:r>
        <w:t xml:space="preserve">Every city in California receives a </w:t>
      </w:r>
      <w:r w:rsidR="00EC7AA4">
        <w:t xml:space="preserve">target </w:t>
      </w:r>
      <w:r>
        <w:t xml:space="preserve">number of homes to plan for. This is called the Regional Housing Needs Allocation or RHNA. </w:t>
      </w:r>
      <w:r w:rsidR="00E90575" w:rsidRPr="00E90575">
        <w:rPr>
          <w:highlight w:val="yellow"/>
        </w:rPr>
        <w:t>JURISDICTION</w:t>
      </w:r>
      <w:r w:rsidR="00FB0497">
        <w:t xml:space="preserve">’s RHNA is </w:t>
      </w:r>
      <w:r w:rsidR="00FB0497" w:rsidRPr="005B4ED6">
        <w:rPr>
          <w:highlight w:val="yellow"/>
        </w:rPr>
        <w:t>NUMBER</w:t>
      </w:r>
      <w:r w:rsidR="00FB0497">
        <w:t xml:space="preserve">, a </w:t>
      </w:r>
      <w:r w:rsidR="00FB0497" w:rsidRPr="00C326A8">
        <w:rPr>
          <w:highlight w:val="yellow"/>
        </w:rPr>
        <w:t>PERCENT</w:t>
      </w:r>
      <w:r w:rsidR="00FB0497">
        <w:t xml:space="preserve"> increase from last cycle’s RHNA of </w:t>
      </w:r>
      <w:r w:rsidR="00FB0497" w:rsidRPr="005B4ED6">
        <w:rPr>
          <w:highlight w:val="yellow"/>
        </w:rPr>
        <w:t>PREVIOUS NUMBER</w:t>
      </w:r>
      <w:r w:rsidR="00FB0497">
        <w:t xml:space="preserve">. </w:t>
      </w:r>
      <w:r w:rsidR="00181CCF">
        <w:t xml:space="preserve">Cities do not need to ensure these homes are built, but do need to </w:t>
      </w:r>
      <w:r w:rsidR="00EC7AA4">
        <w:t>put in place</w:t>
      </w:r>
      <w:r w:rsidR="00E46E60">
        <w:t xml:space="preserve"> the proper zoning and </w:t>
      </w:r>
      <w:r w:rsidR="00EC7AA4">
        <w:t>address</w:t>
      </w:r>
      <w:r w:rsidR="00E46E60">
        <w:t xml:space="preserve"> constraints </w:t>
      </w:r>
      <w:r w:rsidR="00EC7AA4">
        <w:t>so</w:t>
      </w:r>
      <w:r w:rsidR="00E46E60">
        <w:t xml:space="preserve"> the private sector </w:t>
      </w:r>
      <w:r w:rsidR="00EC7AA4">
        <w:t>can</w:t>
      </w:r>
      <w:r w:rsidR="00E46E60">
        <w:t xml:space="preserve"> build </w:t>
      </w:r>
      <w:r w:rsidR="00163D95">
        <w:t xml:space="preserve">the </w:t>
      </w:r>
      <w:r w:rsidR="00E46E60">
        <w:t xml:space="preserve">housing. </w:t>
      </w:r>
      <w:r w:rsidR="0076555F">
        <w:t>For context, the RHNA</w:t>
      </w:r>
      <w:r w:rsidR="00BD2BA3">
        <w:t xml:space="preserve"> </w:t>
      </w:r>
      <w:r w:rsidR="0076555F">
        <w:t xml:space="preserve">for all cities in </w:t>
      </w:r>
      <w:r w:rsidR="00412A72">
        <w:t>Santa Clara County</w:t>
      </w:r>
      <w:r w:rsidR="0076555F">
        <w:t xml:space="preserve"> are summarized in </w:t>
      </w:r>
      <w:r w:rsidR="002824B1">
        <w:t>the</w:t>
      </w:r>
      <w:r w:rsidR="0076555F">
        <w:t xml:space="preserve"> tabl</w:t>
      </w:r>
      <w:r w:rsidR="00D54C0A">
        <w:t>e</w:t>
      </w:r>
      <w:r w:rsidR="002824B1">
        <w:t xml:space="preserve"> to the left. </w:t>
      </w:r>
    </w:p>
    <w:p w14:paraId="47EE6C26" w14:textId="77777777" w:rsidR="00F53E24" w:rsidRDefault="008602B2" w:rsidP="00BB7C5E">
      <w:r>
        <w:t xml:space="preserve">The RHNA is broken down by income category. </w:t>
      </w:r>
      <w:r w:rsidR="00E90575" w:rsidRPr="00E90575">
        <w:rPr>
          <w:highlight w:val="yellow"/>
        </w:rPr>
        <w:t>JURISDICTION</w:t>
      </w:r>
      <w:r w:rsidR="001441C8">
        <w:t>’s income specific RHNA is</w:t>
      </w:r>
    </w:p>
    <w:p w14:paraId="20B7D5A8" w14:textId="77777777" w:rsidR="004678A8" w:rsidRPr="005B4ED6" w:rsidRDefault="004678A8" w:rsidP="004678A8">
      <w:pPr>
        <w:spacing w:after="0"/>
        <w:ind w:left="720" w:firstLine="720"/>
        <w:rPr>
          <w:highlight w:val="yellow"/>
        </w:rPr>
      </w:pPr>
      <w:r>
        <w:t>Very Low Income:</w:t>
      </w:r>
      <w:r w:rsidR="00FC2BCD">
        <w:tab/>
      </w:r>
      <w:r w:rsidR="00FC2BCD" w:rsidRPr="005B4ED6">
        <w:rPr>
          <w:highlight w:val="yellow"/>
        </w:rPr>
        <w:t>NUMBER</w:t>
      </w:r>
    </w:p>
    <w:p w14:paraId="478C5E6E" w14:textId="77777777" w:rsidR="004678A8" w:rsidRPr="005B4ED6" w:rsidRDefault="004678A8" w:rsidP="004678A8">
      <w:pPr>
        <w:spacing w:after="0"/>
        <w:ind w:left="720" w:firstLine="720"/>
        <w:rPr>
          <w:highlight w:val="yellow"/>
        </w:rPr>
      </w:pPr>
      <w:r w:rsidRPr="00814810">
        <w:t>Low Income:</w:t>
      </w:r>
      <w:r w:rsidR="00FC2BCD" w:rsidRPr="00814810">
        <w:t xml:space="preserve"> </w:t>
      </w:r>
      <w:r w:rsidR="00FC2BCD" w:rsidRPr="00814810">
        <w:tab/>
      </w:r>
      <w:r w:rsidR="00FC2BCD" w:rsidRPr="00814810">
        <w:tab/>
      </w:r>
      <w:r w:rsidR="00FC2BCD" w:rsidRPr="005B4ED6">
        <w:rPr>
          <w:highlight w:val="yellow"/>
        </w:rPr>
        <w:t>NUMBER</w:t>
      </w:r>
    </w:p>
    <w:p w14:paraId="6F0F77FA" w14:textId="77777777" w:rsidR="004678A8" w:rsidRPr="005B4ED6" w:rsidRDefault="004678A8" w:rsidP="004678A8">
      <w:pPr>
        <w:spacing w:after="0"/>
        <w:ind w:left="720" w:firstLine="720"/>
        <w:rPr>
          <w:highlight w:val="yellow"/>
        </w:rPr>
      </w:pPr>
      <w:r w:rsidRPr="00814810">
        <w:t>Moderate Income:</w:t>
      </w:r>
      <w:r w:rsidR="00FC2BCD" w:rsidRPr="00814810">
        <w:t xml:space="preserve"> </w:t>
      </w:r>
      <w:r w:rsidR="00FC2BCD" w:rsidRPr="00814810">
        <w:tab/>
      </w:r>
      <w:r w:rsidR="00FC2BCD" w:rsidRPr="005B4ED6">
        <w:rPr>
          <w:highlight w:val="yellow"/>
        </w:rPr>
        <w:t>NUMBER</w:t>
      </w:r>
    </w:p>
    <w:p w14:paraId="3F7A9FBE" w14:textId="77777777" w:rsidR="004678A8" w:rsidRPr="005B4ED6" w:rsidRDefault="004678A8" w:rsidP="004678A8">
      <w:pPr>
        <w:spacing w:after="0"/>
        <w:ind w:left="720" w:firstLine="720"/>
        <w:rPr>
          <w:highlight w:val="yellow"/>
        </w:rPr>
      </w:pPr>
      <w:r w:rsidRPr="00814810">
        <w:t xml:space="preserve">Above </w:t>
      </w:r>
      <w:r w:rsidR="00FC2BCD" w:rsidRPr="00814810">
        <w:t>Mod</w:t>
      </w:r>
      <w:r w:rsidRPr="00814810">
        <w:t xml:space="preserve"> Income</w:t>
      </w:r>
      <w:r w:rsidR="00FC2BCD" w:rsidRPr="00814810">
        <w:t xml:space="preserve">: </w:t>
      </w:r>
      <w:r w:rsidR="00FC2BCD" w:rsidRPr="00814810">
        <w:tab/>
      </w:r>
      <w:r w:rsidR="00FC2BCD" w:rsidRPr="005B4ED6">
        <w:rPr>
          <w:highlight w:val="yellow"/>
        </w:rPr>
        <w:t>NUMBER</w:t>
      </w:r>
    </w:p>
    <w:p w14:paraId="5E4F017B" w14:textId="77777777" w:rsidR="004678A8" w:rsidRPr="00814810" w:rsidRDefault="004678A8" w:rsidP="004678A8">
      <w:pPr>
        <w:spacing w:after="0"/>
        <w:ind w:left="720" w:firstLine="720"/>
        <w:rPr>
          <w:b/>
          <w:bCs/>
        </w:rPr>
      </w:pPr>
      <w:r w:rsidRPr="00814810">
        <w:rPr>
          <w:b/>
          <w:bCs/>
        </w:rPr>
        <w:t>Total</w:t>
      </w:r>
      <w:r w:rsidR="00FC2BCD" w:rsidRPr="00814810">
        <w:rPr>
          <w:b/>
          <w:bCs/>
        </w:rPr>
        <w:t>:</w:t>
      </w:r>
      <w:r w:rsidR="00FC2BCD" w:rsidRPr="00814810">
        <w:rPr>
          <w:b/>
          <w:bCs/>
        </w:rPr>
        <w:tab/>
      </w:r>
      <w:r w:rsidR="00FC2BCD" w:rsidRPr="00814810">
        <w:rPr>
          <w:b/>
          <w:bCs/>
        </w:rPr>
        <w:tab/>
      </w:r>
      <w:r w:rsidR="00FC2BCD" w:rsidRPr="00814810">
        <w:rPr>
          <w:b/>
          <w:bCs/>
        </w:rPr>
        <w:tab/>
      </w:r>
      <w:r w:rsidR="00FC2BCD" w:rsidRPr="00814810">
        <w:rPr>
          <w:b/>
          <w:bCs/>
          <w:highlight w:val="yellow"/>
        </w:rPr>
        <w:t>NUMBER</w:t>
      </w:r>
      <w:r w:rsidR="00FC2BCD" w:rsidRPr="00814810">
        <w:rPr>
          <w:b/>
          <w:bCs/>
        </w:rPr>
        <w:tab/>
      </w:r>
      <w:r w:rsidR="00FC2BCD" w:rsidRPr="00814810">
        <w:rPr>
          <w:b/>
          <w:bCs/>
        </w:rPr>
        <w:tab/>
      </w:r>
    </w:p>
    <w:p w14:paraId="17F8B423" w14:textId="77777777" w:rsidR="006D77BC" w:rsidRDefault="006D77BC" w:rsidP="00BB7C5E"/>
    <w:p w14:paraId="3B235E22" w14:textId="77777777" w:rsidR="00E46E60" w:rsidRDefault="002824B1" w:rsidP="00BB7C5E">
      <w:r>
        <w:lastRenderedPageBreak/>
        <w:t xml:space="preserve">Almost all </w:t>
      </w:r>
      <w:r w:rsidR="00963F0B">
        <w:t>jurisdictions</w:t>
      </w:r>
      <w:r>
        <w:t xml:space="preserve"> in the regi</w:t>
      </w:r>
      <w:r w:rsidR="00963F0B">
        <w:t xml:space="preserve">on (and in other regions) had a higher RHNA this cycle. This is primarily due to changes required by a new law that better accounts for existing overcrowding. </w:t>
      </w:r>
    </w:p>
    <w:p w14:paraId="56DF19C3" w14:textId="77777777" w:rsidR="005E7B6A" w:rsidRDefault="005E7B6A" w:rsidP="005E7B6A">
      <w:r>
        <w:t>This cycle, a jurisdiction’s RHNA is based on the following factors</w:t>
      </w:r>
    </w:p>
    <w:p w14:paraId="47EC3EC2" w14:textId="77777777" w:rsidR="005E7B6A" w:rsidRDefault="005E7B6A" w:rsidP="005E7B6A">
      <w:pPr>
        <w:pStyle w:val="ListParagraph"/>
        <w:numPr>
          <w:ilvl w:val="0"/>
          <w:numId w:val="5"/>
        </w:numPr>
      </w:pPr>
      <w:r>
        <w:t>Project</w:t>
      </w:r>
      <w:r w:rsidR="00C326A8">
        <w:t>ed</w:t>
      </w:r>
      <w:r>
        <w:t xml:space="preserve"> 2050 population according to Plan Bay Area</w:t>
      </w:r>
      <w:r w:rsidR="00C326A8">
        <w:rPr>
          <w:rStyle w:val="FootnoteReference"/>
        </w:rPr>
        <w:footnoteReference w:id="2"/>
      </w:r>
    </w:p>
    <w:p w14:paraId="4D30680D" w14:textId="77777777" w:rsidR="005E7B6A" w:rsidRDefault="005E7B6A" w:rsidP="005E7B6A">
      <w:pPr>
        <w:pStyle w:val="ListParagraph"/>
        <w:numPr>
          <w:ilvl w:val="0"/>
          <w:numId w:val="5"/>
        </w:numPr>
      </w:pPr>
      <w:r>
        <w:t>Proximity to jobs (both by car and public transportation)</w:t>
      </w:r>
    </w:p>
    <w:p w14:paraId="6B5339AE" w14:textId="77777777" w:rsidR="005676F6" w:rsidRDefault="005E7B6A" w:rsidP="005E7B6A">
      <w:pPr>
        <w:pStyle w:val="ListParagraph"/>
        <w:numPr>
          <w:ilvl w:val="0"/>
          <w:numId w:val="5"/>
        </w:numPr>
      </w:pPr>
      <w:r>
        <w:t xml:space="preserve">The percent of households living in high opportunity areas (based on school, environmental </w:t>
      </w:r>
    </w:p>
    <w:p w14:paraId="551490D0" w14:textId="72D8C663" w:rsidR="005E7B6A" w:rsidRDefault="005E7B6A" w:rsidP="005E7B6A">
      <w:pPr>
        <w:pStyle w:val="ListParagraph"/>
        <w:numPr>
          <w:ilvl w:val="0"/>
          <w:numId w:val="5"/>
        </w:numPr>
      </w:pPr>
      <w:r>
        <w:t xml:space="preserve">hazards, jobs, etc.) </w:t>
      </w:r>
    </w:p>
    <w:p w14:paraId="448C7F8E" w14:textId="17322EC0" w:rsidR="005676F6" w:rsidRPr="00D36F2E" w:rsidRDefault="005676F6" w:rsidP="00EC0E9F">
      <w:pPr>
        <w:rPr>
          <w:rFonts w:eastAsia="Times New Roman" w:cstheme="minorHAnsi"/>
          <w:color w:val="000000"/>
        </w:rPr>
      </w:pPr>
      <w:r w:rsidRPr="005676F6">
        <w:rPr>
          <w:rFonts w:cstheme="minorHAnsi"/>
        </w:rPr>
        <w:t xml:space="preserve">The </w:t>
      </w:r>
      <w:r>
        <w:rPr>
          <w:rFonts w:cstheme="minorHAnsi"/>
        </w:rPr>
        <w:t>above</w:t>
      </w:r>
      <w:r w:rsidRPr="005676F6">
        <w:rPr>
          <w:rFonts w:cstheme="minorHAnsi"/>
        </w:rPr>
        <w:t xml:space="preserve"> illustrative </w:t>
      </w:r>
      <w:r>
        <w:rPr>
          <w:rFonts w:cstheme="minorHAnsi"/>
        </w:rPr>
        <w:t xml:space="preserve">RHNA </w:t>
      </w:r>
      <w:r w:rsidRPr="005676F6">
        <w:rPr>
          <w:rFonts w:cstheme="minorHAnsi"/>
        </w:rPr>
        <w:t xml:space="preserve">allocations are based on the methodology adopted by the ABAG Executive Board </w:t>
      </w:r>
      <w:r w:rsidR="00D36F2E">
        <w:rPr>
          <w:rFonts w:cstheme="minorHAnsi"/>
        </w:rPr>
        <w:t xml:space="preserve">on </w:t>
      </w:r>
      <w:r w:rsidR="00EC0E9F">
        <w:rPr>
          <w:rFonts w:cstheme="minorHAnsi"/>
        </w:rPr>
        <w:t>January</w:t>
      </w:r>
      <w:r w:rsidR="00D36F2E">
        <w:rPr>
          <w:rFonts w:cstheme="minorHAnsi"/>
        </w:rPr>
        <w:t xml:space="preserve"> 21 </w:t>
      </w:r>
      <w:r w:rsidRPr="005676F6">
        <w:rPr>
          <w:rFonts w:cstheme="minorHAnsi"/>
        </w:rPr>
        <w:t xml:space="preserve">that is now being submitted to </w:t>
      </w:r>
      <w:r w:rsidRPr="00D36F2E">
        <w:rPr>
          <w:rFonts w:cstheme="minorHAnsi"/>
        </w:rPr>
        <w:t>the State Housing and Community Development Department for review</w:t>
      </w:r>
      <w:r w:rsidR="00D36F2E">
        <w:rPr>
          <w:rFonts w:cstheme="minorHAnsi"/>
        </w:rPr>
        <w:t xml:space="preserve"> and approval</w:t>
      </w:r>
      <w:r w:rsidRPr="00D36F2E">
        <w:rPr>
          <w:rFonts w:cstheme="minorHAnsi"/>
        </w:rPr>
        <w:t xml:space="preserve">.  The revised methodology adopted by the Board takes into account an </w:t>
      </w:r>
      <w:r w:rsidRPr="0044536D">
        <w:rPr>
          <w:rFonts w:cstheme="minorHAnsi"/>
        </w:rPr>
        <w:t>“equity adjust</w:t>
      </w:r>
      <w:r w:rsidRPr="00EC0E9F">
        <w:rPr>
          <w:rFonts w:cstheme="minorHAnsi"/>
        </w:rPr>
        <w:t xml:space="preserve">ment” which </w:t>
      </w:r>
      <w:r w:rsidRPr="00EC0E9F">
        <w:rPr>
          <w:rFonts w:eastAsia="Times New Roman" w:cstheme="minorHAnsi"/>
          <w:color w:val="000000"/>
        </w:rPr>
        <w:t>identifies jurisdictions that score highly on a racial and economic exclusion index</w:t>
      </w:r>
      <w:r w:rsidRPr="00A74E64">
        <w:rPr>
          <w:rStyle w:val="FootnoteReference"/>
          <w:rFonts w:eastAsia="Times New Roman" w:cstheme="minorHAnsi"/>
          <w:color w:val="000000"/>
        </w:rPr>
        <w:footnoteReference w:id="3"/>
      </w:r>
      <w:r w:rsidRPr="005676F6">
        <w:rPr>
          <w:rFonts w:eastAsia="Times New Roman" w:cstheme="minorHAnsi"/>
          <w:color w:val="000000"/>
        </w:rPr>
        <w:t>.  This index is based on the jurisdiction’s divergence index score (a measure of diversity) and the percent of the jurisdiction’s households above 120 percent</w:t>
      </w:r>
      <w:r w:rsidRPr="00D36F2E">
        <w:rPr>
          <w:rFonts w:eastAsia="Times New Roman" w:cstheme="minorHAnsi"/>
          <w:color w:val="000000"/>
        </w:rPr>
        <w:t xml:space="preserve"> of Area Median Income (AMI). </w:t>
      </w:r>
    </w:p>
    <w:p w14:paraId="013FBFAD" w14:textId="406A8BC1" w:rsidR="005676F6" w:rsidRDefault="005676F6" w:rsidP="005676F6">
      <w:pPr>
        <w:rPr>
          <w:rFonts w:eastAsia="Times New Roman" w:cstheme="minorHAnsi"/>
          <w:color w:val="000000"/>
        </w:rPr>
      </w:pPr>
      <w:r w:rsidRPr="00EC0E9F">
        <w:rPr>
          <w:rFonts w:eastAsia="Times New Roman" w:cstheme="minorHAnsi"/>
          <w:color w:val="000000"/>
        </w:rPr>
        <w:t xml:space="preserve">This process flagged 49 jurisdictions </w:t>
      </w:r>
      <w:r w:rsidRPr="00EC0E9F">
        <w:rPr>
          <w:rFonts w:eastAsia="Times New Roman" w:cstheme="minorHAnsi"/>
          <w:color w:val="000000"/>
          <w:highlight w:val="yellow"/>
        </w:rPr>
        <w:t>(including Jurisdiction, if applicable</w:t>
      </w:r>
      <w:r w:rsidRPr="00EC0E9F">
        <w:rPr>
          <w:rFonts w:eastAsia="Times New Roman" w:cstheme="minorHAnsi"/>
          <w:color w:val="000000"/>
        </w:rPr>
        <w:t>). The equity adjustment requires that these 49 jurisdictions receive an allocation of very low- and low-income units that is at least proportional to their share of the region’s total households in 2020. This means that to have a proportional allocation, a city with 2 percent of existing households would also get 2 percent of the allocation of very low- and low-income RHNA units. </w:t>
      </w:r>
    </w:p>
    <w:p w14:paraId="52802EC6" w14:textId="3A11CDC4" w:rsidR="00D36F2E" w:rsidRPr="00EC0E9F" w:rsidRDefault="00D36F2E" w:rsidP="00EC0E9F">
      <w:pPr>
        <w:pStyle w:val="Heading2"/>
        <w:rPr>
          <w:rFonts w:eastAsia="Times New Roman"/>
        </w:rPr>
      </w:pPr>
      <w:r>
        <w:rPr>
          <w:rFonts w:eastAsia="Times New Roman"/>
        </w:rPr>
        <w:t>Challenges and Solutions to Addressing the Increased RHNA Allocation</w:t>
      </w:r>
    </w:p>
    <w:p w14:paraId="11047074" w14:textId="78E6FF06" w:rsidR="00B9316D" w:rsidRDefault="00EB613D" w:rsidP="00BB7C5E">
      <w:r>
        <w:t>One of the challenges this cycle will be identifying sufficien</w:t>
      </w:r>
      <w:r w:rsidR="00F826B6">
        <w:t xml:space="preserve">t housing sites to meet </w:t>
      </w:r>
      <w:r w:rsidR="00E90575" w:rsidRPr="00E90575">
        <w:rPr>
          <w:highlight w:val="yellow"/>
        </w:rPr>
        <w:t>JURISDICTION</w:t>
      </w:r>
      <w:r w:rsidR="00F826B6">
        <w:t>’s RHNA. This is in par</w:t>
      </w:r>
      <w:r w:rsidR="00B302CC">
        <w:t xml:space="preserve">t due to the higher </w:t>
      </w:r>
      <w:r w:rsidR="00743C98">
        <w:t>RHNA</w:t>
      </w:r>
      <w:r w:rsidR="00B302CC">
        <w:t>, but also</w:t>
      </w:r>
      <w:r w:rsidR="00743C98">
        <w:t xml:space="preserve"> because of new</w:t>
      </w:r>
      <w:r w:rsidR="00B302CC">
        <w:t xml:space="preserve"> limits on what can be counted as sites. </w:t>
      </w:r>
      <w:r w:rsidR="00743C98">
        <w:t xml:space="preserve">New </w:t>
      </w:r>
      <w:r w:rsidR="00923571">
        <w:t xml:space="preserve">requirements </w:t>
      </w:r>
      <w:r w:rsidR="00743C98">
        <w:t xml:space="preserve">mean there will be increased scrutiny on small (0.5 acre or less), large (10 acre or more) and redevelopment sites. </w:t>
      </w:r>
      <w:r w:rsidR="00750BBE">
        <w:t xml:space="preserve">Additionally, sites used in previous </w:t>
      </w:r>
      <w:r w:rsidR="000A1B5A">
        <w:t>Housing Element</w:t>
      </w:r>
      <w:r w:rsidR="00B9316D">
        <w:t>s</w:t>
      </w:r>
      <w:r w:rsidR="00750BBE">
        <w:t xml:space="preserve"> </w:t>
      </w:r>
      <w:r w:rsidR="00B9316D">
        <w:t>have new requirements</w:t>
      </w:r>
      <w:r w:rsidR="00923571">
        <w:t xml:space="preserve"> if they are to be included again in the sites inventory</w:t>
      </w:r>
      <w:r w:rsidR="00B9316D">
        <w:t xml:space="preserve">. </w:t>
      </w:r>
    </w:p>
    <w:p w14:paraId="34576A71" w14:textId="0FDEC65E" w:rsidR="005676F6" w:rsidRDefault="00D36F2E" w:rsidP="00412A72">
      <w:pPr>
        <w:rPr>
          <w:rFonts w:cstheme="minorHAnsi"/>
        </w:rPr>
      </w:pPr>
      <w:r>
        <w:t xml:space="preserve">There are, however, new tools and resources being made available by ABAG to assist local jurisdictions in addressing the increased RHNA allocations, including additional funding for the Santa Clara County Planning </w:t>
      </w:r>
      <w:r w:rsidR="00EC0E9F">
        <w:t>Collaborative</w:t>
      </w:r>
      <w:r>
        <w:t xml:space="preserve"> to assist cities with the sites inventory and analysis, along with other parts of the housing element.  In addition, </w:t>
      </w:r>
      <w:r w:rsidR="00B9316D">
        <w:t>ADUs can be counted based on recent trends</w:t>
      </w:r>
      <w:r>
        <w:t xml:space="preserve">  as well as  projects that are in the development pipeline. </w:t>
      </w:r>
    </w:p>
    <w:p w14:paraId="216CF847" w14:textId="77777777" w:rsidR="00CF7B29" w:rsidRDefault="00CF7B29" w:rsidP="00CF7B29">
      <w:pPr>
        <w:pStyle w:val="Heading1"/>
        <w:rPr>
          <w:b/>
        </w:rPr>
      </w:pPr>
      <w:r w:rsidRPr="00CF7B29">
        <w:rPr>
          <w:b/>
        </w:rPr>
        <w:t>Timeline</w:t>
      </w:r>
      <w:r w:rsidR="006427EE">
        <w:rPr>
          <w:b/>
        </w:rPr>
        <w:t xml:space="preserve"> and Process</w:t>
      </w:r>
    </w:p>
    <w:p w14:paraId="6C7D77F5" w14:textId="383DC2BA" w:rsidR="005E7B6A" w:rsidRDefault="000A1B5A" w:rsidP="008D3EEC">
      <w:r>
        <w:t>Housing Element</w:t>
      </w:r>
      <w:r w:rsidR="006427EE">
        <w:t xml:space="preserve">s are written and adopted by local governments, but must be certified by HCD. While </w:t>
      </w:r>
      <w:r w:rsidR="00E90575" w:rsidRPr="00E90575">
        <w:rPr>
          <w:highlight w:val="yellow"/>
        </w:rPr>
        <w:t>JURISDICTION</w:t>
      </w:r>
      <w:r w:rsidR="006427EE">
        <w:t xml:space="preserve">’s </w:t>
      </w:r>
      <w:r>
        <w:t>Housing Element</w:t>
      </w:r>
      <w:r w:rsidR="006427EE">
        <w:t xml:space="preserve"> is due in January 2023, like all jurisdictions in the Bay Area, it is important to build in a few months extra to ensure HCD has time to conduct their required review</w:t>
      </w:r>
      <w:r w:rsidR="00923571">
        <w:t xml:space="preserve"> prior to final adoption by Council</w:t>
      </w:r>
      <w:r w:rsidR="006427EE">
        <w:t xml:space="preserve">. </w:t>
      </w:r>
      <w:r w:rsidR="005E7B6A">
        <w:t>The draft timeline for the project</w:t>
      </w:r>
      <w:r w:rsidR="00B27EFE">
        <w:t xml:space="preserve"> is as follows:</w:t>
      </w:r>
    </w:p>
    <w:p w14:paraId="62449D40" w14:textId="77777777" w:rsidR="00D36F2E" w:rsidRPr="00994931" w:rsidRDefault="00D36F2E" w:rsidP="00D36F2E">
      <w:pPr>
        <w:spacing w:after="0" w:line="240" w:lineRule="auto"/>
        <w:rPr>
          <w:rFonts w:ascii="Garamond" w:eastAsia="Times New Roman" w:hAnsi="Garamond" w:cs="Times New Roman"/>
          <w:sz w:val="24"/>
          <w:szCs w:val="24"/>
        </w:rPr>
      </w:pPr>
      <w:r w:rsidRPr="00994931">
        <w:rPr>
          <w:rFonts w:ascii="Garamond" w:eastAsia="Times New Roman" w:hAnsi="Garamond" w:cs="Arial"/>
          <w:b/>
          <w:bCs/>
          <w:color w:val="000000"/>
          <w:sz w:val="24"/>
          <w:szCs w:val="24"/>
        </w:rPr>
        <w:lastRenderedPageBreak/>
        <w:t>Sample Timeline</w:t>
      </w:r>
    </w:p>
    <w:p w14:paraId="04E4BA36" w14:textId="77777777" w:rsidR="00EC0E9F" w:rsidRDefault="00EC0E9F" w:rsidP="00EC0E9F">
      <w:pPr>
        <w:spacing w:after="0" w:line="240" w:lineRule="auto"/>
        <w:rPr>
          <w:rFonts w:ascii="Garamond" w:eastAsia="Times New Roman" w:hAnsi="Garamond" w:cs="Arial"/>
          <w:color w:val="000000"/>
          <w:sz w:val="24"/>
          <w:szCs w:val="24"/>
        </w:rPr>
      </w:pPr>
      <w:r>
        <w:rPr>
          <w:rFonts w:ascii="Garamond" w:eastAsia="Times New Roman" w:hAnsi="Garamond" w:cs="Arial"/>
          <w:color w:val="000000"/>
          <w:sz w:val="24"/>
          <w:szCs w:val="24"/>
        </w:rPr>
        <w:t>Start process</w:t>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sidRPr="00DB14E5">
        <w:rPr>
          <w:rFonts w:ascii="Garamond" w:eastAsia="Times New Roman" w:hAnsi="Garamond" w:cs="Arial"/>
          <w:color w:val="000000"/>
          <w:sz w:val="24"/>
          <w:szCs w:val="24"/>
        </w:rPr>
        <w:t>Early 2021</w:t>
      </w:r>
    </w:p>
    <w:p w14:paraId="55C85094"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Develop and initiate engagement strategy</w:t>
      </w:r>
      <w:r>
        <w:rPr>
          <w:rFonts w:ascii="Garamond" w:eastAsia="Times New Roman" w:hAnsi="Garamond" w:cs="Times New Roman"/>
          <w:sz w:val="24"/>
          <w:szCs w:val="24"/>
        </w:rPr>
        <w:tab/>
      </w:r>
      <w:r>
        <w:rPr>
          <w:rFonts w:ascii="Garamond" w:eastAsia="Times New Roman" w:hAnsi="Garamond" w:cs="Times New Roman"/>
          <w:sz w:val="24"/>
          <w:szCs w:val="24"/>
        </w:rPr>
        <w:tab/>
        <w:t>Early Spring 2021</w:t>
      </w:r>
    </w:p>
    <w:p w14:paraId="00C828FE" w14:textId="77777777" w:rsidR="00EC0E9F" w:rsidRDefault="00EC0E9F" w:rsidP="00EC0E9F">
      <w:pPr>
        <w:pStyle w:val="ListParagraph"/>
        <w:numPr>
          <w:ilvl w:val="0"/>
          <w:numId w:val="9"/>
        </w:numPr>
        <w:spacing w:after="0" w:line="240" w:lineRule="auto"/>
        <w:rPr>
          <w:rFonts w:ascii="Garamond" w:eastAsia="Times New Roman" w:hAnsi="Garamond" w:cs="Arial"/>
          <w:color w:val="000000"/>
          <w:sz w:val="24"/>
          <w:szCs w:val="24"/>
        </w:rPr>
      </w:pPr>
      <w:r>
        <w:rPr>
          <w:rFonts w:ascii="Garamond" w:eastAsia="Times New Roman" w:hAnsi="Garamond" w:cs="Arial"/>
          <w:color w:val="000000"/>
          <w:sz w:val="24"/>
          <w:szCs w:val="24"/>
        </w:rPr>
        <w:t xml:space="preserve">Brief Council and/or Commission </w:t>
      </w:r>
    </w:p>
    <w:p w14:paraId="19D948FB" w14:textId="77777777" w:rsidR="00EC0E9F" w:rsidRPr="009C6ACD" w:rsidRDefault="00EC0E9F" w:rsidP="00EC0E9F">
      <w:pPr>
        <w:pStyle w:val="ListParagraph"/>
        <w:numPr>
          <w:ilvl w:val="0"/>
          <w:numId w:val="9"/>
        </w:numPr>
        <w:spacing w:after="0" w:line="240" w:lineRule="auto"/>
        <w:rPr>
          <w:rFonts w:ascii="Garamond" w:eastAsia="Times New Roman" w:hAnsi="Garamond" w:cs="Arial"/>
          <w:color w:val="000000"/>
          <w:sz w:val="24"/>
          <w:szCs w:val="24"/>
        </w:rPr>
      </w:pPr>
      <w:r>
        <w:rPr>
          <w:rFonts w:ascii="Garamond" w:eastAsia="Times New Roman" w:hAnsi="Garamond" w:cs="Arial"/>
          <w:color w:val="000000"/>
          <w:sz w:val="24"/>
          <w:szCs w:val="24"/>
        </w:rPr>
        <w:t>Kickoff Public Meeting</w:t>
      </w:r>
    </w:p>
    <w:p w14:paraId="3FD17B35" w14:textId="77777777" w:rsidR="00EC0E9F" w:rsidRDefault="00EC0E9F" w:rsidP="00EC0E9F">
      <w:pPr>
        <w:spacing w:after="0" w:line="240" w:lineRule="auto"/>
        <w:rPr>
          <w:rFonts w:ascii="Garamond" w:eastAsia="Times New Roman" w:hAnsi="Garamond" w:cs="Arial"/>
          <w:color w:val="000000"/>
          <w:sz w:val="24"/>
          <w:szCs w:val="24"/>
        </w:rPr>
      </w:pPr>
      <w:r>
        <w:rPr>
          <w:rFonts w:ascii="Garamond" w:eastAsia="Times New Roman" w:hAnsi="Garamond" w:cs="Arial"/>
          <w:color w:val="000000"/>
          <w:sz w:val="24"/>
          <w:szCs w:val="24"/>
        </w:rPr>
        <w:t>Complete initial research/key trends</w:t>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Spring</w:t>
      </w:r>
      <w:r w:rsidRPr="00DB14E5">
        <w:rPr>
          <w:rFonts w:ascii="Garamond" w:eastAsia="Times New Roman" w:hAnsi="Garamond" w:cs="Arial"/>
          <w:color w:val="000000"/>
          <w:sz w:val="24"/>
          <w:szCs w:val="24"/>
        </w:rPr>
        <w:t xml:space="preserve"> 2021</w:t>
      </w:r>
    </w:p>
    <w:p w14:paraId="6270842B"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Arial"/>
          <w:color w:val="000000"/>
          <w:sz w:val="24"/>
          <w:szCs w:val="24"/>
        </w:rPr>
        <w:t>Identify scale of rezoning needed</w:t>
      </w:r>
      <w:r w:rsidRPr="00DB14E5">
        <w:rPr>
          <w:rFonts w:ascii="Garamond" w:eastAsia="Times New Roman" w:hAnsi="Garamond" w:cs="Arial"/>
          <w:color w:val="000000"/>
          <w:sz w:val="24"/>
          <w:szCs w:val="24"/>
        </w:rPr>
        <w:t xml:space="preserve"> </w:t>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Summer</w:t>
      </w:r>
      <w:r w:rsidRPr="00DB14E5">
        <w:rPr>
          <w:rFonts w:ascii="Garamond" w:eastAsia="Times New Roman" w:hAnsi="Garamond" w:cs="Arial"/>
          <w:color w:val="000000"/>
          <w:sz w:val="24"/>
          <w:szCs w:val="24"/>
        </w:rPr>
        <w:t xml:space="preserve"> 2021</w:t>
      </w:r>
    </w:p>
    <w:p w14:paraId="118B5AF6" w14:textId="77777777" w:rsidR="00EC0E9F" w:rsidRPr="00DB14E5" w:rsidRDefault="00EC0E9F" w:rsidP="00EC0E9F">
      <w:pPr>
        <w:spacing w:after="0" w:line="240" w:lineRule="auto"/>
        <w:rPr>
          <w:rFonts w:ascii="Garamond" w:eastAsia="Times New Roman" w:hAnsi="Garamond" w:cs="Times New Roman"/>
          <w:sz w:val="24"/>
          <w:szCs w:val="24"/>
        </w:rPr>
      </w:pPr>
      <w:r w:rsidRPr="00DB14E5">
        <w:rPr>
          <w:rFonts w:ascii="Garamond" w:eastAsia="Times New Roman" w:hAnsi="Garamond" w:cs="Arial"/>
          <w:color w:val="000000"/>
          <w:sz w:val="24"/>
          <w:szCs w:val="24"/>
        </w:rPr>
        <w:t>Begin rezoning/CEQA</w:t>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Fall</w:t>
      </w:r>
      <w:r w:rsidRPr="00DB14E5">
        <w:rPr>
          <w:rFonts w:ascii="Garamond" w:eastAsia="Times New Roman" w:hAnsi="Garamond" w:cs="Arial"/>
          <w:color w:val="000000"/>
          <w:sz w:val="24"/>
          <w:szCs w:val="24"/>
        </w:rPr>
        <w:t xml:space="preserve"> 2021</w:t>
      </w:r>
    </w:p>
    <w:p w14:paraId="2A2D5414"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Arial"/>
          <w:color w:val="000000"/>
          <w:sz w:val="24"/>
          <w:szCs w:val="24"/>
        </w:rPr>
        <w:t>Complete programs/policies</w:t>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 xml:space="preserve">Jan. – Feb. </w:t>
      </w:r>
      <w:r w:rsidRPr="00DB14E5">
        <w:rPr>
          <w:rFonts w:ascii="Garamond" w:eastAsia="Times New Roman" w:hAnsi="Garamond" w:cs="Arial"/>
          <w:color w:val="000000"/>
          <w:sz w:val="24"/>
          <w:szCs w:val="24"/>
        </w:rPr>
        <w:t>2022</w:t>
      </w:r>
    </w:p>
    <w:p w14:paraId="27FF4C66" w14:textId="77777777" w:rsidR="00EC0E9F" w:rsidRPr="00DB14E5" w:rsidRDefault="00EC0E9F" w:rsidP="00EC0E9F">
      <w:pPr>
        <w:spacing w:after="0" w:line="240" w:lineRule="auto"/>
        <w:rPr>
          <w:rFonts w:ascii="Garamond" w:eastAsia="Times New Roman" w:hAnsi="Garamond" w:cs="Arial"/>
          <w:color w:val="000000"/>
          <w:sz w:val="24"/>
          <w:szCs w:val="24"/>
        </w:rPr>
      </w:pPr>
      <w:r w:rsidRPr="00DB14E5">
        <w:rPr>
          <w:rFonts w:ascii="Garamond" w:eastAsia="Times New Roman" w:hAnsi="Garamond" w:cs="Arial"/>
          <w:color w:val="000000"/>
          <w:sz w:val="24"/>
          <w:szCs w:val="24"/>
        </w:rPr>
        <w:t>Complete rezoning</w:t>
      </w:r>
      <w:r w:rsidRPr="00DB14E5">
        <w:rPr>
          <w:rFonts w:ascii="Garamond" w:eastAsia="Times New Roman" w:hAnsi="Garamond" w:cs="Arial"/>
          <w:color w:val="000000"/>
          <w:sz w:val="24"/>
          <w:szCs w:val="24"/>
        </w:rPr>
        <w:tab/>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Jan. – Feb.</w:t>
      </w:r>
      <w:r w:rsidRPr="00DB14E5">
        <w:rPr>
          <w:rFonts w:ascii="Garamond" w:eastAsia="Times New Roman" w:hAnsi="Garamond" w:cs="Arial"/>
          <w:color w:val="000000"/>
          <w:sz w:val="24"/>
          <w:szCs w:val="24"/>
        </w:rPr>
        <w:t xml:space="preserve"> 2022</w:t>
      </w:r>
    </w:p>
    <w:p w14:paraId="0822A353" w14:textId="77777777" w:rsidR="00EC0E9F" w:rsidRPr="00DB14E5" w:rsidRDefault="00EC0E9F" w:rsidP="00EC0E9F">
      <w:pPr>
        <w:spacing w:after="0" w:line="240" w:lineRule="auto"/>
        <w:rPr>
          <w:rFonts w:ascii="Garamond" w:eastAsia="Times New Roman" w:hAnsi="Garamond" w:cs="Times New Roman"/>
          <w:sz w:val="24"/>
          <w:szCs w:val="24"/>
        </w:rPr>
      </w:pPr>
      <w:r w:rsidRPr="00DB14E5">
        <w:rPr>
          <w:rFonts w:ascii="Garamond" w:eastAsia="Times New Roman" w:hAnsi="Garamond" w:cs="Arial"/>
          <w:color w:val="000000"/>
          <w:sz w:val="24"/>
          <w:szCs w:val="24"/>
        </w:rPr>
        <w:t>Complete rezoning CEQA</w:t>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Spring</w:t>
      </w:r>
      <w:r w:rsidRPr="00DB14E5">
        <w:rPr>
          <w:rFonts w:ascii="Garamond" w:eastAsia="Times New Roman" w:hAnsi="Garamond" w:cs="Arial"/>
          <w:color w:val="000000"/>
          <w:sz w:val="24"/>
          <w:szCs w:val="24"/>
        </w:rPr>
        <w:t xml:space="preserve"> 2022</w:t>
      </w:r>
    </w:p>
    <w:p w14:paraId="33E05875"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Arial"/>
          <w:color w:val="000000"/>
          <w:sz w:val="24"/>
          <w:szCs w:val="24"/>
        </w:rPr>
        <w:t xml:space="preserve">Prepare </w:t>
      </w:r>
      <w:r w:rsidRPr="00DB14E5">
        <w:rPr>
          <w:rFonts w:ascii="Garamond" w:eastAsia="Times New Roman" w:hAnsi="Garamond" w:cs="Arial"/>
          <w:color w:val="000000"/>
          <w:sz w:val="24"/>
          <w:szCs w:val="24"/>
        </w:rPr>
        <w:t>Draft plan</w:t>
      </w:r>
      <w:r w:rsidRPr="00DB14E5">
        <w:rPr>
          <w:rFonts w:ascii="Garamond" w:eastAsia="Times New Roman" w:hAnsi="Garamond" w:cs="Arial"/>
          <w:color w:val="000000"/>
          <w:sz w:val="24"/>
          <w:szCs w:val="24"/>
        </w:rPr>
        <w:tab/>
        <w:t xml:space="preserve"> </w:t>
      </w:r>
      <w:r w:rsidRPr="00DB14E5">
        <w:rPr>
          <w:rFonts w:ascii="Garamond" w:eastAsia="Times New Roman" w:hAnsi="Garamond" w:cs="Arial"/>
          <w:color w:val="000000"/>
          <w:sz w:val="24"/>
          <w:szCs w:val="24"/>
        </w:rPr>
        <w:tab/>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 xml:space="preserve">Spring </w:t>
      </w:r>
      <w:r w:rsidRPr="00DB14E5">
        <w:rPr>
          <w:rFonts w:ascii="Garamond" w:eastAsia="Times New Roman" w:hAnsi="Garamond" w:cs="Arial"/>
          <w:color w:val="000000"/>
          <w:sz w:val="24"/>
          <w:szCs w:val="24"/>
        </w:rPr>
        <w:t>2022</w:t>
      </w:r>
      <w:r w:rsidRPr="00DB14E5">
        <w:rPr>
          <w:rFonts w:ascii="Garamond" w:eastAsia="Times New Roman" w:hAnsi="Garamond" w:cs="Arial"/>
          <w:color w:val="000000"/>
          <w:sz w:val="24"/>
          <w:szCs w:val="24"/>
        </w:rPr>
        <w:tab/>
      </w:r>
    </w:p>
    <w:p w14:paraId="40AE47E9"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Arial"/>
          <w:color w:val="000000"/>
          <w:sz w:val="24"/>
          <w:szCs w:val="24"/>
        </w:rPr>
        <w:t>Hold p</w:t>
      </w:r>
      <w:r w:rsidRPr="00DB14E5">
        <w:rPr>
          <w:rFonts w:ascii="Garamond" w:eastAsia="Times New Roman" w:hAnsi="Garamond" w:cs="Arial"/>
          <w:color w:val="000000"/>
          <w:sz w:val="24"/>
          <w:szCs w:val="24"/>
        </w:rPr>
        <w:t>ublic hearings</w:t>
      </w:r>
      <w:r>
        <w:rPr>
          <w:rFonts w:ascii="Garamond" w:eastAsia="Times New Roman" w:hAnsi="Garamond" w:cs="Arial"/>
          <w:color w:val="000000"/>
          <w:sz w:val="24"/>
          <w:szCs w:val="24"/>
        </w:rPr>
        <w:t xml:space="preserve"> </w:t>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 xml:space="preserve">May- June </w:t>
      </w:r>
      <w:r w:rsidRPr="00DB14E5">
        <w:rPr>
          <w:rFonts w:ascii="Garamond" w:eastAsia="Times New Roman" w:hAnsi="Garamond" w:cs="Arial"/>
          <w:color w:val="000000"/>
          <w:sz w:val="24"/>
          <w:szCs w:val="24"/>
        </w:rPr>
        <w:t>2022</w:t>
      </w:r>
    </w:p>
    <w:p w14:paraId="79099374" w14:textId="77777777" w:rsidR="00EC0E9F" w:rsidRPr="00DB14E5" w:rsidRDefault="00EC0E9F" w:rsidP="00EC0E9F">
      <w:pPr>
        <w:spacing w:after="0" w:line="240" w:lineRule="auto"/>
        <w:rPr>
          <w:rFonts w:ascii="Garamond" w:eastAsia="Times New Roman" w:hAnsi="Garamond" w:cs="Times New Roman"/>
          <w:sz w:val="24"/>
          <w:szCs w:val="24"/>
        </w:rPr>
      </w:pPr>
      <w:r w:rsidRPr="00DB14E5">
        <w:rPr>
          <w:rFonts w:ascii="Garamond" w:eastAsia="Times New Roman" w:hAnsi="Garamond" w:cs="Arial"/>
          <w:color w:val="000000"/>
          <w:sz w:val="24"/>
          <w:szCs w:val="24"/>
        </w:rPr>
        <w:t xml:space="preserve">State HCD review </w:t>
      </w:r>
      <w:r w:rsidRPr="00DB14E5">
        <w:rPr>
          <w:rFonts w:ascii="Garamond" w:eastAsia="Times New Roman" w:hAnsi="Garamond" w:cs="Arial"/>
          <w:color w:val="000000"/>
          <w:sz w:val="24"/>
          <w:szCs w:val="24"/>
        </w:rPr>
        <w:tab/>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 xml:space="preserve">July – Aug. </w:t>
      </w:r>
      <w:r w:rsidRPr="00DB14E5">
        <w:rPr>
          <w:rFonts w:ascii="Garamond" w:eastAsia="Times New Roman" w:hAnsi="Garamond" w:cs="Arial"/>
          <w:color w:val="000000"/>
          <w:sz w:val="24"/>
          <w:szCs w:val="24"/>
        </w:rPr>
        <w:t>2022</w:t>
      </w:r>
    </w:p>
    <w:p w14:paraId="7F6AB2DC" w14:textId="77777777" w:rsidR="00EC0E9F" w:rsidRPr="00DB14E5" w:rsidRDefault="00EC0E9F" w:rsidP="00EC0E9F">
      <w:pPr>
        <w:spacing w:after="0" w:line="240" w:lineRule="auto"/>
        <w:rPr>
          <w:rFonts w:ascii="Garamond" w:eastAsia="Times New Roman" w:hAnsi="Garamond" w:cs="Times New Roman"/>
          <w:sz w:val="24"/>
          <w:szCs w:val="24"/>
        </w:rPr>
      </w:pPr>
      <w:r w:rsidRPr="00DB14E5">
        <w:rPr>
          <w:rFonts w:ascii="Garamond" w:eastAsia="Times New Roman" w:hAnsi="Garamond" w:cs="Arial"/>
          <w:color w:val="000000"/>
          <w:sz w:val="24"/>
          <w:szCs w:val="24"/>
        </w:rPr>
        <w:t xml:space="preserve">Revise plan if needed </w:t>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 xml:space="preserve">Sept.- Oct. </w:t>
      </w:r>
      <w:r w:rsidRPr="00DB14E5">
        <w:rPr>
          <w:rFonts w:ascii="Garamond" w:eastAsia="Times New Roman" w:hAnsi="Garamond" w:cs="Arial"/>
          <w:color w:val="000000"/>
          <w:sz w:val="24"/>
          <w:szCs w:val="24"/>
        </w:rPr>
        <w:t>2022</w:t>
      </w:r>
    </w:p>
    <w:p w14:paraId="3B5CAD84"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Arial"/>
          <w:color w:val="000000"/>
          <w:sz w:val="24"/>
          <w:szCs w:val="24"/>
        </w:rPr>
        <w:t xml:space="preserve">Hold </w:t>
      </w:r>
      <w:r w:rsidRPr="00DB14E5">
        <w:rPr>
          <w:rFonts w:ascii="Garamond" w:eastAsia="Times New Roman" w:hAnsi="Garamond" w:cs="Arial"/>
          <w:color w:val="000000"/>
          <w:sz w:val="24"/>
          <w:szCs w:val="24"/>
        </w:rPr>
        <w:t xml:space="preserve">Council </w:t>
      </w:r>
      <w:r>
        <w:rPr>
          <w:rFonts w:ascii="Garamond" w:eastAsia="Times New Roman" w:hAnsi="Garamond" w:cs="Arial"/>
          <w:color w:val="000000"/>
          <w:sz w:val="24"/>
          <w:szCs w:val="24"/>
        </w:rPr>
        <w:t>adoption hearings</w:t>
      </w:r>
      <w:r w:rsidRPr="00DB14E5">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 xml:space="preserve">Oct. - </w:t>
      </w:r>
      <w:r w:rsidRPr="00DB14E5">
        <w:rPr>
          <w:rFonts w:ascii="Garamond" w:eastAsia="Times New Roman" w:hAnsi="Garamond" w:cs="Arial"/>
          <w:color w:val="000000"/>
          <w:sz w:val="24"/>
          <w:szCs w:val="24"/>
        </w:rPr>
        <w:t>Nov 2022*</w:t>
      </w:r>
      <w:r>
        <w:rPr>
          <w:rFonts w:ascii="Garamond" w:eastAsia="Times New Roman" w:hAnsi="Garamond" w:cs="Arial"/>
          <w:color w:val="000000"/>
          <w:sz w:val="24"/>
          <w:szCs w:val="24"/>
        </w:rPr>
        <w:t>*</w:t>
      </w:r>
    </w:p>
    <w:p w14:paraId="6D7963B6"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Arial"/>
          <w:color w:val="000000"/>
          <w:sz w:val="24"/>
          <w:szCs w:val="24"/>
        </w:rPr>
        <w:t xml:space="preserve">Complete Housing Element </w:t>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CEQA Oct. – Nov.</w:t>
      </w:r>
      <w:r w:rsidRPr="00DB14E5">
        <w:rPr>
          <w:rFonts w:ascii="Garamond" w:eastAsia="Times New Roman" w:hAnsi="Garamond" w:cs="Arial"/>
          <w:color w:val="000000"/>
          <w:sz w:val="24"/>
          <w:szCs w:val="24"/>
        </w:rPr>
        <w:t xml:space="preserve"> 2022</w:t>
      </w:r>
    </w:p>
    <w:p w14:paraId="64F33740" w14:textId="77777777" w:rsidR="00EC0E9F" w:rsidRPr="00DB14E5" w:rsidRDefault="00EC0E9F" w:rsidP="00EC0E9F">
      <w:pPr>
        <w:spacing w:after="0" w:line="240" w:lineRule="auto"/>
        <w:rPr>
          <w:rFonts w:ascii="Garamond" w:eastAsia="Times New Roman" w:hAnsi="Garamond" w:cs="Times New Roman"/>
          <w:sz w:val="24"/>
          <w:szCs w:val="24"/>
        </w:rPr>
      </w:pPr>
      <w:r>
        <w:rPr>
          <w:rFonts w:ascii="Garamond" w:eastAsia="Times New Roman" w:hAnsi="Garamond" w:cs="Arial"/>
          <w:color w:val="000000"/>
          <w:sz w:val="24"/>
          <w:szCs w:val="24"/>
        </w:rPr>
        <w:t xml:space="preserve">Submit for State certification </w:t>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r>
      <w:r>
        <w:rPr>
          <w:rFonts w:ascii="Garamond" w:eastAsia="Times New Roman" w:hAnsi="Garamond" w:cs="Arial"/>
          <w:color w:val="000000"/>
          <w:sz w:val="24"/>
          <w:szCs w:val="24"/>
        </w:rPr>
        <w:tab/>
        <w:t xml:space="preserve">Nov </w:t>
      </w:r>
      <w:r w:rsidRPr="00DB14E5">
        <w:rPr>
          <w:rFonts w:ascii="Garamond" w:eastAsia="Times New Roman" w:hAnsi="Garamond" w:cs="Arial"/>
          <w:color w:val="000000"/>
          <w:sz w:val="24"/>
          <w:szCs w:val="24"/>
        </w:rPr>
        <w:t>2022</w:t>
      </w:r>
    </w:p>
    <w:p w14:paraId="6D5F31CB" w14:textId="77777777" w:rsidR="00D36F2E" w:rsidRPr="00994931" w:rsidRDefault="00D36F2E" w:rsidP="00D36F2E">
      <w:pPr>
        <w:spacing w:after="0" w:line="240" w:lineRule="auto"/>
        <w:rPr>
          <w:rFonts w:ascii="Garamond" w:eastAsia="Times New Roman" w:hAnsi="Garamond" w:cs="Times New Roman"/>
          <w:sz w:val="24"/>
          <w:szCs w:val="24"/>
        </w:rPr>
      </w:pPr>
    </w:p>
    <w:p w14:paraId="33044CAC" w14:textId="22F3CB27" w:rsidR="00EC0E9F" w:rsidRPr="00994931" w:rsidRDefault="00EC0E9F" w:rsidP="00EC0E9F">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 This schedule assumes a robust community engagement strategy that will include interim stakeholder and public meetings throughout. </w:t>
      </w:r>
    </w:p>
    <w:p w14:paraId="46FE294B" w14:textId="77777777" w:rsidR="00EC0E9F" w:rsidRDefault="00EC0E9F" w:rsidP="00EC0E9F">
      <w:pPr>
        <w:spacing w:after="0" w:line="240" w:lineRule="auto"/>
        <w:rPr>
          <w:rFonts w:ascii="Garamond" w:eastAsia="Times New Roman" w:hAnsi="Garamond" w:cs="Times New Roman"/>
          <w:sz w:val="24"/>
          <w:szCs w:val="24"/>
        </w:rPr>
      </w:pPr>
      <w:r w:rsidRPr="00994931">
        <w:rPr>
          <w:rFonts w:ascii="Garamond" w:eastAsia="Times New Roman" w:hAnsi="Garamond" w:cs="Times New Roman"/>
          <w:sz w:val="24"/>
          <w:szCs w:val="24"/>
        </w:rPr>
        <w:t>*</w:t>
      </w:r>
      <w:r>
        <w:rPr>
          <w:rFonts w:ascii="Garamond" w:eastAsia="Times New Roman" w:hAnsi="Garamond" w:cs="Times New Roman"/>
          <w:sz w:val="24"/>
          <w:szCs w:val="24"/>
        </w:rPr>
        <w:t>*</w:t>
      </w:r>
      <w:r w:rsidRPr="00994931">
        <w:rPr>
          <w:rFonts w:ascii="Garamond" w:eastAsia="Times New Roman" w:hAnsi="Garamond" w:cs="Times New Roman"/>
          <w:sz w:val="24"/>
          <w:szCs w:val="24"/>
        </w:rPr>
        <w:t xml:space="preserve"> This schedule builds in two months of time before the January 2023 deadline</w:t>
      </w:r>
    </w:p>
    <w:p w14:paraId="1F82EEAD" w14:textId="77777777" w:rsidR="00EC0E9F" w:rsidRDefault="00EC0E9F" w:rsidP="00EC0E9F">
      <w:pPr>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 Alternatively, jurisdictions can adopt the zoning changes at the same time they adopt their housing element. </w:t>
      </w:r>
    </w:p>
    <w:p w14:paraId="1E4B8176" w14:textId="64BF88E6" w:rsidR="005E7B6A" w:rsidRPr="00EC0E9F" w:rsidRDefault="005E7B6A" w:rsidP="00EC0E9F">
      <w:pPr>
        <w:spacing w:after="0" w:line="240" w:lineRule="auto"/>
        <w:rPr>
          <w:rFonts w:ascii="Garamond" w:eastAsia="Times New Roman" w:hAnsi="Garamond" w:cs="Times New Roman"/>
          <w:sz w:val="24"/>
          <w:szCs w:val="24"/>
        </w:rPr>
      </w:pPr>
    </w:p>
    <w:p w14:paraId="0C3EF20A" w14:textId="77777777" w:rsidR="00263AF4" w:rsidRDefault="00263AF4">
      <w:pPr>
        <w:rPr>
          <w:rFonts w:asciiTheme="majorHAnsi" w:eastAsiaTheme="majorEastAsia" w:hAnsiTheme="majorHAnsi" w:cstheme="majorBidi"/>
          <w:b/>
          <w:color w:val="2E74B5" w:themeColor="accent1" w:themeShade="BF"/>
          <w:sz w:val="32"/>
          <w:szCs w:val="32"/>
        </w:rPr>
      </w:pPr>
      <w:r>
        <w:rPr>
          <w:b/>
        </w:rPr>
        <w:br w:type="page"/>
      </w:r>
    </w:p>
    <w:p w14:paraId="51B24ABB" w14:textId="665CABFD" w:rsidR="008D3EEC" w:rsidRDefault="00EA4D2B" w:rsidP="00F5019A">
      <w:pPr>
        <w:pStyle w:val="Heading1"/>
        <w:rPr>
          <w:b/>
        </w:rPr>
      </w:pPr>
      <w:r>
        <w:rPr>
          <w:b/>
        </w:rPr>
        <w:lastRenderedPageBreak/>
        <w:t xml:space="preserve">Affirmatively </w:t>
      </w:r>
      <w:r w:rsidR="00193586">
        <w:rPr>
          <w:b/>
        </w:rPr>
        <w:t>Furthering</w:t>
      </w:r>
      <w:r>
        <w:rPr>
          <w:b/>
        </w:rPr>
        <w:t xml:space="preserve"> Fair Housing</w:t>
      </w:r>
    </w:p>
    <w:p w14:paraId="3FE9D0FC" w14:textId="77777777" w:rsidR="00F74313" w:rsidRDefault="00F74313" w:rsidP="00193586">
      <w:r>
        <w:t xml:space="preserve">In 2018, California adopted new requirements for jurisdictions to Affirmatively Further Fair Housing (AFFH). </w:t>
      </w:r>
      <w:r w:rsidR="00070D5A">
        <w:t xml:space="preserve">While it </w:t>
      </w:r>
      <w:r>
        <w:t>has long been illegal for cities to discriminate based on race or certain</w:t>
      </w:r>
      <w:r w:rsidR="00070D5A">
        <w:t xml:space="preserve"> other categories, the </w:t>
      </w:r>
      <w:r>
        <w:t xml:space="preserve">AFFH rules go further and </w:t>
      </w:r>
      <w:r w:rsidR="001E5C8E">
        <w:t>require</w:t>
      </w:r>
      <w:r>
        <w:t xml:space="preserve"> that cities actively work to </w:t>
      </w:r>
      <w:r w:rsidRPr="00F74313">
        <w:t xml:space="preserve">dismantle </w:t>
      </w:r>
      <w:r>
        <w:t xml:space="preserve">the legacy of </w:t>
      </w:r>
      <w:r w:rsidRPr="00F74313">
        <w:t xml:space="preserve">segregation and </w:t>
      </w:r>
      <w:r w:rsidR="001E5C8E">
        <w:t xml:space="preserve">to </w:t>
      </w:r>
      <w:r w:rsidRPr="00F74313">
        <w:t>create equal housing opportunities</w:t>
      </w:r>
      <w:r>
        <w:t>. The State is still finalizing guidance, but cities will likely be expected to:</w:t>
      </w:r>
    </w:p>
    <w:p w14:paraId="0803205A" w14:textId="77777777" w:rsidR="004622F2" w:rsidRDefault="004622F2" w:rsidP="00F74313">
      <w:pPr>
        <w:pStyle w:val="ListParagraph"/>
        <w:numPr>
          <w:ilvl w:val="0"/>
          <w:numId w:val="8"/>
        </w:numPr>
      </w:pPr>
      <w:r>
        <w:t xml:space="preserve">Study housing demographics more thoroughly, in particular identifying how the needs and trends are different for people of color and other protected groups, </w:t>
      </w:r>
    </w:p>
    <w:p w14:paraId="7AFCD723" w14:textId="77777777" w:rsidR="00F74313" w:rsidRDefault="00F74313" w:rsidP="00F74313">
      <w:pPr>
        <w:pStyle w:val="ListParagraph"/>
        <w:numPr>
          <w:ilvl w:val="0"/>
          <w:numId w:val="8"/>
        </w:numPr>
      </w:pPr>
      <w:r>
        <w:t>Ensure that public engagement reaches all segments of the community</w:t>
      </w:r>
      <w:r w:rsidR="004622F2">
        <w:t>,</w:t>
      </w:r>
    </w:p>
    <w:p w14:paraId="50D64DA1" w14:textId="77777777" w:rsidR="00F74313" w:rsidRDefault="00070D5A" w:rsidP="00F74313">
      <w:pPr>
        <w:pStyle w:val="ListParagraph"/>
        <w:numPr>
          <w:ilvl w:val="0"/>
          <w:numId w:val="8"/>
        </w:numPr>
      </w:pPr>
      <w:r>
        <w:t>Plan so that n</w:t>
      </w:r>
      <w:r w:rsidR="00F74313">
        <w:t>ew housing is not disproportionately put in low income communities of color</w:t>
      </w:r>
      <w:r w:rsidR="004622F2">
        <w:t>, and</w:t>
      </w:r>
    </w:p>
    <w:p w14:paraId="486CF354" w14:textId="77777777" w:rsidR="00F74313" w:rsidRDefault="004622F2" w:rsidP="00F74313">
      <w:pPr>
        <w:pStyle w:val="ListParagraph"/>
        <w:numPr>
          <w:ilvl w:val="0"/>
          <w:numId w:val="8"/>
        </w:numPr>
      </w:pPr>
      <w:r>
        <w:t>Develop policies and programs that advance equity</w:t>
      </w:r>
      <w:r w:rsidR="00070D5A">
        <w:t>.</w:t>
      </w:r>
    </w:p>
    <w:p w14:paraId="52B09DD3" w14:textId="77777777" w:rsidR="00193586" w:rsidRPr="00193586" w:rsidRDefault="003E5DC9" w:rsidP="00193586">
      <w:pPr>
        <w:pStyle w:val="Heading1"/>
        <w:rPr>
          <w:b/>
        </w:rPr>
      </w:pPr>
      <w:r>
        <w:rPr>
          <w:b/>
        </w:rPr>
        <w:t>Environmental Justice and Safety Elements</w:t>
      </w:r>
    </w:p>
    <w:p w14:paraId="5CA39C3D" w14:textId="77777777" w:rsidR="00480373" w:rsidRDefault="00B51D32" w:rsidP="00193586">
      <w:r w:rsidRPr="00B51D32">
        <w:rPr>
          <w:highlight w:val="yellow"/>
        </w:rPr>
        <w:t>Adjust accordingly if you have a compliant Safety Element.</w:t>
      </w:r>
      <w:r>
        <w:t xml:space="preserve">  </w:t>
      </w:r>
      <w:r w:rsidR="00F5123F" w:rsidRPr="00F5123F">
        <w:t>Recent state legislation (SB 379, SB 1035, SB1241) has placed new requirements on how and when local ju</w:t>
      </w:r>
      <w:r w:rsidR="00F5123F">
        <w:t>risdictions need to update the Safety E</w:t>
      </w:r>
      <w:r w:rsidR="00F5123F" w:rsidRPr="00F5123F">
        <w:t>lement</w:t>
      </w:r>
      <w:r w:rsidR="00070D5A">
        <w:t xml:space="preserve">. This chapter of the General Plan </w:t>
      </w:r>
      <w:r w:rsidR="00F5123F" w:rsidRPr="00F5123F">
        <w:t xml:space="preserve">must be updated </w:t>
      </w:r>
      <w:r w:rsidR="00F5123F">
        <w:t xml:space="preserve">at the same time as the </w:t>
      </w:r>
      <w:r w:rsidR="000A1B5A">
        <w:t>Housing Element</w:t>
      </w:r>
      <w:r w:rsidR="00F5123F" w:rsidRPr="00F5123F">
        <w:t xml:space="preserve">. </w:t>
      </w:r>
      <w:r w:rsidR="00F5123F">
        <w:t xml:space="preserve">This includes </w:t>
      </w:r>
      <w:r w:rsidR="00F5123F" w:rsidRPr="00F5123F">
        <w:t xml:space="preserve">identifying the risks that </w:t>
      </w:r>
      <w:r w:rsidR="00070D5A">
        <w:t xml:space="preserve">are </w:t>
      </w:r>
      <w:r w:rsidR="00F5123F">
        <w:t xml:space="preserve">posed by </w:t>
      </w:r>
      <w:r w:rsidR="00F5123F" w:rsidRPr="00F5123F">
        <w:t xml:space="preserve">climate change </w:t>
      </w:r>
      <w:r w:rsidR="00F5123F">
        <w:t xml:space="preserve">and wildfire. </w:t>
      </w:r>
    </w:p>
    <w:p w14:paraId="0BADC248" w14:textId="77777777" w:rsidR="00666B66" w:rsidRDefault="00B51D32" w:rsidP="00193586">
      <w:r w:rsidRPr="00B51D32">
        <w:rPr>
          <w:highlight w:val="yellow"/>
        </w:rPr>
        <w:t xml:space="preserve">Adjust accordingly if you </w:t>
      </w:r>
      <w:r>
        <w:rPr>
          <w:highlight w:val="yellow"/>
        </w:rPr>
        <w:t>are not required to do a</w:t>
      </w:r>
      <w:r w:rsidR="00070D5A">
        <w:rPr>
          <w:highlight w:val="yellow"/>
        </w:rPr>
        <w:t>n</w:t>
      </w:r>
      <w:r>
        <w:rPr>
          <w:highlight w:val="yellow"/>
        </w:rPr>
        <w:t xml:space="preserve"> EJ Element</w:t>
      </w:r>
      <w:r w:rsidRPr="00B51D32">
        <w:rPr>
          <w:highlight w:val="yellow"/>
        </w:rPr>
        <w:t>.</w:t>
      </w:r>
      <w:r>
        <w:t xml:space="preserve">  </w:t>
      </w:r>
      <w:r w:rsidR="00F5123F">
        <w:t>Additionally, in 2016</w:t>
      </w:r>
      <w:r w:rsidR="00666B66" w:rsidRPr="00666B66">
        <w:t xml:space="preserve"> the State Legislature passed Senate Bill 1000 (SB 1000) which requires cities and counties with disadvantaged communities to incorp</w:t>
      </w:r>
      <w:r w:rsidR="00070D5A">
        <w:t>orate environmental justice</w:t>
      </w:r>
      <w:r w:rsidR="00666B66" w:rsidRPr="00666B66">
        <w:t xml:space="preserve"> policies into their </w:t>
      </w:r>
      <w:r w:rsidR="00070D5A">
        <w:t>General Plans</w:t>
      </w:r>
      <w:r w:rsidR="00666B66" w:rsidRPr="00666B66">
        <w:t xml:space="preserve">. </w:t>
      </w:r>
      <w:r w:rsidR="00EA03EA">
        <w:t xml:space="preserve">Because </w:t>
      </w:r>
      <w:r w:rsidR="00EA03EA" w:rsidRPr="00E90575">
        <w:rPr>
          <w:highlight w:val="yellow"/>
        </w:rPr>
        <w:t>JURISDICTION</w:t>
      </w:r>
      <w:r w:rsidR="00EA03EA">
        <w:t xml:space="preserve"> has a disadvantaged community, these requirements apply. </w:t>
      </w:r>
      <w:r w:rsidR="003E5DC9">
        <w:t xml:space="preserve">Jurisdictions can either adopt an Environmental Justice Element or have policies throughout the General Plan. </w:t>
      </w:r>
      <w:r w:rsidR="00666B66" w:rsidRPr="00666B66">
        <w:t xml:space="preserve">This must happen </w:t>
      </w:r>
      <w:r w:rsidR="00070D5A">
        <w:t>at the same time as the adoption of the Housing Element</w:t>
      </w:r>
      <w:r w:rsidR="003E5DC9">
        <w:t>. Typical topics covered include:</w:t>
      </w:r>
    </w:p>
    <w:p w14:paraId="2402E9C6" w14:textId="77777777" w:rsidR="003E5DC9" w:rsidRDefault="003E5DC9" w:rsidP="003E5DC9">
      <w:pPr>
        <w:pStyle w:val="ListParagraph"/>
        <w:numPr>
          <w:ilvl w:val="0"/>
          <w:numId w:val="7"/>
        </w:numPr>
      </w:pPr>
      <w:r>
        <w:t>Pollution Exposure and Air Quality</w:t>
      </w:r>
    </w:p>
    <w:p w14:paraId="1ECF0B73" w14:textId="77777777" w:rsidR="003E5DC9" w:rsidRDefault="003E5DC9" w:rsidP="003E5DC9">
      <w:pPr>
        <w:pStyle w:val="ListParagraph"/>
        <w:numPr>
          <w:ilvl w:val="0"/>
          <w:numId w:val="7"/>
        </w:numPr>
      </w:pPr>
      <w:r>
        <w:t>Access to Public Facilities</w:t>
      </w:r>
    </w:p>
    <w:p w14:paraId="07F70F4D" w14:textId="77777777" w:rsidR="003E5DC9" w:rsidRDefault="003E5DC9" w:rsidP="003E5DC9">
      <w:pPr>
        <w:pStyle w:val="ListParagraph"/>
        <w:numPr>
          <w:ilvl w:val="0"/>
          <w:numId w:val="7"/>
        </w:numPr>
      </w:pPr>
      <w:r>
        <w:t>Food Access</w:t>
      </w:r>
    </w:p>
    <w:p w14:paraId="2C12AC41" w14:textId="77777777" w:rsidR="003E5DC9" w:rsidRDefault="003E5DC9" w:rsidP="003E5DC9">
      <w:pPr>
        <w:pStyle w:val="ListParagraph"/>
        <w:numPr>
          <w:ilvl w:val="0"/>
          <w:numId w:val="7"/>
        </w:numPr>
      </w:pPr>
      <w:r>
        <w:t>Safe and Sanitary Homes</w:t>
      </w:r>
    </w:p>
    <w:p w14:paraId="636704B1" w14:textId="77777777" w:rsidR="003E5DC9" w:rsidRDefault="003E5DC9" w:rsidP="003E5DC9">
      <w:pPr>
        <w:pStyle w:val="ListParagraph"/>
        <w:numPr>
          <w:ilvl w:val="0"/>
          <w:numId w:val="7"/>
        </w:numPr>
      </w:pPr>
      <w:r>
        <w:t>Promotion of Physical Activity</w:t>
      </w:r>
    </w:p>
    <w:p w14:paraId="022BD44B" w14:textId="77777777" w:rsidR="003E5DC9" w:rsidRDefault="003E5DC9" w:rsidP="003E5DC9">
      <w:pPr>
        <w:pStyle w:val="ListParagraph"/>
        <w:numPr>
          <w:ilvl w:val="0"/>
          <w:numId w:val="7"/>
        </w:numPr>
      </w:pPr>
      <w:r>
        <w:t>Promotion of Civic Engagement</w:t>
      </w:r>
    </w:p>
    <w:p w14:paraId="667BFA7D" w14:textId="77777777" w:rsidR="003E5DC9" w:rsidRPr="00193586" w:rsidRDefault="003E5DC9" w:rsidP="003E5DC9">
      <w:pPr>
        <w:pStyle w:val="ListParagraph"/>
        <w:numPr>
          <w:ilvl w:val="0"/>
          <w:numId w:val="7"/>
        </w:numPr>
      </w:pPr>
      <w:r>
        <w:t>Crime Prevention​​​</w:t>
      </w:r>
    </w:p>
    <w:sectPr w:rsidR="003E5DC9" w:rsidRPr="00193586" w:rsidSect="00AC7A9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E37F" w14:textId="77777777" w:rsidR="00D66BB9" w:rsidRDefault="00D66BB9" w:rsidP="00000627">
      <w:pPr>
        <w:spacing w:after="0" w:line="240" w:lineRule="auto"/>
      </w:pPr>
      <w:r>
        <w:separator/>
      </w:r>
    </w:p>
  </w:endnote>
  <w:endnote w:type="continuationSeparator" w:id="0">
    <w:p w14:paraId="6D29394E" w14:textId="77777777" w:rsidR="00D66BB9" w:rsidRDefault="00D66BB9" w:rsidP="00000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12EF6" w14:textId="77777777" w:rsidR="00E87291" w:rsidRDefault="00E87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402391"/>
      <w:docPartObj>
        <w:docPartGallery w:val="Page Numbers (Bottom of Page)"/>
        <w:docPartUnique/>
      </w:docPartObj>
    </w:sdtPr>
    <w:sdtEndPr>
      <w:rPr>
        <w:noProof/>
        <w:sz w:val="20"/>
        <w:szCs w:val="20"/>
      </w:rPr>
    </w:sdtEndPr>
    <w:sdtContent>
      <w:p w14:paraId="09BCCDFF" w14:textId="77777777" w:rsidR="00AC7A9B" w:rsidRPr="00AC7A9B" w:rsidRDefault="00AC7A9B">
        <w:pPr>
          <w:pStyle w:val="Footer"/>
          <w:rPr>
            <w:sz w:val="20"/>
            <w:szCs w:val="20"/>
          </w:rPr>
        </w:pPr>
        <w:r>
          <w:t xml:space="preserve">Page </w:t>
        </w:r>
        <w:r w:rsidRPr="00AC7A9B">
          <w:rPr>
            <w:sz w:val="20"/>
            <w:szCs w:val="20"/>
          </w:rPr>
          <w:fldChar w:fldCharType="begin"/>
        </w:r>
        <w:r w:rsidRPr="00AC7A9B">
          <w:rPr>
            <w:sz w:val="20"/>
            <w:szCs w:val="20"/>
          </w:rPr>
          <w:instrText xml:space="preserve"> PAGE   \* MERGEFORMAT </w:instrText>
        </w:r>
        <w:r w:rsidRPr="00AC7A9B">
          <w:rPr>
            <w:sz w:val="20"/>
            <w:szCs w:val="20"/>
          </w:rPr>
          <w:fldChar w:fldCharType="separate"/>
        </w:r>
        <w:r w:rsidR="009310C3">
          <w:rPr>
            <w:noProof/>
            <w:sz w:val="20"/>
            <w:szCs w:val="20"/>
          </w:rPr>
          <w:t>4</w:t>
        </w:r>
        <w:r w:rsidRPr="00AC7A9B">
          <w:rPr>
            <w:noProof/>
            <w:sz w:val="20"/>
            <w:szCs w:val="20"/>
          </w:rPr>
          <w:fldChar w:fldCharType="end"/>
        </w:r>
      </w:p>
    </w:sdtContent>
  </w:sdt>
  <w:p w14:paraId="2B377758" w14:textId="77777777" w:rsidR="00AC7A9B" w:rsidRDefault="00AC7A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0420F" w14:textId="77777777" w:rsidR="00E87291" w:rsidRDefault="00E87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A3F7F" w14:textId="77777777" w:rsidR="00D66BB9" w:rsidRDefault="00D66BB9" w:rsidP="00000627">
      <w:pPr>
        <w:spacing w:after="0" w:line="240" w:lineRule="auto"/>
      </w:pPr>
      <w:r>
        <w:separator/>
      </w:r>
    </w:p>
  </w:footnote>
  <w:footnote w:type="continuationSeparator" w:id="0">
    <w:p w14:paraId="339C9AAF" w14:textId="77777777" w:rsidR="00D66BB9" w:rsidRDefault="00D66BB9" w:rsidP="00000627">
      <w:pPr>
        <w:spacing w:after="0" w:line="240" w:lineRule="auto"/>
      </w:pPr>
      <w:r>
        <w:continuationSeparator/>
      </w:r>
    </w:p>
  </w:footnote>
  <w:footnote w:id="1">
    <w:p w14:paraId="2140F762" w14:textId="77777777" w:rsidR="00000627" w:rsidRDefault="00000627">
      <w:pPr>
        <w:pStyle w:val="FootnoteText"/>
      </w:pPr>
      <w:r>
        <w:rPr>
          <w:rStyle w:val="FootnoteReference"/>
        </w:rPr>
        <w:footnoteRef/>
      </w:r>
      <w:r>
        <w:t xml:space="preserve"> Some stakeholders use the start date of 2022, because some of the modeling </w:t>
      </w:r>
      <w:r w:rsidR="00966F9D">
        <w:t>starts in this</w:t>
      </w:r>
      <w:r>
        <w:t xml:space="preserve"> year. Because </w:t>
      </w:r>
      <w:r w:rsidRPr="00966F9D">
        <w:rPr>
          <w:highlight w:val="yellow"/>
        </w:rPr>
        <w:t>Jurisdiction’s</w:t>
      </w:r>
      <w:r>
        <w:t xml:space="preserve"> </w:t>
      </w:r>
      <w:r w:rsidR="000A1B5A">
        <w:t>Housing Element</w:t>
      </w:r>
      <w:r>
        <w:t xml:space="preserve"> will likely not be adopted until 2023, this report uses the later date. </w:t>
      </w:r>
    </w:p>
  </w:footnote>
  <w:footnote w:id="2">
    <w:p w14:paraId="545F1B9B" w14:textId="77777777" w:rsidR="00C326A8" w:rsidRDefault="00C326A8">
      <w:pPr>
        <w:pStyle w:val="FootnoteText"/>
      </w:pPr>
      <w:r>
        <w:rPr>
          <w:rStyle w:val="FootnoteReference"/>
        </w:rPr>
        <w:footnoteRef/>
      </w:r>
      <w:r>
        <w:t xml:space="preserve"> Plan Bay Area is a regional visioning exercise that covers housing, economic development, transportation and other topics. </w:t>
      </w:r>
    </w:p>
  </w:footnote>
  <w:footnote w:id="3">
    <w:p w14:paraId="3ADAE397" w14:textId="77777777" w:rsidR="005676F6" w:rsidRDefault="005676F6" w:rsidP="005676F6">
      <w:pPr>
        <w:pStyle w:val="FootnoteText"/>
      </w:pPr>
      <w:r>
        <w:rPr>
          <w:rStyle w:val="FootnoteReference"/>
        </w:rPr>
        <w:footnoteRef/>
      </w:r>
      <w:r>
        <w:t xml:space="preserve"> </w:t>
      </w:r>
      <w:hyperlink r:id="rId1" w:history="1">
        <w:r w:rsidRPr="00F72CA3">
          <w:rPr>
            <w:rStyle w:val="Hyperlink"/>
          </w:rPr>
          <w:t>https://abag.ca.gov/sites/default/files/draft_rhna_allocation_presentation_to_exec_bd_jan_21.pdf</w:t>
        </w:r>
      </w:hyperlink>
    </w:p>
    <w:p w14:paraId="7A59D944" w14:textId="77777777" w:rsidR="005676F6" w:rsidRDefault="005676F6" w:rsidP="005676F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81E60" w14:textId="77777777" w:rsidR="00E87291" w:rsidRDefault="00E87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E0F5B" w14:textId="77777777" w:rsidR="00E87291" w:rsidRDefault="00E872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4761F" w14:textId="2023269F" w:rsidR="006B2566" w:rsidRDefault="006B2566" w:rsidP="00E87291"/>
  <w:p w14:paraId="7B1469E9" w14:textId="77777777" w:rsidR="006B2566" w:rsidRDefault="006B2566" w:rsidP="006B2566">
    <w:pPr>
      <w:jc w:val="center"/>
      <w:rPr>
        <w:b/>
        <w:color w:val="351C75"/>
        <w:sz w:val="26"/>
        <w:szCs w:val="26"/>
      </w:rPr>
    </w:pPr>
    <w:r>
      <w:rPr>
        <w:b/>
        <w:color w:val="351C75"/>
        <w:sz w:val="26"/>
        <w:szCs w:val="26"/>
      </w:rPr>
      <w:t xml:space="preserve">2031 </w:t>
    </w:r>
    <w:r w:rsidR="000A1B5A">
      <w:rPr>
        <w:b/>
        <w:color w:val="351C75"/>
        <w:sz w:val="26"/>
        <w:szCs w:val="26"/>
      </w:rPr>
      <w:t>Housing Element</w:t>
    </w:r>
    <w:r>
      <w:rPr>
        <w:b/>
        <w:color w:val="351C75"/>
        <w:sz w:val="26"/>
        <w:szCs w:val="26"/>
      </w:rPr>
      <w:t xml:space="preserve"> Updates</w:t>
    </w:r>
  </w:p>
  <w:p w14:paraId="59300A27" w14:textId="77777777" w:rsidR="006B2566" w:rsidRDefault="006B25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2592F"/>
    <w:multiLevelType w:val="hybridMultilevel"/>
    <w:tmpl w:val="38F6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7223D"/>
    <w:multiLevelType w:val="hybridMultilevel"/>
    <w:tmpl w:val="F642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96CEE"/>
    <w:multiLevelType w:val="hybridMultilevel"/>
    <w:tmpl w:val="5B367CF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260B33D0"/>
    <w:multiLevelType w:val="hybridMultilevel"/>
    <w:tmpl w:val="ECEC99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334475B4"/>
    <w:multiLevelType w:val="hybridMultilevel"/>
    <w:tmpl w:val="F642D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626B1"/>
    <w:multiLevelType w:val="hybridMultilevel"/>
    <w:tmpl w:val="FD8C71A2"/>
    <w:lvl w:ilvl="0" w:tplc="F6329372">
      <w:start w:val="1"/>
      <w:numFmt w:val="decimal"/>
      <w:lvlText w:val="%1."/>
      <w:lvlJc w:val="left"/>
      <w:pPr>
        <w:tabs>
          <w:tab w:val="num" w:pos="720"/>
        </w:tabs>
        <w:ind w:left="720" w:hanging="360"/>
      </w:pPr>
    </w:lvl>
    <w:lvl w:ilvl="1" w:tplc="28CA3CA8" w:tentative="1">
      <w:start w:val="1"/>
      <w:numFmt w:val="decimal"/>
      <w:lvlText w:val="%2."/>
      <w:lvlJc w:val="left"/>
      <w:pPr>
        <w:tabs>
          <w:tab w:val="num" w:pos="1440"/>
        </w:tabs>
        <w:ind w:left="1440" w:hanging="360"/>
      </w:pPr>
    </w:lvl>
    <w:lvl w:ilvl="2" w:tplc="543CE394" w:tentative="1">
      <w:start w:val="1"/>
      <w:numFmt w:val="decimal"/>
      <w:lvlText w:val="%3."/>
      <w:lvlJc w:val="left"/>
      <w:pPr>
        <w:tabs>
          <w:tab w:val="num" w:pos="2160"/>
        </w:tabs>
        <w:ind w:left="2160" w:hanging="360"/>
      </w:pPr>
    </w:lvl>
    <w:lvl w:ilvl="3" w:tplc="57CA6DC6" w:tentative="1">
      <w:start w:val="1"/>
      <w:numFmt w:val="decimal"/>
      <w:lvlText w:val="%4."/>
      <w:lvlJc w:val="left"/>
      <w:pPr>
        <w:tabs>
          <w:tab w:val="num" w:pos="2880"/>
        </w:tabs>
        <w:ind w:left="2880" w:hanging="360"/>
      </w:pPr>
    </w:lvl>
    <w:lvl w:ilvl="4" w:tplc="A030E5FE" w:tentative="1">
      <w:start w:val="1"/>
      <w:numFmt w:val="decimal"/>
      <w:lvlText w:val="%5."/>
      <w:lvlJc w:val="left"/>
      <w:pPr>
        <w:tabs>
          <w:tab w:val="num" w:pos="3600"/>
        </w:tabs>
        <w:ind w:left="3600" w:hanging="360"/>
      </w:pPr>
    </w:lvl>
    <w:lvl w:ilvl="5" w:tplc="D98415EE" w:tentative="1">
      <w:start w:val="1"/>
      <w:numFmt w:val="decimal"/>
      <w:lvlText w:val="%6."/>
      <w:lvlJc w:val="left"/>
      <w:pPr>
        <w:tabs>
          <w:tab w:val="num" w:pos="4320"/>
        </w:tabs>
        <w:ind w:left="4320" w:hanging="360"/>
      </w:pPr>
    </w:lvl>
    <w:lvl w:ilvl="6" w:tplc="AA3E76A4" w:tentative="1">
      <w:start w:val="1"/>
      <w:numFmt w:val="decimal"/>
      <w:lvlText w:val="%7."/>
      <w:lvlJc w:val="left"/>
      <w:pPr>
        <w:tabs>
          <w:tab w:val="num" w:pos="5040"/>
        </w:tabs>
        <w:ind w:left="5040" w:hanging="360"/>
      </w:pPr>
    </w:lvl>
    <w:lvl w:ilvl="7" w:tplc="0298DEE4" w:tentative="1">
      <w:start w:val="1"/>
      <w:numFmt w:val="decimal"/>
      <w:lvlText w:val="%8."/>
      <w:lvlJc w:val="left"/>
      <w:pPr>
        <w:tabs>
          <w:tab w:val="num" w:pos="5760"/>
        </w:tabs>
        <w:ind w:left="5760" w:hanging="360"/>
      </w:pPr>
    </w:lvl>
    <w:lvl w:ilvl="8" w:tplc="58A40D20" w:tentative="1">
      <w:start w:val="1"/>
      <w:numFmt w:val="decimal"/>
      <w:lvlText w:val="%9."/>
      <w:lvlJc w:val="left"/>
      <w:pPr>
        <w:tabs>
          <w:tab w:val="num" w:pos="6480"/>
        </w:tabs>
        <w:ind w:left="6480" w:hanging="360"/>
      </w:pPr>
    </w:lvl>
  </w:abstractNum>
  <w:abstractNum w:abstractNumId="6" w15:restartNumberingAfterBreak="0">
    <w:nsid w:val="483A27D2"/>
    <w:multiLevelType w:val="hybridMultilevel"/>
    <w:tmpl w:val="B602D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32C2E"/>
    <w:multiLevelType w:val="hybridMultilevel"/>
    <w:tmpl w:val="46BE4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E18CF"/>
    <w:multiLevelType w:val="hybridMultilevel"/>
    <w:tmpl w:val="CAE8B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4"/>
  </w:num>
  <w:num w:numId="5">
    <w:abstractNumId w:val="6"/>
  </w:num>
  <w:num w:numId="6">
    <w:abstractNumId w:val="5"/>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4D6"/>
    <w:rsid w:val="00000627"/>
    <w:rsid w:val="00003258"/>
    <w:rsid w:val="00003E05"/>
    <w:rsid w:val="0003755B"/>
    <w:rsid w:val="00070D5A"/>
    <w:rsid w:val="000A1B5A"/>
    <w:rsid w:val="000F0F86"/>
    <w:rsid w:val="001270B1"/>
    <w:rsid w:val="001441C8"/>
    <w:rsid w:val="00163D95"/>
    <w:rsid w:val="00173B1B"/>
    <w:rsid w:val="001801BB"/>
    <w:rsid w:val="00181CCF"/>
    <w:rsid w:val="00192B1B"/>
    <w:rsid w:val="00193586"/>
    <w:rsid w:val="001C44E5"/>
    <w:rsid w:val="001D4C7A"/>
    <w:rsid w:val="001E5C8E"/>
    <w:rsid w:val="0020730A"/>
    <w:rsid w:val="00263AF4"/>
    <w:rsid w:val="002824B1"/>
    <w:rsid w:val="0030183B"/>
    <w:rsid w:val="003101A8"/>
    <w:rsid w:val="00357484"/>
    <w:rsid w:val="00367CBA"/>
    <w:rsid w:val="00371402"/>
    <w:rsid w:val="003C2FF0"/>
    <w:rsid w:val="003E5DC9"/>
    <w:rsid w:val="00412A72"/>
    <w:rsid w:val="0044536D"/>
    <w:rsid w:val="004622F2"/>
    <w:rsid w:val="0046551C"/>
    <w:rsid w:val="004678A8"/>
    <w:rsid w:val="00480373"/>
    <w:rsid w:val="004F22F0"/>
    <w:rsid w:val="004F3818"/>
    <w:rsid w:val="00515123"/>
    <w:rsid w:val="00556B13"/>
    <w:rsid w:val="005676F6"/>
    <w:rsid w:val="005B4ED6"/>
    <w:rsid w:val="005C6956"/>
    <w:rsid w:val="005E7B6A"/>
    <w:rsid w:val="006427EE"/>
    <w:rsid w:val="00666B66"/>
    <w:rsid w:val="006B2566"/>
    <w:rsid w:val="006C185F"/>
    <w:rsid w:val="006C650E"/>
    <w:rsid w:val="006D77BC"/>
    <w:rsid w:val="007252F3"/>
    <w:rsid w:val="00743C98"/>
    <w:rsid w:val="00750BBE"/>
    <w:rsid w:val="0075616F"/>
    <w:rsid w:val="0076555F"/>
    <w:rsid w:val="00775DD2"/>
    <w:rsid w:val="00790F4B"/>
    <w:rsid w:val="00814810"/>
    <w:rsid w:val="008602B2"/>
    <w:rsid w:val="00874A30"/>
    <w:rsid w:val="008D3EEC"/>
    <w:rsid w:val="008E3A02"/>
    <w:rsid w:val="008F0C54"/>
    <w:rsid w:val="00923571"/>
    <w:rsid w:val="009310C3"/>
    <w:rsid w:val="00963F0B"/>
    <w:rsid w:val="00966F9D"/>
    <w:rsid w:val="009B0EE1"/>
    <w:rsid w:val="009F3D04"/>
    <w:rsid w:val="00A2160E"/>
    <w:rsid w:val="00A23133"/>
    <w:rsid w:val="00A34142"/>
    <w:rsid w:val="00A348D9"/>
    <w:rsid w:val="00A7609E"/>
    <w:rsid w:val="00AB6C07"/>
    <w:rsid w:val="00AC7A9B"/>
    <w:rsid w:val="00B27EFE"/>
    <w:rsid w:val="00B302CC"/>
    <w:rsid w:val="00B30BA0"/>
    <w:rsid w:val="00B51D32"/>
    <w:rsid w:val="00B9316D"/>
    <w:rsid w:val="00BB7C5E"/>
    <w:rsid w:val="00BD2BA3"/>
    <w:rsid w:val="00C04421"/>
    <w:rsid w:val="00C16F87"/>
    <w:rsid w:val="00C326A8"/>
    <w:rsid w:val="00C739F5"/>
    <w:rsid w:val="00C8588F"/>
    <w:rsid w:val="00C91DB1"/>
    <w:rsid w:val="00CA26C3"/>
    <w:rsid w:val="00CD34C1"/>
    <w:rsid w:val="00CF7B29"/>
    <w:rsid w:val="00D00D7A"/>
    <w:rsid w:val="00D20236"/>
    <w:rsid w:val="00D36F2E"/>
    <w:rsid w:val="00D54C0A"/>
    <w:rsid w:val="00D63067"/>
    <w:rsid w:val="00D64B65"/>
    <w:rsid w:val="00D66BB9"/>
    <w:rsid w:val="00D93220"/>
    <w:rsid w:val="00E32FA0"/>
    <w:rsid w:val="00E46E60"/>
    <w:rsid w:val="00E475DC"/>
    <w:rsid w:val="00E734D6"/>
    <w:rsid w:val="00E87291"/>
    <w:rsid w:val="00E90575"/>
    <w:rsid w:val="00EA03EA"/>
    <w:rsid w:val="00EA4D2B"/>
    <w:rsid w:val="00EB613D"/>
    <w:rsid w:val="00EC0A76"/>
    <w:rsid w:val="00EC0E9F"/>
    <w:rsid w:val="00EC7AA4"/>
    <w:rsid w:val="00EE218D"/>
    <w:rsid w:val="00EF141F"/>
    <w:rsid w:val="00F5019A"/>
    <w:rsid w:val="00F5123F"/>
    <w:rsid w:val="00F53E24"/>
    <w:rsid w:val="00F543B7"/>
    <w:rsid w:val="00F63713"/>
    <w:rsid w:val="00F74313"/>
    <w:rsid w:val="00F826B6"/>
    <w:rsid w:val="00FB0497"/>
    <w:rsid w:val="00FC2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1B4D"/>
  <w15:chartTrackingRefBased/>
  <w15:docId w15:val="{9A2F7834-70D3-4D9C-AE34-041DBAB1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6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36F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85F"/>
    <w:pPr>
      <w:ind w:left="720"/>
      <w:contextualSpacing/>
    </w:pPr>
  </w:style>
  <w:style w:type="table" w:styleId="TableGrid">
    <w:name w:val="Table Grid"/>
    <w:basedOn w:val="TableNormal"/>
    <w:uiPriority w:val="39"/>
    <w:rsid w:val="00EE2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26B6"/>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0006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627"/>
    <w:rPr>
      <w:sz w:val="20"/>
      <w:szCs w:val="20"/>
    </w:rPr>
  </w:style>
  <w:style w:type="character" w:styleId="FootnoteReference">
    <w:name w:val="footnote reference"/>
    <w:basedOn w:val="DefaultParagraphFont"/>
    <w:uiPriority w:val="99"/>
    <w:semiHidden/>
    <w:unhideWhenUsed/>
    <w:rsid w:val="00000627"/>
    <w:rPr>
      <w:vertAlign w:val="superscript"/>
    </w:rPr>
  </w:style>
  <w:style w:type="paragraph" w:styleId="Header">
    <w:name w:val="header"/>
    <w:basedOn w:val="Normal"/>
    <w:link w:val="HeaderChar"/>
    <w:uiPriority w:val="99"/>
    <w:unhideWhenUsed/>
    <w:rsid w:val="00AC7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A9B"/>
  </w:style>
  <w:style w:type="paragraph" w:styleId="Footer">
    <w:name w:val="footer"/>
    <w:basedOn w:val="Normal"/>
    <w:link w:val="FooterChar"/>
    <w:uiPriority w:val="99"/>
    <w:unhideWhenUsed/>
    <w:rsid w:val="00AC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A9B"/>
  </w:style>
  <w:style w:type="paragraph" w:styleId="Revision">
    <w:name w:val="Revision"/>
    <w:hidden/>
    <w:uiPriority w:val="99"/>
    <w:semiHidden/>
    <w:rsid w:val="00923571"/>
    <w:pPr>
      <w:spacing w:after="0" w:line="240" w:lineRule="auto"/>
    </w:pPr>
  </w:style>
  <w:style w:type="paragraph" w:styleId="BalloonText">
    <w:name w:val="Balloon Text"/>
    <w:basedOn w:val="Normal"/>
    <w:link w:val="BalloonTextChar"/>
    <w:uiPriority w:val="99"/>
    <w:semiHidden/>
    <w:unhideWhenUsed/>
    <w:rsid w:val="009235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23571"/>
    <w:rPr>
      <w:rFonts w:ascii="Times New Roman" w:hAnsi="Times New Roman" w:cs="Times New Roman"/>
      <w:sz w:val="18"/>
      <w:szCs w:val="18"/>
    </w:rPr>
  </w:style>
  <w:style w:type="character" w:customStyle="1" w:styleId="apple-converted-space">
    <w:name w:val="apple-converted-space"/>
    <w:basedOn w:val="DefaultParagraphFont"/>
    <w:rsid w:val="00412A72"/>
  </w:style>
  <w:style w:type="character" w:styleId="Hyperlink">
    <w:name w:val="Hyperlink"/>
    <w:basedOn w:val="DefaultParagraphFont"/>
    <w:uiPriority w:val="99"/>
    <w:unhideWhenUsed/>
    <w:rsid w:val="005676F6"/>
    <w:rPr>
      <w:color w:val="0563C1" w:themeColor="hyperlink"/>
      <w:u w:val="single"/>
    </w:rPr>
  </w:style>
  <w:style w:type="character" w:styleId="UnresolvedMention">
    <w:name w:val="Unresolved Mention"/>
    <w:basedOn w:val="DefaultParagraphFont"/>
    <w:uiPriority w:val="99"/>
    <w:semiHidden/>
    <w:unhideWhenUsed/>
    <w:rsid w:val="005676F6"/>
    <w:rPr>
      <w:color w:val="605E5C"/>
      <w:shd w:val="clear" w:color="auto" w:fill="E1DFDD"/>
    </w:rPr>
  </w:style>
  <w:style w:type="character" w:customStyle="1" w:styleId="Heading2Char">
    <w:name w:val="Heading 2 Char"/>
    <w:basedOn w:val="DefaultParagraphFont"/>
    <w:link w:val="Heading2"/>
    <w:uiPriority w:val="9"/>
    <w:rsid w:val="00D36F2E"/>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36F2E"/>
    <w:rPr>
      <w:sz w:val="16"/>
      <w:szCs w:val="16"/>
    </w:rPr>
  </w:style>
  <w:style w:type="paragraph" w:styleId="CommentText">
    <w:name w:val="annotation text"/>
    <w:basedOn w:val="Normal"/>
    <w:link w:val="CommentTextChar"/>
    <w:uiPriority w:val="99"/>
    <w:semiHidden/>
    <w:unhideWhenUsed/>
    <w:rsid w:val="00D36F2E"/>
    <w:pPr>
      <w:spacing w:line="240" w:lineRule="auto"/>
    </w:pPr>
    <w:rPr>
      <w:sz w:val="20"/>
      <w:szCs w:val="20"/>
    </w:rPr>
  </w:style>
  <w:style w:type="character" w:customStyle="1" w:styleId="CommentTextChar">
    <w:name w:val="Comment Text Char"/>
    <w:basedOn w:val="DefaultParagraphFont"/>
    <w:link w:val="CommentText"/>
    <w:uiPriority w:val="99"/>
    <w:semiHidden/>
    <w:rsid w:val="00D36F2E"/>
    <w:rPr>
      <w:sz w:val="20"/>
      <w:szCs w:val="20"/>
    </w:rPr>
  </w:style>
  <w:style w:type="paragraph" w:styleId="CommentSubject">
    <w:name w:val="annotation subject"/>
    <w:basedOn w:val="CommentText"/>
    <w:next w:val="CommentText"/>
    <w:link w:val="CommentSubjectChar"/>
    <w:uiPriority w:val="99"/>
    <w:semiHidden/>
    <w:unhideWhenUsed/>
    <w:rsid w:val="00D36F2E"/>
    <w:rPr>
      <w:b/>
      <w:bCs/>
    </w:rPr>
  </w:style>
  <w:style w:type="character" w:customStyle="1" w:styleId="CommentSubjectChar">
    <w:name w:val="Comment Subject Char"/>
    <w:basedOn w:val="CommentTextChar"/>
    <w:link w:val="CommentSubject"/>
    <w:uiPriority w:val="99"/>
    <w:semiHidden/>
    <w:rsid w:val="00D36F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496835">
      <w:bodyDiv w:val="1"/>
      <w:marLeft w:val="0"/>
      <w:marRight w:val="0"/>
      <w:marTop w:val="0"/>
      <w:marBottom w:val="0"/>
      <w:divBdr>
        <w:top w:val="none" w:sz="0" w:space="0" w:color="auto"/>
        <w:left w:val="none" w:sz="0" w:space="0" w:color="auto"/>
        <w:bottom w:val="none" w:sz="0" w:space="0" w:color="auto"/>
        <w:right w:val="none" w:sz="0" w:space="0" w:color="auto"/>
      </w:divBdr>
    </w:div>
    <w:div w:id="1130368034">
      <w:bodyDiv w:val="1"/>
      <w:marLeft w:val="0"/>
      <w:marRight w:val="0"/>
      <w:marTop w:val="0"/>
      <w:marBottom w:val="0"/>
      <w:divBdr>
        <w:top w:val="none" w:sz="0" w:space="0" w:color="auto"/>
        <w:left w:val="none" w:sz="0" w:space="0" w:color="auto"/>
        <w:bottom w:val="none" w:sz="0" w:space="0" w:color="auto"/>
        <w:right w:val="none" w:sz="0" w:space="0" w:color="auto"/>
      </w:divBdr>
    </w:div>
    <w:div w:id="1264875621">
      <w:bodyDiv w:val="1"/>
      <w:marLeft w:val="0"/>
      <w:marRight w:val="0"/>
      <w:marTop w:val="0"/>
      <w:marBottom w:val="0"/>
      <w:divBdr>
        <w:top w:val="none" w:sz="0" w:space="0" w:color="auto"/>
        <w:left w:val="none" w:sz="0" w:space="0" w:color="auto"/>
        <w:bottom w:val="none" w:sz="0" w:space="0" w:color="auto"/>
        <w:right w:val="none" w:sz="0" w:space="0" w:color="auto"/>
      </w:divBdr>
    </w:div>
    <w:div w:id="1678264327">
      <w:bodyDiv w:val="1"/>
      <w:marLeft w:val="0"/>
      <w:marRight w:val="0"/>
      <w:marTop w:val="0"/>
      <w:marBottom w:val="0"/>
      <w:divBdr>
        <w:top w:val="none" w:sz="0" w:space="0" w:color="auto"/>
        <w:left w:val="none" w:sz="0" w:space="0" w:color="auto"/>
        <w:bottom w:val="none" w:sz="0" w:space="0" w:color="auto"/>
        <w:right w:val="none" w:sz="0" w:space="0" w:color="auto"/>
      </w:divBdr>
      <w:divsChild>
        <w:div w:id="240453158">
          <w:marLeft w:val="720"/>
          <w:marRight w:val="0"/>
          <w:marTop w:val="200"/>
          <w:marBottom w:val="0"/>
          <w:divBdr>
            <w:top w:val="none" w:sz="0" w:space="0" w:color="auto"/>
            <w:left w:val="none" w:sz="0" w:space="0" w:color="auto"/>
            <w:bottom w:val="none" w:sz="0" w:space="0" w:color="auto"/>
            <w:right w:val="none" w:sz="0" w:space="0" w:color="auto"/>
          </w:divBdr>
        </w:div>
        <w:div w:id="918827902">
          <w:marLeft w:val="720"/>
          <w:marRight w:val="0"/>
          <w:marTop w:val="200"/>
          <w:marBottom w:val="0"/>
          <w:divBdr>
            <w:top w:val="none" w:sz="0" w:space="0" w:color="auto"/>
            <w:left w:val="none" w:sz="0" w:space="0" w:color="auto"/>
            <w:bottom w:val="none" w:sz="0" w:space="0" w:color="auto"/>
            <w:right w:val="none" w:sz="0" w:space="0" w:color="auto"/>
          </w:divBdr>
        </w:div>
        <w:div w:id="1878857282">
          <w:marLeft w:val="720"/>
          <w:marRight w:val="0"/>
          <w:marTop w:val="200"/>
          <w:marBottom w:val="0"/>
          <w:divBdr>
            <w:top w:val="none" w:sz="0" w:space="0" w:color="auto"/>
            <w:left w:val="none" w:sz="0" w:space="0" w:color="auto"/>
            <w:bottom w:val="none" w:sz="0" w:space="0" w:color="auto"/>
            <w:right w:val="none" w:sz="0" w:space="0" w:color="auto"/>
          </w:divBdr>
        </w:div>
        <w:div w:id="948243439">
          <w:marLeft w:val="720"/>
          <w:marRight w:val="0"/>
          <w:marTop w:val="200"/>
          <w:marBottom w:val="0"/>
          <w:divBdr>
            <w:top w:val="none" w:sz="0" w:space="0" w:color="auto"/>
            <w:left w:val="none" w:sz="0" w:space="0" w:color="auto"/>
            <w:bottom w:val="none" w:sz="0" w:space="0" w:color="auto"/>
            <w:right w:val="none" w:sz="0" w:space="0" w:color="auto"/>
          </w:divBdr>
        </w:div>
        <w:div w:id="1119647318">
          <w:marLeft w:val="720"/>
          <w:marRight w:val="0"/>
          <w:marTop w:val="200"/>
          <w:marBottom w:val="0"/>
          <w:divBdr>
            <w:top w:val="none" w:sz="0" w:space="0" w:color="auto"/>
            <w:left w:val="none" w:sz="0" w:space="0" w:color="auto"/>
            <w:bottom w:val="none" w:sz="0" w:space="0" w:color="auto"/>
            <w:right w:val="none" w:sz="0" w:space="0" w:color="auto"/>
          </w:divBdr>
        </w:div>
        <w:div w:id="1762405471">
          <w:marLeft w:val="720"/>
          <w:marRight w:val="0"/>
          <w:marTop w:val="200"/>
          <w:marBottom w:val="0"/>
          <w:divBdr>
            <w:top w:val="none" w:sz="0" w:space="0" w:color="auto"/>
            <w:left w:val="none" w:sz="0" w:space="0" w:color="auto"/>
            <w:bottom w:val="none" w:sz="0" w:space="0" w:color="auto"/>
            <w:right w:val="none" w:sz="0" w:space="0" w:color="auto"/>
          </w:divBdr>
        </w:div>
        <w:div w:id="2051874489">
          <w:marLeft w:val="720"/>
          <w:marRight w:val="0"/>
          <w:marTop w:val="200"/>
          <w:marBottom w:val="0"/>
          <w:divBdr>
            <w:top w:val="none" w:sz="0" w:space="0" w:color="auto"/>
            <w:left w:val="none" w:sz="0" w:space="0" w:color="auto"/>
            <w:bottom w:val="none" w:sz="0" w:space="0" w:color="auto"/>
            <w:right w:val="none" w:sz="0" w:space="0" w:color="auto"/>
          </w:divBdr>
        </w:div>
        <w:div w:id="517889668">
          <w:marLeft w:val="720"/>
          <w:marRight w:val="0"/>
          <w:marTop w:val="200"/>
          <w:marBottom w:val="0"/>
          <w:divBdr>
            <w:top w:val="none" w:sz="0" w:space="0" w:color="auto"/>
            <w:left w:val="none" w:sz="0" w:space="0" w:color="auto"/>
            <w:bottom w:val="none" w:sz="0" w:space="0" w:color="auto"/>
            <w:right w:val="none" w:sz="0" w:space="0" w:color="auto"/>
          </w:divBdr>
        </w:div>
        <w:div w:id="898174418">
          <w:marLeft w:val="720"/>
          <w:marRight w:val="0"/>
          <w:marTop w:val="200"/>
          <w:marBottom w:val="0"/>
          <w:divBdr>
            <w:top w:val="none" w:sz="0" w:space="0" w:color="auto"/>
            <w:left w:val="none" w:sz="0" w:space="0" w:color="auto"/>
            <w:bottom w:val="none" w:sz="0" w:space="0" w:color="auto"/>
            <w:right w:val="none" w:sz="0" w:space="0" w:color="auto"/>
          </w:divBdr>
        </w:div>
        <w:div w:id="1589263665">
          <w:marLeft w:val="720"/>
          <w:marRight w:val="0"/>
          <w:marTop w:val="200"/>
          <w:marBottom w:val="0"/>
          <w:divBdr>
            <w:top w:val="none" w:sz="0" w:space="0" w:color="auto"/>
            <w:left w:val="none" w:sz="0" w:space="0" w:color="auto"/>
            <w:bottom w:val="none" w:sz="0" w:space="0" w:color="auto"/>
            <w:right w:val="none" w:sz="0" w:space="0" w:color="auto"/>
          </w:divBdr>
        </w:div>
        <w:div w:id="1900167725">
          <w:marLeft w:val="720"/>
          <w:marRight w:val="0"/>
          <w:marTop w:val="200"/>
          <w:marBottom w:val="0"/>
          <w:divBdr>
            <w:top w:val="none" w:sz="0" w:space="0" w:color="auto"/>
            <w:left w:val="none" w:sz="0" w:space="0" w:color="auto"/>
            <w:bottom w:val="none" w:sz="0" w:space="0" w:color="auto"/>
            <w:right w:val="none" w:sz="0" w:space="0" w:color="auto"/>
          </w:divBdr>
        </w:div>
      </w:divsChild>
    </w:div>
    <w:div w:id="175389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abag.ca.gov/sites/default/files/draft_rhna_allocation_presentation_to_exec_bd_jan_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FBCF4-7654-48C7-9A6F-0C5F0D411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Abrams</dc:creator>
  <cp:keywords/>
  <dc:description/>
  <cp:lastModifiedBy>Daisy Quinonez</cp:lastModifiedBy>
  <cp:revision>2</cp:revision>
  <dcterms:created xsi:type="dcterms:W3CDTF">2021-01-29T21:29:00Z</dcterms:created>
  <dcterms:modified xsi:type="dcterms:W3CDTF">2021-01-29T21:29:00Z</dcterms:modified>
</cp:coreProperties>
</file>