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8542" w14:textId="77777777" w:rsidR="004A3038" w:rsidRPr="00EA3F83" w:rsidRDefault="004A3038" w:rsidP="004A3038">
      <w:pPr>
        <w:pStyle w:val="Title"/>
        <w:ind w:left="0"/>
        <w:jc w:val="center"/>
        <w:rPr>
          <w:sz w:val="46"/>
          <w:szCs w:val="46"/>
        </w:rPr>
      </w:pPr>
      <w:r w:rsidRPr="00EA3F83">
        <w:rPr>
          <w:sz w:val="46"/>
          <w:szCs w:val="46"/>
        </w:rPr>
        <w:t>Summary of Housing Element Review Letters</w:t>
      </w:r>
    </w:p>
    <w:p w14:paraId="2148F2F4" w14:textId="3BDF2803" w:rsidR="00C14515" w:rsidRPr="00EA3F83" w:rsidRDefault="00C14515" w:rsidP="00EA3F83">
      <w:pPr>
        <w:pStyle w:val="Title"/>
        <w:ind w:left="0"/>
        <w:jc w:val="center"/>
        <w:rPr>
          <w:b w:val="0"/>
          <w:bCs w:val="0"/>
          <w:sz w:val="28"/>
          <w:szCs w:val="28"/>
        </w:rPr>
      </w:pPr>
      <w:r w:rsidRPr="00EA3F83">
        <w:rPr>
          <w:b w:val="0"/>
          <w:bCs w:val="0"/>
          <w:sz w:val="28"/>
          <w:szCs w:val="28"/>
        </w:rPr>
        <w:t xml:space="preserve">Learning from Southern California &amp; Sacramento </w:t>
      </w:r>
    </w:p>
    <w:p w14:paraId="6D94FE02" w14:textId="0B30A89B" w:rsidR="007E5E38" w:rsidRDefault="00DA416E"/>
    <w:p w14:paraId="31384A60" w14:textId="77777777" w:rsidR="00827BAD" w:rsidRDefault="00827BAD" w:rsidP="00827BAD">
      <w:pPr>
        <w:rPr>
          <w:sz w:val="22"/>
          <w:szCs w:val="22"/>
        </w:rPr>
      </w:pPr>
    </w:p>
    <w:p w14:paraId="2A9AF87A" w14:textId="16644D18" w:rsidR="00126A45" w:rsidRPr="00EA3F83" w:rsidRDefault="004A3038" w:rsidP="00827BAD">
      <w:pPr>
        <w:rPr>
          <w:sz w:val="23"/>
          <w:szCs w:val="23"/>
        </w:rPr>
      </w:pPr>
      <w:r w:rsidRPr="00EA3F83">
        <w:rPr>
          <w:sz w:val="23"/>
          <w:szCs w:val="23"/>
        </w:rPr>
        <w:t>In Winter/Spring 2022, ABAG staff and consultants reviewed 33 comment letters from</w:t>
      </w:r>
      <w:r w:rsidR="00747ADF">
        <w:rPr>
          <w:sz w:val="23"/>
          <w:szCs w:val="23"/>
        </w:rPr>
        <w:t xml:space="preserve"> the California Department of Housing and Community Development (HCD) to</w:t>
      </w:r>
      <w:r w:rsidRPr="00EA3F83">
        <w:rPr>
          <w:sz w:val="23"/>
          <w:szCs w:val="23"/>
        </w:rPr>
        <w:t xml:space="preserve"> jurisdictions in regions with earlier Housing Element deadlines. This summary presents common themes and lessons for </w:t>
      </w:r>
      <w:r w:rsidR="00827BAD" w:rsidRPr="00EA3F83">
        <w:rPr>
          <w:sz w:val="23"/>
          <w:szCs w:val="23"/>
        </w:rPr>
        <w:t xml:space="preserve">Bay Area jurisdictions as they prepare their 6th cycle Housing Elements. </w:t>
      </w:r>
    </w:p>
    <w:p w14:paraId="66DFED30" w14:textId="77777777" w:rsidR="004A3038" w:rsidRDefault="004A3038" w:rsidP="00E204E1">
      <w:pPr>
        <w:rPr>
          <w:sz w:val="22"/>
          <w:szCs w:val="22"/>
        </w:rPr>
      </w:pPr>
    </w:p>
    <w:p w14:paraId="4701F296" w14:textId="12D0C0C6" w:rsidR="00827BAD" w:rsidRPr="00EA3F83" w:rsidRDefault="00827BAD" w:rsidP="00E204E1">
      <w:pPr>
        <w:rPr>
          <w:sz w:val="32"/>
          <w:szCs w:val="32"/>
        </w:rPr>
      </w:pPr>
      <w:r w:rsidRPr="00EA3F83">
        <w:rPr>
          <w:b/>
          <w:bCs/>
          <w:sz w:val="32"/>
          <w:szCs w:val="32"/>
        </w:rPr>
        <w:t>Methodology</w:t>
      </w:r>
      <w:r w:rsidRPr="00EA3F83">
        <w:rPr>
          <w:sz w:val="32"/>
          <w:szCs w:val="32"/>
        </w:rPr>
        <w:t xml:space="preserve">  </w:t>
      </w:r>
    </w:p>
    <w:p w14:paraId="6ADF5726" w14:textId="6809B8A2" w:rsidR="00C14515" w:rsidRPr="00EA3F83" w:rsidRDefault="00C14515" w:rsidP="00EA3F83">
      <w:pPr>
        <w:rPr>
          <w:sz w:val="23"/>
          <w:szCs w:val="23"/>
        </w:rPr>
      </w:pPr>
      <w:r w:rsidRPr="00EA3F83">
        <w:rPr>
          <w:sz w:val="23"/>
          <w:szCs w:val="23"/>
        </w:rPr>
        <w:t xml:space="preserve">Staff and consultants </w:t>
      </w:r>
      <w:r w:rsidR="00565731" w:rsidRPr="00EA3F83">
        <w:rPr>
          <w:sz w:val="23"/>
          <w:szCs w:val="23"/>
        </w:rPr>
        <w:t>i</w:t>
      </w:r>
      <w:r w:rsidRPr="00EA3F83">
        <w:rPr>
          <w:sz w:val="23"/>
          <w:szCs w:val="23"/>
        </w:rPr>
        <w:t xml:space="preserve">dentified a subset of 33 representative comment letters </w:t>
      </w:r>
      <w:r w:rsidR="00C57A5D" w:rsidRPr="00EA3F83">
        <w:rPr>
          <w:sz w:val="23"/>
          <w:szCs w:val="23"/>
        </w:rPr>
        <w:t xml:space="preserve">from </w:t>
      </w:r>
      <w:r w:rsidRPr="00EA3F83">
        <w:rPr>
          <w:sz w:val="23"/>
          <w:szCs w:val="23"/>
        </w:rPr>
        <w:t xml:space="preserve">jurisdictions </w:t>
      </w:r>
      <w:r w:rsidR="00827BAD" w:rsidRPr="00EA3F83">
        <w:rPr>
          <w:sz w:val="23"/>
          <w:szCs w:val="23"/>
        </w:rPr>
        <w:t xml:space="preserve">in the </w:t>
      </w:r>
      <w:proofErr w:type="spellStart"/>
      <w:r w:rsidR="00827BAD" w:rsidRPr="00EA3F83">
        <w:rPr>
          <w:sz w:val="23"/>
          <w:szCs w:val="23"/>
        </w:rPr>
        <w:t>SCAG</w:t>
      </w:r>
      <w:proofErr w:type="spellEnd"/>
      <w:r w:rsidR="00747ADF">
        <w:rPr>
          <w:sz w:val="23"/>
          <w:szCs w:val="23"/>
        </w:rPr>
        <w:t xml:space="preserve"> (Southern California)</w:t>
      </w:r>
      <w:r w:rsidR="00827BAD" w:rsidRPr="00EA3F83">
        <w:rPr>
          <w:sz w:val="23"/>
          <w:szCs w:val="23"/>
        </w:rPr>
        <w:t xml:space="preserve">, </w:t>
      </w:r>
      <w:proofErr w:type="spellStart"/>
      <w:r w:rsidR="00827BAD" w:rsidRPr="00EA3F83">
        <w:rPr>
          <w:sz w:val="23"/>
          <w:szCs w:val="23"/>
        </w:rPr>
        <w:t>SACOG</w:t>
      </w:r>
      <w:proofErr w:type="spellEnd"/>
      <w:r w:rsidR="00747ADF">
        <w:rPr>
          <w:sz w:val="23"/>
          <w:szCs w:val="23"/>
        </w:rPr>
        <w:t xml:space="preserve"> (Sacramento)</w:t>
      </w:r>
      <w:r w:rsidR="00371F31">
        <w:rPr>
          <w:sz w:val="23"/>
          <w:szCs w:val="23"/>
        </w:rPr>
        <w:t xml:space="preserve"> and </w:t>
      </w:r>
      <w:r w:rsidR="00827BAD" w:rsidRPr="00EA3F83">
        <w:rPr>
          <w:sz w:val="23"/>
          <w:szCs w:val="23"/>
        </w:rPr>
        <w:t xml:space="preserve">SANDAG </w:t>
      </w:r>
      <w:r w:rsidR="00747ADF">
        <w:rPr>
          <w:sz w:val="23"/>
          <w:szCs w:val="23"/>
        </w:rPr>
        <w:t>(San Diego)</w:t>
      </w:r>
      <w:r w:rsidR="00827BAD" w:rsidRPr="00EA3F83">
        <w:rPr>
          <w:sz w:val="23"/>
          <w:szCs w:val="23"/>
        </w:rPr>
        <w:t xml:space="preserve">.  </w:t>
      </w:r>
      <w:r w:rsidR="00747ADF">
        <w:rPr>
          <w:sz w:val="23"/>
          <w:szCs w:val="23"/>
        </w:rPr>
        <w:t>Letters</w:t>
      </w:r>
      <w:r w:rsidR="00827BAD" w:rsidRPr="00EA3F83">
        <w:rPr>
          <w:sz w:val="23"/>
          <w:szCs w:val="23"/>
        </w:rPr>
        <w:t xml:space="preserve"> were </w:t>
      </w:r>
      <w:r w:rsidRPr="00EA3F83">
        <w:rPr>
          <w:sz w:val="23"/>
          <w:szCs w:val="23"/>
        </w:rPr>
        <w:t>selected to reflect a diversity of jurisdiction types by geography, size, and socioeconomic characteristics, including racial and ethnic diversity</w:t>
      </w:r>
      <w:r w:rsidR="005331DE" w:rsidRPr="00EA3F83">
        <w:rPr>
          <w:sz w:val="23"/>
          <w:szCs w:val="23"/>
        </w:rPr>
        <w:t xml:space="preserve">. Staff analyzed both the frequency of comments by Housing Element section </w:t>
      </w:r>
      <w:r w:rsidR="00565731" w:rsidRPr="00EA3F83">
        <w:rPr>
          <w:sz w:val="23"/>
          <w:szCs w:val="23"/>
        </w:rPr>
        <w:t>and</w:t>
      </w:r>
      <w:r w:rsidR="005331DE" w:rsidRPr="00EA3F83">
        <w:rPr>
          <w:sz w:val="23"/>
          <w:szCs w:val="23"/>
        </w:rPr>
        <w:t xml:space="preserve"> compiled both common and unique comments by major </w:t>
      </w:r>
      <w:r w:rsidR="002B7AA0" w:rsidRPr="00EA3F83">
        <w:rPr>
          <w:sz w:val="23"/>
          <w:szCs w:val="23"/>
        </w:rPr>
        <w:t xml:space="preserve">section.  </w:t>
      </w:r>
    </w:p>
    <w:p w14:paraId="4A72743A" w14:textId="23E1B4AE" w:rsidR="005331DE" w:rsidRPr="003C41B7" w:rsidRDefault="005331DE" w:rsidP="00E204E1">
      <w:pPr>
        <w:rPr>
          <w:sz w:val="22"/>
          <w:szCs w:val="22"/>
        </w:rPr>
      </w:pPr>
    </w:p>
    <w:p w14:paraId="7C1D43AD" w14:textId="616BF2F9" w:rsidR="00565731" w:rsidRPr="00EA3F83" w:rsidRDefault="00565731" w:rsidP="00565731">
      <w:pPr>
        <w:rPr>
          <w:b/>
          <w:bCs/>
          <w:sz w:val="32"/>
          <w:szCs w:val="32"/>
        </w:rPr>
      </w:pPr>
      <w:r w:rsidRPr="00EA3F83">
        <w:rPr>
          <w:b/>
          <w:bCs/>
          <w:sz w:val="32"/>
          <w:szCs w:val="32"/>
        </w:rPr>
        <w:t xml:space="preserve">Key Findings and Recommendations </w:t>
      </w:r>
    </w:p>
    <w:p w14:paraId="63376458" w14:textId="5ACC7553" w:rsidR="00126A45" w:rsidRPr="00EA3F83" w:rsidRDefault="00337C6D" w:rsidP="00316295">
      <w:pPr>
        <w:pStyle w:val="BodyText"/>
        <w:spacing w:line="276" w:lineRule="auto"/>
        <w:ind w:right="257"/>
        <w:rPr>
          <w:sz w:val="23"/>
          <w:szCs w:val="23"/>
        </w:rPr>
      </w:pPr>
      <w:r>
        <w:rPr>
          <w:sz w:val="23"/>
          <w:szCs w:val="23"/>
        </w:rPr>
        <w:t>M</w:t>
      </w:r>
      <w:r w:rsidR="00126A45" w:rsidRPr="00EA3F83">
        <w:rPr>
          <w:sz w:val="23"/>
          <w:szCs w:val="23"/>
        </w:rPr>
        <w:t xml:space="preserve">any assumptions that jurisdictions made in previous Housing Elements will not be possible this cycle. </w:t>
      </w:r>
      <w:r w:rsidR="001A0A72">
        <w:rPr>
          <w:sz w:val="23"/>
          <w:szCs w:val="23"/>
        </w:rPr>
        <w:t xml:space="preserve">Housing Elements must be more thorough, </w:t>
      </w:r>
      <w:r w:rsidR="006C2BC4">
        <w:rPr>
          <w:sz w:val="23"/>
          <w:szCs w:val="23"/>
        </w:rPr>
        <w:t xml:space="preserve">with more robust descriptions of housing needs, more thorough </w:t>
      </w:r>
      <w:r w:rsidR="00747ADF">
        <w:rPr>
          <w:sz w:val="23"/>
          <w:szCs w:val="23"/>
        </w:rPr>
        <w:t xml:space="preserve">and inclusive </w:t>
      </w:r>
      <w:r w:rsidR="006C2BC4">
        <w:rPr>
          <w:sz w:val="23"/>
          <w:szCs w:val="23"/>
        </w:rPr>
        <w:t xml:space="preserve">outreach, </w:t>
      </w:r>
      <w:r w:rsidR="00AC163E">
        <w:rPr>
          <w:sz w:val="23"/>
          <w:szCs w:val="23"/>
        </w:rPr>
        <w:t xml:space="preserve">a stronger focus on fair housing, </w:t>
      </w:r>
      <w:r w:rsidR="001A0A72">
        <w:rPr>
          <w:sz w:val="23"/>
          <w:szCs w:val="23"/>
        </w:rPr>
        <w:t xml:space="preserve">more specific </w:t>
      </w:r>
      <w:r w:rsidR="006C2BC4">
        <w:rPr>
          <w:sz w:val="23"/>
          <w:szCs w:val="23"/>
        </w:rPr>
        <w:t>policies and programs</w:t>
      </w:r>
      <w:r w:rsidR="00AC163E">
        <w:rPr>
          <w:sz w:val="23"/>
          <w:szCs w:val="23"/>
        </w:rPr>
        <w:t>,</w:t>
      </w:r>
      <w:r w:rsidR="006C2BC4">
        <w:rPr>
          <w:sz w:val="23"/>
          <w:szCs w:val="23"/>
        </w:rPr>
        <w:t xml:space="preserve"> and</w:t>
      </w:r>
      <w:r w:rsidR="001A0A72">
        <w:rPr>
          <w:sz w:val="23"/>
          <w:szCs w:val="23"/>
        </w:rPr>
        <w:t xml:space="preserve"> better justification for sites included in the inventory. </w:t>
      </w:r>
    </w:p>
    <w:p w14:paraId="4676C50B" w14:textId="77777777" w:rsidR="00126A45" w:rsidRPr="00EA3F83" w:rsidRDefault="00126A45" w:rsidP="00316295">
      <w:pPr>
        <w:pStyle w:val="BodyText"/>
        <w:spacing w:line="276" w:lineRule="auto"/>
        <w:ind w:right="257"/>
        <w:rPr>
          <w:sz w:val="23"/>
          <w:szCs w:val="23"/>
        </w:rPr>
      </w:pPr>
    </w:p>
    <w:p w14:paraId="7542300C" w14:textId="30E51FC4" w:rsidR="005D3426" w:rsidRPr="00EA3F83" w:rsidRDefault="00565731" w:rsidP="00316295">
      <w:pPr>
        <w:pStyle w:val="BodyText"/>
        <w:spacing w:line="276" w:lineRule="auto"/>
        <w:ind w:right="257"/>
        <w:rPr>
          <w:sz w:val="23"/>
          <w:szCs w:val="23"/>
        </w:rPr>
      </w:pPr>
      <w:r w:rsidRPr="00EA3F83">
        <w:rPr>
          <w:sz w:val="23"/>
          <w:szCs w:val="23"/>
        </w:rPr>
        <w:t xml:space="preserve">Although the types of comments received by each jurisdiction varied based on </w:t>
      </w:r>
      <w:r w:rsidR="00530173" w:rsidRPr="00EA3F83">
        <w:rPr>
          <w:sz w:val="23"/>
          <w:szCs w:val="23"/>
        </w:rPr>
        <w:t>their</w:t>
      </w:r>
      <w:r w:rsidRPr="00EA3F83">
        <w:rPr>
          <w:sz w:val="23"/>
          <w:szCs w:val="23"/>
        </w:rPr>
        <w:t xml:space="preserve"> </w:t>
      </w:r>
      <w:proofErr w:type="gramStart"/>
      <w:r w:rsidRPr="00EA3F83">
        <w:rPr>
          <w:sz w:val="23"/>
          <w:szCs w:val="23"/>
        </w:rPr>
        <w:t>particular demographic</w:t>
      </w:r>
      <w:proofErr w:type="gramEnd"/>
      <w:r w:rsidRPr="00EA3F83">
        <w:rPr>
          <w:sz w:val="23"/>
          <w:szCs w:val="23"/>
        </w:rPr>
        <w:t xml:space="preserve"> and economic characteristics and planning contexts, the most frequent comments can be grouped into </w:t>
      </w:r>
      <w:r w:rsidR="00371F31">
        <w:rPr>
          <w:sz w:val="23"/>
          <w:szCs w:val="23"/>
        </w:rPr>
        <w:t>five</w:t>
      </w:r>
      <w:r w:rsidRPr="00EA3F83">
        <w:rPr>
          <w:sz w:val="23"/>
          <w:szCs w:val="23"/>
        </w:rPr>
        <w:t xml:space="preserve"> major categories</w:t>
      </w:r>
      <w:r w:rsidR="004F3E84">
        <w:rPr>
          <w:sz w:val="23"/>
          <w:szCs w:val="23"/>
        </w:rPr>
        <w:t xml:space="preserve"> (including the percentage of letters that contained comments on each topic)</w:t>
      </w:r>
      <w:r w:rsidRPr="00EA3F83">
        <w:rPr>
          <w:sz w:val="23"/>
          <w:szCs w:val="23"/>
        </w:rPr>
        <w:t xml:space="preserve">:  </w:t>
      </w:r>
    </w:p>
    <w:p w14:paraId="452DEEAA" w14:textId="6E19C7FF" w:rsidR="005D3426" w:rsidRPr="00EA3F83" w:rsidRDefault="00565731" w:rsidP="005D3426">
      <w:pPr>
        <w:pStyle w:val="BodyText"/>
        <w:numPr>
          <w:ilvl w:val="0"/>
          <w:numId w:val="8"/>
        </w:numPr>
        <w:spacing w:line="276" w:lineRule="auto"/>
        <w:ind w:right="257"/>
        <w:rPr>
          <w:sz w:val="23"/>
          <w:szCs w:val="23"/>
        </w:rPr>
      </w:pPr>
      <w:r w:rsidRPr="00EA3F83">
        <w:rPr>
          <w:sz w:val="23"/>
          <w:szCs w:val="23"/>
        </w:rPr>
        <w:t>AFFH</w:t>
      </w:r>
      <w:r w:rsidR="00D9447E">
        <w:rPr>
          <w:sz w:val="23"/>
          <w:szCs w:val="23"/>
        </w:rPr>
        <w:t xml:space="preserve"> (94%)</w:t>
      </w:r>
      <w:r w:rsidRPr="00EA3F83">
        <w:rPr>
          <w:sz w:val="23"/>
          <w:szCs w:val="23"/>
        </w:rPr>
        <w:t xml:space="preserve">; </w:t>
      </w:r>
    </w:p>
    <w:p w14:paraId="76BA06A3" w14:textId="2FBEA39A" w:rsidR="005D3426" w:rsidRPr="00EA3F83" w:rsidRDefault="00565731" w:rsidP="005D3426">
      <w:pPr>
        <w:pStyle w:val="BodyText"/>
        <w:numPr>
          <w:ilvl w:val="0"/>
          <w:numId w:val="8"/>
        </w:numPr>
        <w:spacing w:line="276" w:lineRule="auto"/>
        <w:ind w:right="257"/>
        <w:rPr>
          <w:sz w:val="23"/>
          <w:szCs w:val="23"/>
        </w:rPr>
      </w:pPr>
      <w:r w:rsidRPr="00EA3F83">
        <w:rPr>
          <w:sz w:val="23"/>
          <w:szCs w:val="23"/>
        </w:rPr>
        <w:t>Public Participation</w:t>
      </w:r>
      <w:r w:rsidR="00D9447E">
        <w:rPr>
          <w:sz w:val="23"/>
          <w:szCs w:val="23"/>
        </w:rPr>
        <w:t xml:space="preserve"> (67%)</w:t>
      </w:r>
      <w:r w:rsidRPr="00EA3F83">
        <w:rPr>
          <w:sz w:val="23"/>
          <w:szCs w:val="23"/>
        </w:rPr>
        <w:t xml:space="preserve">; </w:t>
      </w:r>
    </w:p>
    <w:p w14:paraId="0ADC722D" w14:textId="67803B63" w:rsidR="005D3426" w:rsidRPr="00EA3F83" w:rsidRDefault="00F55CDB" w:rsidP="005D3426">
      <w:pPr>
        <w:pStyle w:val="BodyText"/>
        <w:numPr>
          <w:ilvl w:val="0"/>
          <w:numId w:val="8"/>
        </w:numPr>
        <w:spacing w:line="276" w:lineRule="auto"/>
        <w:ind w:right="257"/>
        <w:rPr>
          <w:sz w:val="23"/>
          <w:szCs w:val="23"/>
        </w:rPr>
      </w:pPr>
      <w:r>
        <w:rPr>
          <w:sz w:val="23"/>
          <w:szCs w:val="23"/>
        </w:rPr>
        <w:t>Sites Inventory</w:t>
      </w:r>
      <w:r w:rsidR="00D9447E">
        <w:rPr>
          <w:sz w:val="23"/>
          <w:szCs w:val="23"/>
        </w:rPr>
        <w:t xml:space="preserve"> (94%)</w:t>
      </w:r>
      <w:r>
        <w:rPr>
          <w:sz w:val="23"/>
          <w:szCs w:val="23"/>
        </w:rPr>
        <w:t>;</w:t>
      </w:r>
    </w:p>
    <w:p w14:paraId="2CF55484" w14:textId="3CDE579F" w:rsidR="00F55CDB" w:rsidRDefault="00F55CDB" w:rsidP="005D3426">
      <w:pPr>
        <w:pStyle w:val="BodyText"/>
        <w:numPr>
          <w:ilvl w:val="0"/>
          <w:numId w:val="8"/>
        </w:numPr>
        <w:spacing w:line="276" w:lineRule="auto"/>
        <w:ind w:right="257"/>
        <w:rPr>
          <w:sz w:val="23"/>
          <w:szCs w:val="23"/>
        </w:rPr>
      </w:pPr>
      <w:r w:rsidRPr="00EA3F83">
        <w:rPr>
          <w:sz w:val="23"/>
          <w:szCs w:val="23"/>
        </w:rPr>
        <w:t>Government Constraints</w:t>
      </w:r>
      <w:r w:rsidR="00D9447E">
        <w:rPr>
          <w:sz w:val="23"/>
          <w:szCs w:val="23"/>
        </w:rPr>
        <w:t xml:space="preserve"> (58%);</w:t>
      </w:r>
    </w:p>
    <w:p w14:paraId="685B4C15" w14:textId="62D92753" w:rsidR="005D3426" w:rsidRPr="00EA3F83" w:rsidRDefault="00F55CDB" w:rsidP="00F55CDB">
      <w:pPr>
        <w:pStyle w:val="BodyText"/>
        <w:numPr>
          <w:ilvl w:val="0"/>
          <w:numId w:val="8"/>
        </w:numPr>
        <w:spacing w:line="276" w:lineRule="auto"/>
        <w:ind w:right="257"/>
        <w:rPr>
          <w:sz w:val="23"/>
          <w:szCs w:val="23"/>
        </w:rPr>
      </w:pPr>
      <w:r>
        <w:rPr>
          <w:sz w:val="23"/>
          <w:szCs w:val="23"/>
        </w:rPr>
        <w:t>Policies and Programs</w:t>
      </w:r>
      <w:r w:rsidR="00D9447E">
        <w:rPr>
          <w:sz w:val="23"/>
          <w:szCs w:val="23"/>
        </w:rPr>
        <w:t xml:space="preserve"> (55%)</w:t>
      </w:r>
      <w:r>
        <w:rPr>
          <w:sz w:val="23"/>
          <w:szCs w:val="23"/>
        </w:rPr>
        <w:t>.</w:t>
      </w:r>
    </w:p>
    <w:p w14:paraId="674F2A14" w14:textId="7D4A8FCF" w:rsidR="001A0A72" w:rsidRPr="00EA3F83" w:rsidRDefault="001A0A72" w:rsidP="00F55CDB">
      <w:pPr>
        <w:pStyle w:val="BodyText"/>
        <w:spacing w:line="276" w:lineRule="auto"/>
        <w:ind w:left="360" w:right="257"/>
        <w:rPr>
          <w:sz w:val="23"/>
          <w:szCs w:val="23"/>
        </w:rPr>
      </w:pPr>
    </w:p>
    <w:p w14:paraId="6D433EE3" w14:textId="77777777" w:rsidR="00371F31" w:rsidRDefault="00371F31">
      <w:pPr>
        <w:rPr>
          <w:rFonts w:ascii="Calibri" w:eastAsia="Calibri" w:hAnsi="Calibri" w:cs="Calibri"/>
          <w:sz w:val="23"/>
          <w:szCs w:val="23"/>
        </w:rPr>
      </w:pPr>
      <w:r>
        <w:rPr>
          <w:sz w:val="23"/>
          <w:szCs w:val="23"/>
        </w:rPr>
        <w:br w:type="page"/>
      </w:r>
    </w:p>
    <w:p w14:paraId="60748C82" w14:textId="76D53AF2" w:rsidR="002B7AA0" w:rsidRDefault="00565731" w:rsidP="005D3426">
      <w:pPr>
        <w:pStyle w:val="BodyText"/>
        <w:spacing w:line="276" w:lineRule="auto"/>
        <w:ind w:right="257"/>
        <w:rPr>
          <w:sz w:val="23"/>
          <w:szCs w:val="23"/>
        </w:rPr>
      </w:pPr>
      <w:r w:rsidRPr="00EA3F83">
        <w:rPr>
          <w:sz w:val="23"/>
          <w:szCs w:val="23"/>
        </w:rPr>
        <w:lastRenderedPageBreak/>
        <w:t xml:space="preserve">In </w:t>
      </w:r>
      <w:r w:rsidR="00530173" w:rsidRPr="00EA3F83">
        <w:rPr>
          <w:sz w:val="23"/>
          <w:szCs w:val="23"/>
        </w:rPr>
        <w:t>addition, a</w:t>
      </w:r>
      <w:r w:rsidRPr="00EA3F83">
        <w:rPr>
          <w:sz w:val="23"/>
          <w:szCs w:val="23"/>
        </w:rPr>
        <w:t xml:space="preserve"> cross-cutting theme is </w:t>
      </w:r>
      <w:r w:rsidR="002B7AA0" w:rsidRPr="00EA3F83">
        <w:rPr>
          <w:sz w:val="23"/>
          <w:szCs w:val="23"/>
        </w:rPr>
        <w:t xml:space="preserve">noted </w:t>
      </w:r>
      <w:r w:rsidRPr="00EA3F83">
        <w:rPr>
          <w:sz w:val="23"/>
          <w:szCs w:val="23"/>
        </w:rPr>
        <w:t>below in terms of special needs populations</w:t>
      </w:r>
      <w:r w:rsidR="002B7AA0" w:rsidRPr="00EA3F83">
        <w:rPr>
          <w:sz w:val="23"/>
          <w:szCs w:val="23"/>
        </w:rPr>
        <w:t xml:space="preserve">. Finally, </w:t>
      </w:r>
      <w:proofErr w:type="gramStart"/>
      <w:r w:rsidR="002B7AA0" w:rsidRPr="00EA3F83">
        <w:rPr>
          <w:sz w:val="23"/>
          <w:szCs w:val="23"/>
        </w:rPr>
        <w:t>unique</w:t>
      </w:r>
      <w:proofErr w:type="gramEnd"/>
      <w:r w:rsidR="002B7AA0" w:rsidRPr="00EA3F83">
        <w:rPr>
          <w:sz w:val="23"/>
          <w:szCs w:val="23"/>
        </w:rPr>
        <w:t xml:space="preserve"> and recent comments from HCD review letters are presented that may have special relevance for Bay Area jurisdictions. </w:t>
      </w:r>
    </w:p>
    <w:p w14:paraId="5E78804D" w14:textId="77777777" w:rsidR="006C2BC4" w:rsidRPr="00EA3F83" w:rsidRDefault="006C2BC4" w:rsidP="005D3426">
      <w:pPr>
        <w:pStyle w:val="BodyText"/>
        <w:spacing w:line="276" w:lineRule="auto"/>
        <w:ind w:right="257"/>
        <w:rPr>
          <w:sz w:val="23"/>
          <w:szCs w:val="23"/>
        </w:rPr>
      </w:pPr>
    </w:p>
    <w:p w14:paraId="399C5C5A" w14:textId="77777777" w:rsidR="005D328C" w:rsidRPr="00EA3F83" w:rsidRDefault="00565731" w:rsidP="005D328C">
      <w:pPr>
        <w:pStyle w:val="ListParagraph"/>
        <w:numPr>
          <w:ilvl w:val="0"/>
          <w:numId w:val="9"/>
        </w:numPr>
        <w:rPr>
          <w:sz w:val="32"/>
          <w:szCs w:val="32"/>
        </w:rPr>
      </w:pPr>
      <w:r w:rsidRPr="00EA3F83">
        <w:rPr>
          <w:b/>
          <w:bCs/>
          <w:sz w:val="32"/>
          <w:szCs w:val="32"/>
        </w:rPr>
        <w:t>AFFH</w:t>
      </w:r>
      <w:r w:rsidR="005D328C" w:rsidRPr="00EA3F83">
        <w:rPr>
          <w:sz w:val="32"/>
          <w:szCs w:val="32"/>
        </w:rPr>
        <w:t xml:space="preserve"> </w:t>
      </w:r>
    </w:p>
    <w:p w14:paraId="0D102EAC" w14:textId="77777777" w:rsidR="005D328C" w:rsidRDefault="005D328C" w:rsidP="005D328C">
      <w:pPr>
        <w:rPr>
          <w:b/>
          <w:bCs/>
          <w:sz w:val="22"/>
          <w:szCs w:val="22"/>
        </w:rPr>
      </w:pPr>
    </w:p>
    <w:p w14:paraId="0A846045" w14:textId="2CFD50C4" w:rsidR="005D328C" w:rsidRPr="00EA3F83" w:rsidRDefault="005D328C" w:rsidP="005D328C">
      <w:pPr>
        <w:rPr>
          <w:b/>
          <w:bCs/>
          <w:sz w:val="23"/>
          <w:szCs w:val="23"/>
        </w:rPr>
      </w:pPr>
      <w:r w:rsidRPr="00EA3F83">
        <w:rPr>
          <w:b/>
          <w:bCs/>
          <w:sz w:val="23"/>
          <w:szCs w:val="23"/>
        </w:rPr>
        <w:t>Observation</w:t>
      </w:r>
    </w:p>
    <w:p w14:paraId="06D47284" w14:textId="36F46A7C" w:rsidR="00565731" w:rsidRPr="00EA3F83" w:rsidRDefault="00565731" w:rsidP="00EA3F83">
      <w:pPr>
        <w:rPr>
          <w:sz w:val="23"/>
          <w:szCs w:val="23"/>
        </w:rPr>
      </w:pPr>
      <w:r w:rsidRPr="00EA3F83">
        <w:rPr>
          <w:sz w:val="23"/>
          <w:szCs w:val="23"/>
        </w:rPr>
        <w:t xml:space="preserve">A common theme in the comments across </w:t>
      </w:r>
      <w:r w:rsidR="003D2C5D" w:rsidRPr="00EA3F83">
        <w:rPr>
          <w:sz w:val="23"/>
          <w:szCs w:val="23"/>
        </w:rPr>
        <w:t>94 percent of the review letters</w:t>
      </w:r>
      <w:r w:rsidRPr="00EA3F83">
        <w:rPr>
          <w:sz w:val="23"/>
          <w:szCs w:val="23"/>
        </w:rPr>
        <w:t xml:space="preserve"> is that the draft Elements are not sufficiently detailed and specific with respect to the required data and analyses for AFFH, </w:t>
      </w:r>
      <w:proofErr w:type="gramStart"/>
      <w:r w:rsidRPr="00EA3F83">
        <w:rPr>
          <w:sz w:val="23"/>
          <w:szCs w:val="23"/>
        </w:rPr>
        <w:t>and also</w:t>
      </w:r>
      <w:proofErr w:type="gramEnd"/>
      <w:r w:rsidRPr="00EA3F83">
        <w:rPr>
          <w:sz w:val="23"/>
          <w:szCs w:val="23"/>
        </w:rPr>
        <w:t xml:space="preserve"> fail to connect findings from the AFFH analysis with specific sites strategies and programs and policies.  </w:t>
      </w:r>
    </w:p>
    <w:p w14:paraId="71ED2E25" w14:textId="77777777" w:rsidR="003D2C5D" w:rsidRPr="00EA3F83" w:rsidRDefault="003D2C5D" w:rsidP="003D2C5D">
      <w:pPr>
        <w:pStyle w:val="ListParagraph"/>
        <w:ind w:left="720" w:firstLine="0"/>
        <w:rPr>
          <w:sz w:val="23"/>
          <w:szCs w:val="23"/>
        </w:rPr>
      </w:pPr>
    </w:p>
    <w:p w14:paraId="32EE6C00" w14:textId="59A5FA53" w:rsidR="005D328C" w:rsidRPr="00EA3F83" w:rsidRDefault="00565731" w:rsidP="005D328C">
      <w:pPr>
        <w:pStyle w:val="BodyText"/>
        <w:spacing w:line="276" w:lineRule="auto"/>
        <w:ind w:right="257"/>
        <w:rPr>
          <w:sz w:val="23"/>
          <w:szCs w:val="23"/>
        </w:rPr>
      </w:pPr>
      <w:r w:rsidRPr="00EA3F83">
        <w:rPr>
          <w:b/>
          <w:bCs/>
          <w:sz w:val="23"/>
          <w:szCs w:val="23"/>
        </w:rPr>
        <w:t>Recommendation</w:t>
      </w:r>
      <w:r w:rsidR="00AC163E" w:rsidRPr="00EA3F83">
        <w:rPr>
          <w:b/>
          <w:bCs/>
          <w:sz w:val="23"/>
          <w:szCs w:val="23"/>
        </w:rPr>
        <w:t>s</w:t>
      </w:r>
      <w:r w:rsidRPr="00EA3F83">
        <w:rPr>
          <w:sz w:val="23"/>
          <w:szCs w:val="23"/>
        </w:rPr>
        <w:t xml:space="preserve"> </w:t>
      </w:r>
    </w:p>
    <w:p w14:paraId="1DD8ACA5" w14:textId="5EE591E0" w:rsidR="005D328C" w:rsidRPr="00EA3F83" w:rsidRDefault="005D328C" w:rsidP="00EA3F83">
      <w:pPr>
        <w:pStyle w:val="BodyText"/>
        <w:numPr>
          <w:ilvl w:val="0"/>
          <w:numId w:val="10"/>
        </w:numPr>
        <w:spacing w:line="276" w:lineRule="auto"/>
        <w:ind w:right="257"/>
        <w:rPr>
          <w:sz w:val="23"/>
          <w:szCs w:val="23"/>
        </w:rPr>
      </w:pPr>
      <w:r w:rsidRPr="00EA3F83">
        <w:rPr>
          <w:sz w:val="23"/>
          <w:szCs w:val="23"/>
        </w:rPr>
        <w:t xml:space="preserve">Review </w:t>
      </w:r>
      <w:r w:rsidR="00565731" w:rsidRPr="00EA3F83">
        <w:rPr>
          <w:sz w:val="23"/>
          <w:szCs w:val="23"/>
        </w:rPr>
        <w:t xml:space="preserve">the recommendations and observations contained in the </w:t>
      </w:r>
      <w:r w:rsidR="00530173" w:rsidRPr="00EA3F83">
        <w:rPr>
          <w:sz w:val="23"/>
          <w:szCs w:val="23"/>
        </w:rPr>
        <w:t xml:space="preserve">ABAG </w:t>
      </w:r>
      <w:r w:rsidR="00565731" w:rsidRPr="00EA3F83">
        <w:rPr>
          <w:sz w:val="23"/>
          <w:szCs w:val="23"/>
        </w:rPr>
        <w:t>memo from March 2022</w:t>
      </w:r>
      <w:r w:rsidR="00A35EEE">
        <w:rPr>
          <w:sz w:val="23"/>
          <w:szCs w:val="23"/>
        </w:rPr>
        <w:t xml:space="preserve">, which can be found </w:t>
      </w:r>
      <w:hyperlink r:id="rId8" w:history="1">
        <w:r w:rsidR="00A35EEE" w:rsidRPr="00A35EEE">
          <w:rPr>
            <w:rStyle w:val="Hyperlink"/>
            <w:sz w:val="23"/>
            <w:szCs w:val="23"/>
          </w:rPr>
          <w:t>here</w:t>
        </w:r>
      </w:hyperlink>
      <w:r w:rsidR="00A35EEE">
        <w:rPr>
          <w:sz w:val="23"/>
          <w:szCs w:val="23"/>
        </w:rPr>
        <w:t>.</w:t>
      </w:r>
    </w:p>
    <w:p w14:paraId="38BEF615" w14:textId="3C685FB7" w:rsidR="005D328C" w:rsidRPr="00EA3F83" w:rsidRDefault="005D328C" w:rsidP="005D328C">
      <w:pPr>
        <w:pStyle w:val="BodyText"/>
        <w:numPr>
          <w:ilvl w:val="0"/>
          <w:numId w:val="10"/>
        </w:numPr>
        <w:spacing w:line="276" w:lineRule="auto"/>
        <w:ind w:right="257"/>
        <w:rPr>
          <w:sz w:val="23"/>
          <w:szCs w:val="23"/>
        </w:rPr>
      </w:pPr>
      <w:r w:rsidRPr="00EA3F83">
        <w:rPr>
          <w:sz w:val="23"/>
          <w:szCs w:val="23"/>
        </w:rPr>
        <w:t>E</w:t>
      </w:r>
      <w:r w:rsidR="00565731" w:rsidRPr="00EA3F83">
        <w:rPr>
          <w:sz w:val="23"/>
          <w:szCs w:val="23"/>
        </w:rPr>
        <w:t xml:space="preserve">nsure that </w:t>
      </w:r>
      <w:r w:rsidR="00245264" w:rsidRPr="00EA3F83">
        <w:rPr>
          <w:sz w:val="23"/>
          <w:szCs w:val="23"/>
        </w:rPr>
        <w:t xml:space="preserve">the </w:t>
      </w:r>
      <w:r w:rsidR="00565731" w:rsidRPr="00EA3F83">
        <w:rPr>
          <w:sz w:val="23"/>
          <w:szCs w:val="23"/>
        </w:rPr>
        <w:t xml:space="preserve">AFFH analyses are sufficiently detailed in terms of required data and maps </w:t>
      </w:r>
      <w:r w:rsidR="00530173" w:rsidRPr="00EA3F83">
        <w:rPr>
          <w:sz w:val="23"/>
          <w:szCs w:val="23"/>
        </w:rPr>
        <w:t>and</w:t>
      </w:r>
      <w:r w:rsidR="00565731" w:rsidRPr="00EA3F83">
        <w:rPr>
          <w:sz w:val="23"/>
          <w:szCs w:val="23"/>
        </w:rPr>
        <w:t xml:space="preserve"> include local knowledge and other relevant factors to address State guidelines. </w:t>
      </w:r>
      <w:r w:rsidR="00245264" w:rsidRPr="00EA3F83">
        <w:rPr>
          <w:sz w:val="23"/>
          <w:szCs w:val="23"/>
        </w:rPr>
        <w:t xml:space="preserve">Additionally, have a summary narrative that </w:t>
      </w:r>
      <w:r w:rsidR="00970FA7" w:rsidRPr="00EA3F83">
        <w:rPr>
          <w:sz w:val="23"/>
          <w:szCs w:val="23"/>
        </w:rPr>
        <w:t>tells the story of the community</w:t>
      </w:r>
      <w:r w:rsidR="00AC163E">
        <w:rPr>
          <w:sz w:val="23"/>
          <w:szCs w:val="23"/>
        </w:rPr>
        <w:t>:</w:t>
      </w:r>
      <w:r w:rsidR="00970FA7" w:rsidRPr="00EA3F83">
        <w:rPr>
          <w:sz w:val="23"/>
          <w:szCs w:val="23"/>
        </w:rPr>
        <w:t xml:space="preserve"> how it has changed over time and what the landscape is like today</w:t>
      </w:r>
      <w:r w:rsidR="00245264" w:rsidRPr="00EA3F83">
        <w:rPr>
          <w:sz w:val="23"/>
          <w:szCs w:val="23"/>
        </w:rPr>
        <w:t xml:space="preserve">. </w:t>
      </w:r>
      <w:r w:rsidR="00565731" w:rsidRPr="00EA3F83">
        <w:rPr>
          <w:sz w:val="23"/>
          <w:szCs w:val="23"/>
        </w:rPr>
        <w:t xml:space="preserve"> </w:t>
      </w:r>
    </w:p>
    <w:p w14:paraId="1F39DD1D" w14:textId="01F844C5" w:rsidR="00565731" w:rsidRPr="00EA3F83" w:rsidRDefault="005D328C" w:rsidP="005D328C">
      <w:pPr>
        <w:pStyle w:val="BodyText"/>
        <w:numPr>
          <w:ilvl w:val="0"/>
          <w:numId w:val="10"/>
        </w:numPr>
        <w:spacing w:line="276" w:lineRule="auto"/>
        <w:ind w:right="257"/>
        <w:rPr>
          <w:sz w:val="23"/>
          <w:szCs w:val="23"/>
        </w:rPr>
      </w:pPr>
      <w:r w:rsidRPr="00EA3F83">
        <w:rPr>
          <w:sz w:val="23"/>
          <w:szCs w:val="23"/>
        </w:rPr>
        <w:t>Connect f</w:t>
      </w:r>
      <w:r w:rsidR="00565731" w:rsidRPr="00EA3F83">
        <w:rPr>
          <w:sz w:val="23"/>
          <w:szCs w:val="23"/>
        </w:rPr>
        <w:t>indings from the AFFH analysis to proposed affordable housing programs and policies</w:t>
      </w:r>
      <w:r w:rsidR="004645D7" w:rsidRPr="00EA3F83">
        <w:rPr>
          <w:sz w:val="23"/>
          <w:szCs w:val="23"/>
        </w:rPr>
        <w:t xml:space="preserve">. It is not enough to just discuss the </w:t>
      </w:r>
      <w:proofErr w:type="gramStart"/>
      <w:r w:rsidR="004645D7" w:rsidRPr="00EA3F83">
        <w:rPr>
          <w:sz w:val="23"/>
          <w:szCs w:val="23"/>
        </w:rPr>
        <w:t>data,</w:t>
      </w:r>
      <w:proofErr w:type="gramEnd"/>
      <w:r w:rsidR="004645D7" w:rsidRPr="00EA3F83">
        <w:rPr>
          <w:sz w:val="23"/>
          <w:szCs w:val="23"/>
        </w:rPr>
        <w:t xml:space="preserve"> cities must show how they intend to </w:t>
      </w:r>
      <w:r w:rsidR="00245264" w:rsidRPr="00EA3F83">
        <w:rPr>
          <w:sz w:val="23"/>
          <w:szCs w:val="23"/>
        </w:rPr>
        <w:t>advance fair housing</w:t>
      </w:r>
      <w:r w:rsidR="00565731" w:rsidRPr="00EA3F83">
        <w:rPr>
          <w:sz w:val="23"/>
          <w:szCs w:val="23"/>
        </w:rPr>
        <w:t>.</w:t>
      </w:r>
      <w:r w:rsidR="00565731" w:rsidRPr="00EA3F83">
        <w:rPr>
          <w:sz w:val="23"/>
          <w:szCs w:val="23"/>
          <w:bdr w:val="single" w:sz="4" w:space="0" w:color="auto"/>
        </w:rPr>
        <w:t xml:space="preserve">  </w:t>
      </w:r>
    </w:p>
    <w:p w14:paraId="7DE3B474" w14:textId="2C72DDFC" w:rsidR="004645D7" w:rsidRPr="00EA3F83" w:rsidRDefault="004645D7" w:rsidP="00EA3F83">
      <w:pPr>
        <w:pStyle w:val="BodyText"/>
        <w:numPr>
          <w:ilvl w:val="0"/>
          <w:numId w:val="10"/>
        </w:numPr>
        <w:spacing w:line="276" w:lineRule="auto"/>
        <w:ind w:right="257"/>
        <w:rPr>
          <w:sz w:val="23"/>
          <w:szCs w:val="23"/>
        </w:rPr>
      </w:pPr>
      <w:r w:rsidRPr="00EA3F83">
        <w:rPr>
          <w:sz w:val="23"/>
          <w:szCs w:val="23"/>
        </w:rPr>
        <w:t xml:space="preserve">Use an AFFH lens when </w:t>
      </w:r>
      <w:r w:rsidR="005F35D9" w:rsidRPr="00EA3F83">
        <w:rPr>
          <w:sz w:val="23"/>
          <w:szCs w:val="23"/>
        </w:rPr>
        <w:t xml:space="preserve">initially </w:t>
      </w:r>
      <w:r w:rsidRPr="00EA3F83">
        <w:rPr>
          <w:sz w:val="23"/>
          <w:szCs w:val="23"/>
        </w:rPr>
        <w:t>deciding on sites to include, not as a check after choosing site</w:t>
      </w:r>
      <w:r w:rsidR="00AC163E">
        <w:rPr>
          <w:sz w:val="23"/>
          <w:szCs w:val="23"/>
        </w:rPr>
        <w:t>s, and describe your process and considerations.</w:t>
      </w:r>
    </w:p>
    <w:p w14:paraId="09E46CFE" w14:textId="77777777" w:rsidR="00565731" w:rsidRPr="003C41B7" w:rsidRDefault="00565731" w:rsidP="00565731">
      <w:pPr>
        <w:rPr>
          <w:sz w:val="22"/>
          <w:szCs w:val="22"/>
        </w:rPr>
      </w:pPr>
    </w:p>
    <w:p w14:paraId="38C15747" w14:textId="4DBACAAA" w:rsidR="00051FDC" w:rsidRPr="00EA3F83" w:rsidRDefault="00565731" w:rsidP="00EA3F83">
      <w:pPr>
        <w:pStyle w:val="ListParagraph"/>
        <w:numPr>
          <w:ilvl w:val="0"/>
          <w:numId w:val="9"/>
        </w:numPr>
        <w:rPr>
          <w:b/>
          <w:bCs/>
          <w:sz w:val="32"/>
          <w:szCs w:val="32"/>
        </w:rPr>
      </w:pPr>
      <w:r w:rsidRPr="00EA3F83">
        <w:rPr>
          <w:b/>
          <w:bCs/>
          <w:sz w:val="32"/>
          <w:szCs w:val="32"/>
        </w:rPr>
        <w:t xml:space="preserve">Public Participation   </w:t>
      </w:r>
    </w:p>
    <w:p w14:paraId="792D06D7" w14:textId="77777777" w:rsidR="00051FDC" w:rsidRDefault="00051FDC" w:rsidP="00051FDC">
      <w:pPr>
        <w:rPr>
          <w:b/>
          <w:bCs/>
        </w:rPr>
      </w:pPr>
    </w:p>
    <w:p w14:paraId="08E9FB70" w14:textId="167748B5" w:rsidR="00051FDC" w:rsidRPr="00EA3F83" w:rsidRDefault="00051FDC" w:rsidP="00EA3F83">
      <w:pPr>
        <w:rPr>
          <w:b/>
          <w:bCs/>
          <w:sz w:val="23"/>
          <w:szCs w:val="23"/>
        </w:rPr>
      </w:pPr>
      <w:r w:rsidRPr="00EA3F83">
        <w:rPr>
          <w:b/>
          <w:bCs/>
          <w:sz w:val="23"/>
          <w:szCs w:val="23"/>
        </w:rPr>
        <w:t>Observation</w:t>
      </w:r>
    </w:p>
    <w:p w14:paraId="1B35FC61" w14:textId="664AB908" w:rsidR="00565731" w:rsidRPr="00EA3F83" w:rsidRDefault="00565731" w:rsidP="00EA3F83">
      <w:pPr>
        <w:rPr>
          <w:sz w:val="23"/>
          <w:szCs w:val="23"/>
          <w:u w:val="single"/>
        </w:rPr>
      </w:pPr>
      <w:r w:rsidRPr="00EA3F83">
        <w:rPr>
          <w:sz w:val="23"/>
          <w:szCs w:val="23"/>
        </w:rPr>
        <w:t xml:space="preserve">Sixty-seven percent of the letters contained comments concerning inadequate public outreach, almost always connected with the need to demonstrate that outreach was conducted to both lower-income households and households with special needs.  </w:t>
      </w:r>
    </w:p>
    <w:p w14:paraId="011FE03F" w14:textId="77777777" w:rsidR="00565731" w:rsidRPr="00EA3F83" w:rsidRDefault="00565731" w:rsidP="00565731">
      <w:pPr>
        <w:pStyle w:val="ListParagraph"/>
        <w:ind w:left="720" w:firstLine="0"/>
        <w:rPr>
          <w:b/>
          <w:bCs/>
          <w:sz w:val="23"/>
          <w:szCs w:val="23"/>
        </w:rPr>
      </w:pPr>
    </w:p>
    <w:p w14:paraId="5A4C5FAF" w14:textId="11FDBC7E" w:rsidR="0000358C" w:rsidRPr="00EA3F83" w:rsidRDefault="00565731" w:rsidP="00051FDC">
      <w:pPr>
        <w:rPr>
          <w:sz w:val="23"/>
          <w:szCs w:val="23"/>
        </w:rPr>
      </w:pPr>
      <w:r w:rsidRPr="00EA3F83">
        <w:rPr>
          <w:b/>
          <w:bCs/>
          <w:sz w:val="23"/>
          <w:szCs w:val="23"/>
        </w:rPr>
        <w:t>Recommendation</w:t>
      </w:r>
      <w:r w:rsidR="00B12633">
        <w:rPr>
          <w:b/>
          <w:bCs/>
          <w:sz w:val="23"/>
          <w:szCs w:val="23"/>
        </w:rPr>
        <w:t>s</w:t>
      </w:r>
      <w:r w:rsidRPr="00EA3F83">
        <w:rPr>
          <w:sz w:val="23"/>
          <w:szCs w:val="23"/>
        </w:rPr>
        <w:t xml:space="preserve"> </w:t>
      </w:r>
    </w:p>
    <w:p w14:paraId="2F741A73" w14:textId="4E34F45B" w:rsidR="0000358C" w:rsidRPr="00EA3F83" w:rsidRDefault="0000358C" w:rsidP="0000358C">
      <w:pPr>
        <w:pStyle w:val="ListParagraph"/>
        <w:numPr>
          <w:ilvl w:val="0"/>
          <w:numId w:val="11"/>
        </w:numPr>
        <w:rPr>
          <w:sz w:val="23"/>
          <w:szCs w:val="23"/>
        </w:rPr>
      </w:pPr>
      <w:r w:rsidRPr="00EA3F83">
        <w:rPr>
          <w:sz w:val="23"/>
          <w:szCs w:val="23"/>
        </w:rPr>
        <w:t>E</w:t>
      </w:r>
      <w:r w:rsidR="00565731" w:rsidRPr="00EA3F83">
        <w:rPr>
          <w:sz w:val="23"/>
          <w:szCs w:val="23"/>
        </w:rPr>
        <w:t>nsure robust outreach to lower-income and special needs groups</w:t>
      </w:r>
      <w:r w:rsidRPr="00EA3F83">
        <w:rPr>
          <w:sz w:val="23"/>
          <w:szCs w:val="23"/>
        </w:rPr>
        <w:t>. Hosting</w:t>
      </w:r>
      <w:r w:rsidR="00663862">
        <w:rPr>
          <w:sz w:val="23"/>
          <w:szCs w:val="23"/>
        </w:rPr>
        <w:t xml:space="preserve"> one or two</w:t>
      </w:r>
      <w:r w:rsidRPr="00EA3F83">
        <w:rPr>
          <w:sz w:val="23"/>
          <w:szCs w:val="23"/>
        </w:rPr>
        <w:t xml:space="preserve"> meeting</w:t>
      </w:r>
      <w:r w:rsidR="00663862">
        <w:rPr>
          <w:sz w:val="23"/>
          <w:szCs w:val="23"/>
        </w:rPr>
        <w:t>s</w:t>
      </w:r>
      <w:r w:rsidRPr="00EA3F83">
        <w:rPr>
          <w:sz w:val="23"/>
          <w:szCs w:val="23"/>
        </w:rPr>
        <w:t xml:space="preserve"> with no special focus on lower-income or special needs groups will likely not be </w:t>
      </w:r>
      <w:r w:rsidR="000F2EE6" w:rsidRPr="00EA3F83">
        <w:rPr>
          <w:sz w:val="23"/>
          <w:szCs w:val="23"/>
        </w:rPr>
        <w:t>sufficient</w:t>
      </w:r>
      <w:r w:rsidRPr="00EA3F83">
        <w:rPr>
          <w:sz w:val="23"/>
          <w:szCs w:val="23"/>
        </w:rPr>
        <w:t xml:space="preserve">. </w:t>
      </w:r>
    </w:p>
    <w:p w14:paraId="3EEA7D8B" w14:textId="21C54110" w:rsidR="00565731" w:rsidRDefault="000F2EE6" w:rsidP="0000358C">
      <w:pPr>
        <w:pStyle w:val="ListParagraph"/>
        <w:numPr>
          <w:ilvl w:val="0"/>
          <w:numId w:val="11"/>
        </w:numPr>
        <w:rPr>
          <w:sz w:val="23"/>
          <w:szCs w:val="23"/>
        </w:rPr>
      </w:pPr>
      <w:r w:rsidRPr="00EA3F83">
        <w:rPr>
          <w:sz w:val="23"/>
          <w:szCs w:val="23"/>
        </w:rPr>
        <w:t>C</w:t>
      </w:r>
      <w:r w:rsidR="00565731" w:rsidRPr="00EA3F83">
        <w:rPr>
          <w:sz w:val="23"/>
          <w:szCs w:val="23"/>
        </w:rPr>
        <w:t xml:space="preserve">onnect the </w:t>
      </w:r>
      <w:r w:rsidR="00B12633">
        <w:rPr>
          <w:sz w:val="23"/>
          <w:szCs w:val="23"/>
        </w:rPr>
        <w:t>community input received through</w:t>
      </w:r>
      <w:r w:rsidR="00565731" w:rsidRPr="00EA3F83">
        <w:rPr>
          <w:sz w:val="23"/>
          <w:szCs w:val="23"/>
        </w:rPr>
        <w:t xml:space="preserve"> outreach </w:t>
      </w:r>
      <w:r w:rsidR="00B12633">
        <w:rPr>
          <w:sz w:val="23"/>
          <w:szCs w:val="23"/>
        </w:rPr>
        <w:t>activities</w:t>
      </w:r>
      <w:r w:rsidR="00B12633" w:rsidRPr="00EA3F83">
        <w:rPr>
          <w:sz w:val="23"/>
          <w:szCs w:val="23"/>
        </w:rPr>
        <w:t xml:space="preserve"> </w:t>
      </w:r>
      <w:r w:rsidR="00565731" w:rsidRPr="00EA3F83">
        <w:rPr>
          <w:sz w:val="23"/>
          <w:szCs w:val="23"/>
        </w:rPr>
        <w:t xml:space="preserve">to policies and programs. </w:t>
      </w:r>
      <w:r w:rsidRPr="00EA3F83">
        <w:rPr>
          <w:sz w:val="23"/>
          <w:szCs w:val="23"/>
        </w:rPr>
        <w:t>There should be clear text that summarizes the feedback from the community and how the suggestions were</w:t>
      </w:r>
      <w:r w:rsidR="00B12633">
        <w:rPr>
          <w:sz w:val="23"/>
          <w:szCs w:val="23"/>
        </w:rPr>
        <w:t xml:space="preserve"> or </w:t>
      </w:r>
      <w:r w:rsidRPr="00EA3F83">
        <w:rPr>
          <w:sz w:val="23"/>
          <w:szCs w:val="23"/>
        </w:rPr>
        <w:t xml:space="preserve">were not incorporated into the Housing Element. </w:t>
      </w:r>
    </w:p>
    <w:p w14:paraId="7A79121A" w14:textId="77777777" w:rsidR="00A35EEE" w:rsidRPr="00EA3F83" w:rsidRDefault="00A35EEE" w:rsidP="00EA3F83">
      <w:pPr>
        <w:pStyle w:val="ListParagraph"/>
        <w:ind w:left="720" w:firstLine="0"/>
        <w:rPr>
          <w:sz w:val="23"/>
          <w:szCs w:val="23"/>
        </w:rPr>
      </w:pPr>
    </w:p>
    <w:p w14:paraId="3A679E6C" w14:textId="77777777" w:rsidR="00EA3F83" w:rsidRDefault="00EA3F83">
      <w:pPr>
        <w:rPr>
          <w:rFonts w:ascii="Calibri" w:eastAsia="Calibri" w:hAnsi="Calibri" w:cs="Calibri"/>
          <w:b/>
          <w:bCs/>
          <w:sz w:val="32"/>
          <w:szCs w:val="32"/>
        </w:rPr>
      </w:pPr>
      <w:r>
        <w:rPr>
          <w:b/>
          <w:bCs/>
          <w:sz w:val="32"/>
          <w:szCs w:val="32"/>
        </w:rPr>
        <w:br w:type="page"/>
      </w:r>
    </w:p>
    <w:p w14:paraId="46185D0F" w14:textId="7370688B" w:rsidR="00F64C00" w:rsidRPr="00EA3F83" w:rsidRDefault="00565731" w:rsidP="00EA3F83">
      <w:pPr>
        <w:pStyle w:val="ListParagraph"/>
        <w:numPr>
          <w:ilvl w:val="0"/>
          <w:numId w:val="9"/>
        </w:numPr>
        <w:rPr>
          <w:b/>
          <w:bCs/>
          <w:sz w:val="32"/>
          <w:szCs w:val="32"/>
        </w:rPr>
      </w:pPr>
      <w:r w:rsidRPr="00EA3F83">
        <w:rPr>
          <w:b/>
          <w:bCs/>
          <w:sz w:val="32"/>
          <w:szCs w:val="32"/>
        </w:rPr>
        <w:lastRenderedPageBreak/>
        <w:t>Sites Inventory</w:t>
      </w:r>
    </w:p>
    <w:p w14:paraId="5BD300E0" w14:textId="77777777" w:rsidR="00B12633" w:rsidRDefault="00B12633" w:rsidP="00F64C00">
      <w:pPr>
        <w:rPr>
          <w:b/>
          <w:bCs/>
          <w:sz w:val="23"/>
          <w:szCs w:val="23"/>
        </w:rPr>
      </w:pPr>
    </w:p>
    <w:p w14:paraId="58DFD81D" w14:textId="275DD6CF" w:rsidR="00F64C00" w:rsidRPr="00EA3F83" w:rsidRDefault="00F64C00" w:rsidP="00F64C00">
      <w:pPr>
        <w:rPr>
          <w:b/>
          <w:bCs/>
          <w:sz w:val="23"/>
          <w:szCs w:val="23"/>
        </w:rPr>
      </w:pPr>
      <w:r w:rsidRPr="00EA3F83">
        <w:rPr>
          <w:b/>
          <w:bCs/>
          <w:sz w:val="23"/>
          <w:szCs w:val="23"/>
        </w:rPr>
        <w:t>Observation</w:t>
      </w:r>
    </w:p>
    <w:p w14:paraId="3F0A8A4F" w14:textId="479C9A37" w:rsidR="00565731" w:rsidRPr="00EA3F83" w:rsidRDefault="00565731" w:rsidP="00EA3F83">
      <w:pPr>
        <w:rPr>
          <w:sz w:val="23"/>
          <w:szCs w:val="23"/>
          <w:u w:val="single"/>
        </w:rPr>
      </w:pPr>
      <w:r w:rsidRPr="00EA3F83">
        <w:rPr>
          <w:sz w:val="23"/>
          <w:szCs w:val="23"/>
        </w:rPr>
        <w:t xml:space="preserve">All but two jurisdictions in this analysis received one or more comments on the sites inventory section, with the most common and extensive comments falling under </w:t>
      </w:r>
      <w:r w:rsidR="008E1BD3">
        <w:rPr>
          <w:sz w:val="23"/>
          <w:szCs w:val="23"/>
        </w:rPr>
        <w:t>two</w:t>
      </w:r>
      <w:r w:rsidRPr="00EA3F83">
        <w:rPr>
          <w:sz w:val="23"/>
          <w:szCs w:val="23"/>
        </w:rPr>
        <w:t xml:space="preserve"> major </w:t>
      </w:r>
      <w:r w:rsidR="00530173" w:rsidRPr="00EA3F83">
        <w:rPr>
          <w:sz w:val="23"/>
          <w:szCs w:val="23"/>
        </w:rPr>
        <w:t>subcategories</w:t>
      </w:r>
      <w:r w:rsidRPr="00EA3F83">
        <w:rPr>
          <w:sz w:val="23"/>
          <w:szCs w:val="23"/>
        </w:rPr>
        <w:t>: realistic capacity</w:t>
      </w:r>
      <w:r w:rsidR="008E1BD3">
        <w:rPr>
          <w:sz w:val="23"/>
          <w:szCs w:val="23"/>
        </w:rPr>
        <w:t xml:space="preserve"> </w:t>
      </w:r>
      <w:r w:rsidR="00D9447E">
        <w:rPr>
          <w:sz w:val="23"/>
          <w:szCs w:val="23"/>
        </w:rPr>
        <w:t xml:space="preserve">(73%) </w:t>
      </w:r>
      <w:r w:rsidR="008E1BD3">
        <w:rPr>
          <w:sz w:val="23"/>
          <w:szCs w:val="23"/>
        </w:rPr>
        <w:t>a</w:t>
      </w:r>
      <w:r w:rsidRPr="00EA3F83">
        <w:rPr>
          <w:sz w:val="23"/>
          <w:szCs w:val="23"/>
        </w:rPr>
        <w:t>nd non-vacant sites</w:t>
      </w:r>
      <w:r w:rsidR="00D9447E">
        <w:rPr>
          <w:sz w:val="23"/>
          <w:szCs w:val="23"/>
        </w:rPr>
        <w:t xml:space="preserve"> (65%)</w:t>
      </w:r>
      <w:r w:rsidRPr="00EA3F83">
        <w:rPr>
          <w:sz w:val="23"/>
          <w:szCs w:val="23"/>
        </w:rPr>
        <w:t xml:space="preserve">.  A frequent type of comment from HCD regarding these sections was that jurisdictions did not provide sufficiently detailed analysis to demonstrate that the proposed sites would develop with the proposed number of housing units during the planning period.  </w:t>
      </w:r>
    </w:p>
    <w:p w14:paraId="1268C32E" w14:textId="77777777" w:rsidR="00565731" w:rsidRPr="00EA3F83" w:rsidRDefault="00565731" w:rsidP="00565731">
      <w:pPr>
        <w:pStyle w:val="ListParagraph"/>
        <w:ind w:left="720" w:firstLine="0"/>
        <w:rPr>
          <w:b/>
          <w:bCs/>
          <w:sz w:val="23"/>
          <w:szCs w:val="23"/>
        </w:rPr>
      </w:pPr>
    </w:p>
    <w:p w14:paraId="53B3F859" w14:textId="5492D386" w:rsidR="00F64C00" w:rsidRPr="00EA3F83" w:rsidRDefault="00565731" w:rsidP="00F64C00">
      <w:pPr>
        <w:rPr>
          <w:b/>
          <w:bCs/>
          <w:sz w:val="23"/>
          <w:szCs w:val="23"/>
        </w:rPr>
      </w:pPr>
      <w:r w:rsidRPr="00EA3F83">
        <w:rPr>
          <w:b/>
          <w:bCs/>
          <w:sz w:val="23"/>
          <w:szCs w:val="23"/>
        </w:rPr>
        <w:t>Recommendation</w:t>
      </w:r>
      <w:r w:rsidR="00B12633">
        <w:rPr>
          <w:b/>
          <w:bCs/>
          <w:sz w:val="23"/>
          <w:szCs w:val="23"/>
        </w:rPr>
        <w:t>s</w:t>
      </w:r>
    </w:p>
    <w:p w14:paraId="217572E8" w14:textId="69A505A2" w:rsidR="005F35D9" w:rsidRPr="00EA3F83" w:rsidRDefault="005F35D9" w:rsidP="005F35D9">
      <w:pPr>
        <w:pStyle w:val="ListParagraph"/>
        <w:numPr>
          <w:ilvl w:val="0"/>
          <w:numId w:val="12"/>
        </w:numPr>
        <w:rPr>
          <w:sz w:val="23"/>
          <w:szCs w:val="23"/>
        </w:rPr>
      </w:pPr>
      <w:r w:rsidRPr="00EA3F83">
        <w:rPr>
          <w:sz w:val="23"/>
          <w:szCs w:val="23"/>
        </w:rPr>
        <w:t>F</w:t>
      </w:r>
      <w:r w:rsidR="00565731" w:rsidRPr="00EA3F83">
        <w:rPr>
          <w:sz w:val="23"/>
          <w:szCs w:val="23"/>
        </w:rPr>
        <w:t xml:space="preserve">ollow HCD’s </w:t>
      </w:r>
      <w:r w:rsidR="00A35EEE" w:rsidRPr="00EA3F83">
        <w:rPr>
          <w:sz w:val="23"/>
          <w:szCs w:val="23"/>
        </w:rPr>
        <w:t>detailed guidance</w:t>
      </w:r>
      <w:r w:rsidR="00565731" w:rsidRPr="00EA3F83">
        <w:rPr>
          <w:sz w:val="23"/>
          <w:szCs w:val="23"/>
        </w:rPr>
        <w:t xml:space="preserve"> </w:t>
      </w:r>
      <w:r w:rsidR="00A35EEE">
        <w:rPr>
          <w:sz w:val="23"/>
          <w:szCs w:val="23"/>
        </w:rPr>
        <w:t xml:space="preserve">(provided in their memo of June 10, 2020, which can be found </w:t>
      </w:r>
      <w:hyperlink r:id="rId9" w:history="1">
        <w:r w:rsidR="00A35EEE" w:rsidRPr="00A35EEE">
          <w:rPr>
            <w:rStyle w:val="Hyperlink"/>
            <w:sz w:val="23"/>
            <w:szCs w:val="23"/>
          </w:rPr>
          <w:t>here</w:t>
        </w:r>
      </w:hyperlink>
      <w:r w:rsidR="00A35EEE">
        <w:rPr>
          <w:sz w:val="23"/>
          <w:szCs w:val="23"/>
        </w:rPr>
        <w:t xml:space="preserve">) </w:t>
      </w:r>
      <w:r w:rsidR="00565731" w:rsidRPr="00EA3F83">
        <w:rPr>
          <w:sz w:val="23"/>
          <w:szCs w:val="23"/>
        </w:rPr>
        <w:t xml:space="preserve">and provide specific, site-level analyses </w:t>
      </w:r>
      <w:r w:rsidR="00530173" w:rsidRPr="00EA3F83">
        <w:rPr>
          <w:sz w:val="23"/>
          <w:szCs w:val="23"/>
        </w:rPr>
        <w:t>to</w:t>
      </w:r>
      <w:r w:rsidR="00565731" w:rsidRPr="00EA3F83">
        <w:rPr>
          <w:sz w:val="23"/>
          <w:szCs w:val="23"/>
        </w:rPr>
        <w:t xml:space="preserve"> demonstrate that proposed housing sites </w:t>
      </w:r>
      <w:r w:rsidR="00316295" w:rsidRPr="00EA3F83">
        <w:rPr>
          <w:sz w:val="23"/>
          <w:szCs w:val="23"/>
        </w:rPr>
        <w:t>could</w:t>
      </w:r>
      <w:r w:rsidR="00565731" w:rsidRPr="00EA3F83">
        <w:rPr>
          <w:sz w:val="23"/>
          <w:szCs w:val="23"/>
        </w:rPr>
        <w:t xml:space="preserve"> actually accommodate the proposed number of housing units by income-level during the planning period. </w:t>
      </w:r>
      <w:r w:rsidRPr="00EA3F83">
        <w:rPr>
          <w:sz w:val="23"/>
          <w:szCs w:val="23"/>
        </w:rPr>
        <w:t xml:space="preserve">This includes analysis for realistic capacity calculations </w:t>
      </w:r>
      <w:r w:rsidR="00A35EEE">
        <w:rPr>
          <w:sz w:val="23"/>
          <w:szCs w:val="23"/>
        </w:rPr>
        <w:t>as well as</w:t>
      </w:r>
      <w:r w:rsidRPr="00EA3F83">
        <w:rPr>
          <w:sz w:val="23"/>
          <w:szCs w:val="23"/>
        </w:rPr>
        <w:t xml:space="preserve"> for development on non-vacant </w:t>
      </w:r>
      <w:r w:rsidR="00A35EEE">
        <w:rPr>
          <w:sz w:val="23"/>
          <w:szCs w:val="23"/>
        </w:rPr>
        <w:t>sites</w:t>
      </w:r>
      <w:r w:rsidRPr="00EA3F83">
        <w:rPr>
          <w:sz w:val="23"/>
          <w:szCs w:val="23"/>
        </w:rPr>
        <w:t xml:space="preserve"> that allow other uses</w:t>
      </w:r>
      <w:r w:rsidR="00A35EEE">
        <w:rPr>
          <w:sz w:val="23"/>
          <w:szCs w:val="23"/>
        </w:rPr>
        <w:t xml:space="preserve"> in addition to residential uses</w:t>
      </w:r>
      <w:r w:rsidRPr="00EA3F83">
        <w:rPr>
          <w:sz w:val="23"/>
          <w:szCs w:val="23"/>
        </w:rPr>
        <w:t>.</w:t>
      </w:r>
      <w:r w:rsidR="00970FA7" w:rsidRPr="00EA3F83">
        <w:rPr>
          <w:sz w:val="23"/>
          <w:szCs w:val="23"/>
        </w:rPr>
        <w:t xml:space="preserve"> </w:t>
      </w:r>
    </w:p>
    <w:p w14:paraId="5AA06873" w14:textId="23ABCCB3" w:rsidR="00BF5B62" w:rsidRPr="00EA3F83" w:rsidRDefault="007F0165">
      <w:pPr>
        <w:pStyle w:val="ListParagraph"/>
        <w:numPr>
          <w:ilvl w:val="0"/>
          <w:numId w:val="12"/>
        </w:numPr>
        <w:rPr>
          <w:sz w:val="23"/>
          <w:szCs w:val="23"/>
        </w:rPr>
      </w:pPr>
      <w:r w:rsidRPr="00EA3F83">
        <w:rPr>
          <w:sz w:val="23"/>
          <w:szCs w:val="23"/>
        </w:rPr>
        <w:t>For non-vacant sites, m</w:t>
      </w:r>
      <w:r w:rsidR="00BF5B62" w:rsidRPr="00EA3F83">
        <w:rPr>
          <w:sz w:val="23"/>
          <w:szCs w:val="23"/>
        </w:rPr>
        <w:t xml:space="preserve">ost jurisdictions will need to provide substantial evidence that the </w:t>
      </w:r>
      <w:r w:rsidRPr="00EA3F83">
        <w:rPr>
          <w:sz w:val="23"/>
          <w:szCs w:val="23"/>
        </w:rPr>
        <w:t xml:space="preserve">existing use is not a barrier to redevelopment. This is a high bar and will require both site specific analysis and a summary </w:t>
      </w:r>
      <w:r w:rsidR="00BF5B62" w:rsidRPr="00EA3F83">
        <w:rPr>
          <w:sz w:val="23"/>
          <w:szCs w:val="23"/>
        </w:rPr>
        <w:t xml:space="preserve">of development trends. </w:t>
      </w:r>
      <w:r w:rsidR="00663862">
        <w:rPr>
          <w:sz w:val="23"/>
          <w:szCs w:val="23"/>
        </w:rPr>
        <w:t xml:space="preserve">Additionally, jurisdictions should summarize policies and programs that </w:t>
      </w:r>
      <w:r w:rsidR="008A4D7C">
        <w:rPr>
          <w:sz w:val="23"/>
          <w:szCs w:val="23"/>
        </w:rPr>
        <w:t>support residential development</w:t>
      </w:r>
      <w:r w:rsidR="00663862">
        <w:rPr>
          <w:sz w:val="23"/>
          <w:szCs w:val="23"/>
        </w:rPr>
        <w:t xml:space="preserve"> on </w:t>
      </w:r>
      <w:r w:rsidR="008A4D7C">
        <w:rPr>
          <w:sz w:val="23"/>
          <w:szCs w:val="23"/>
        </w:rPr>
        <w:t>proposed redevelopment</w:t>
      </w:r>
      <w:r w:rsidR="00663862">
        <w:rPr>
          <w:sz w:val="23"/>
          <w:szCs w:val="23"/>
        </w:rPr>
        <w:t xml:space="preserve"> site</w:t>
      </w:r>
      <w:r w:rsidR="008A4D7C">
        <w:rPr>
          <w:sz w:val="23"/>
          <w:szCs w:val="23"/>
        </w:rPr>
        <w:t>s</w:t>
      </w:r>
      <w:r w:rsidR="00663862">
        <w:rPr>
          <w:sz w:val="23"/>
          <w:szCs w:val="23"/>
        </w:rPr>
        <w:t xml:space="preserve">. </w:t>
      </w:r>
    </w:p>
    <w:p w14:paraId="6DA321FA" w14:textId="669A2E9B" w:rsidR="005F35D9" w:rsidRPr="00EA3F83" w:rsidRDefault="005F35D9" w:rsidP="00EA3F83">
      <w:pPr>
        <w:pStyle w:val="ListParagraph"/>
        <w:numPr>
          <w:ilvl w:val="0"/>
          <w:numId w:val="12"/>
        </w:numPr>
        <w:rPr>
          <w:sz w:val="23"/>
          <w:szCs w:val="23"/>
        </w:rPr>
      </w:pPr>
      <w:r w:rsidRPr="00EA3F83">
        <w:rPr>
          <w:sz w:val="23"/>
          <w:szCs w:val="23"/>
        </w:rPr>
        <w:t xml:space="preserve">Do not assume that all sites that allow </w:t>
      </w:r>
      <w:r w:rsidR="008A4D7C">
        <w:rPr>
          <w:sz w:val="23"/>
          <w:szCs w:val="23"/>
        </w:rPr>
        <w:t xml:space="preserve">both </w:t>
      </w:r>
      <w:r w:rsidRPr="00EA3F83">
        <w:rPr>
          <w:sz w:val="23"/>
          <w:szCs w:val="23"/>
        </w:rPr>
        <w:t>residential</w:t>
      </w:r>
      <w:r w:rsidR="00663862">
        <w:rPr>
          <w:sz w:val="23"/>
          <w:szCs w:val="23"/>
        </w:rPr>
        <w:t xml:space="preserve"> and</w:t>
      </w:r>
      <w:r w:rsidRPr="00EA3F83">
        <w:rPr>
          <w:sz w:val="23"/>
          <w:szCs w:val="23"/>
        </w:rPr>
        <w:t xml:space="preserve"> commercial will </w:t>
      </w:r>
      <w:r w:rsidR="008A4D7C">
        <w:rPr>
          <w:sz w:val="23"/>
          <w:szCs w:val="23"/>
        </w:rPr>
        <w:t>include</w:t>
      </w:r>
      <w:r w:rsidRPr="00EA3F83">
        <w:rPr>
          <w:sz w:val="23"/>
          <w:szCs w:val="23"/>
        </w:rPr>
        <w:t xml:space="preserve"> </w:t>
      </w:r>
      <w:proofErr w:type="gramStart"/>
      <w:r w:rsidRPr="00EA3F83">
        <w:rPr>
          <w:sz w:val="23"/>
          <w:szCs w:val="23"/>
        </w:rPr>
        <w:t>residential, unless</w:t>
      </w:r>
      <w:proofErr w:type="gramEnd"/>
      <w:r w:rsidRPr="00EA3F83">
        <w:rPr>
          <w:sz w:val="23"/>
          <w:szCs w:val="23"/>
        </w:rPr>
        <w:t xml:space="preserve"> there is evidence to support that conclusion. If sites permit developers to choose office </w:t>
      </w:r>
      <w:r w:rsidR="008A4D7C">
        <w:rPr>
          <w:sz w:val="23"/>
          <w:szCs w:val="23"/>
        </w:rPr>
        <w:t xml:space="preserve">or other non-residential </w:t>
      </w:r>
      <w:r w:rsidRPr="00EA3F83">
        <w:rPr>
          <w:sz w:val="23"/>
          <w:szCs w:val="23"/>
        </w:rPr>
        <w:t xml:space="preserve">uses, it is important to </w:t>
      </w:r>
      <w:r w:rsidR="00126A45" w:rsidRPr="00EA3F83">
        <w:rPr>
          <w:sz w:val="23"/>
          <w:szCs w:val="23"/>
        </w:rPr>
        <w:t xml:space="preserve">analyze what percentage of applicants </w:t>
      </w:r>
      <w:r w:rsidR="008A4D7C">
        <w:rPr>
          <w:sz w:val="23"/>
          <w:szCs w:val="23"/>
        </w:rPr>
        <w:t>are likely to choose non-residential (based on market trends and experience on nearby or similar sites)</w:t>
      </w:r>
      <w:r w:rsidR="00126A45" w:rsidRPr="00EA3F83">
        <w:rPr>
          <w:sz w:val="23"/>
          <w:szCs w:val="23"/>
        </w:rPr>
        <w:t xml:space="preserve"> and reduce </w:t>
      </w:r>
      <w:r w:rsidR="008A4D7C">
        <w:rPr>
          <w:sz w:val="23"/>
          <w:szCs w:val="23"/>
        </w:rPr>
        <w:t>unit</w:t>
      </w:r>
      <w:r w:rsidR="00126A45" w:rsidRPr="00EA3F83">
        <w:rPr>
          <w:sz w:val="23"/>
          <w:szCs w:val="23"/>
        </w:rPr>
        <w:t xml:space="preserve"> assumptions accordingly. </w:t>
      </w:r>
      <w:r w:rsidRPr="00EA3F83">
        <w:rPr>
          <w:sz w:val="23"/>
          <w:szCs w:val="23"/>
        </w:rPr>
        <w:t xml:space="preserve"> </w:t>
      </w:r>
    </w:p>
    <w:p w14:paraId="2624F1A4" w14:textId="77777777" w:rsidR="00565731" w:rsidRPr="00EA3F83" w:rsidRDefault="00565731" w:rsidP="00565731">
      <w:pPr>
        <w:pStyle w:val="ListParagraph"/>
        <w:ind w:left="720" w:firstLine="0"/>
        <w:rPr>
          <w:sz w:val="23"/>
          <w:szCs w:val="23"/>
          <w:u w:val="single"/>
        </w:rPr>
      </w:pPr>
    </w:p>
    <w:p w14:paraId="010E870C" w14:textId="43FAEB1E" w:rsidR="003D6946" w:rsidRPr="00EA3F83" w:rsidRDefault="00565731" w:rsidP="00EA3F83">
      <w:pPr>
        <w:pStyle w:val="ListParagraph"/>
        <w:numPr>
          <w:ilvl w:val="0"/>
          <w:numId w:val="9"/>
        </w:numPr>
        <w:rPr>
          <w:b/>
          <w:bCs/>
          <w:sz w:val="32"/>
          <w:szCs w:val="32"/>
        </w:rPr>
      </w:pPr>
      <w:r w:rsidRPr="00EA3F83">
        <w:rPr>
          <w:b/>
          <w:bCs/>
          <w:sz w:val="32"/>
          <w:szCs w:val="32"/>
        </w:rPr>
        <w:t>Government</w:t>
      </w:r>
      <w:r w:rsidR="0093170B">
        <w:rPr>
          <w:b/>
          <w:bCs/>
          <w:sz w:val="32"/>
          <w:szCs w:val="32"/>
        </w:rPr>
        <w:t>al</w:t>
      </w:r>
      <w:r w:rsidRPr="00EA3F83">
        <w:rPr>
          <w:b/>
          <w:bCs/>
          <w:sz w:val="32"/>
          <w:szCs w:val="32"/>
        </w:rPr>
        <w:t xml:space="preserve"> Constraints </w:t>
      </w:r>
    </w:p>
    <w:p w14:paraId="65655DC8" w14:textId="77777777" w:rsidR="00CB4793" w:rsidRDefault="00CB4793" w:rsidP="003D6946">
      <w:pPr>
        <w:rPr>
          <w:b/>
          <w:bCs/>
          <w:sz w:val="23"/>
          <w:szCs w:val="23"/>
        </w:rPr>
      </w:pPr>
    </w:p>
    <w:p w14:paraId="5E2C3CE6" w14:textId="0C1AAC94" w:rsidR="00157A83" w:rsidRPr="00EA3F83" w:rsidRDefault="00157A83" w:rsidP="003D6946">
      <w:pPr>
        <w:rPr>
          <w:b/>
          <w:bCs/>
          <w:sz w:val="23"/>
          <w:szCs w:val="23"/>
        </w:rPr>
      </w:pPr>
      <w:r w:rsidRPr="00EA3F83">
        <w:rPr>
          <w:b/>
          <w:bCs/>
          <w:sz w:val="23"/>
          <w:szCs w:val="23"/>
        </w:rPr>
        <w:t>Observation</w:t>
      </w:r>
    </w:p>
    <w:p w14:paraId="7256EEBA" w14:textId="539ACC14" w:rsidR="00565731" w:rsidRPr="00EA3F83" w:rsidRDefault="008A4D7C" w:rsidP="00EA3F83">
      <w:pPr>
        <w:rPr>
          <w:sz w:val="23"/>
          <w:szCs w:val="23"/>
          <w:u w:val="single"/>
        </w:rPr>
      </w:pPr>
      <w:r>
        <w:rPr>
          <w:sz w:val="23"/>
          <w:szCs w:val="23"/>
        </w:rPr>
        <w:t>Fifty-five percent</w:t>
      </w:r>
      <w:r w:rsidR="00565731" w:rsidRPr="00EA3F83">
        <w:rPr>
          <w:sz w:val="23"/>
          <w:szCs w:val="23"/>
        </w:rPr>
        <w:t xml:space="preserve"> of letters included comments related to governmental constraints on housing production, frequent</w:t>
      </w:r>
      <w:r>
        <w:rPr>
          <w:sz w:val="23"/>
          <w:szCs w:val="23"/>
        </w:rPr>
        <w:t>ly including</w:t>
      </w:r>
      <w:r w:rsidR="00565731" w:rsidRPr="00EA3F83">
        <w:rPr>
          <w:sz w:val="23"/>
          <w:szCs w:val="23"/>
        </w:rPr>
        <w:t xml:space="preserve"> comments on constraints to housing development for lower-income and special needs households. </w:t>
      </w:r>
    </w:p>
    <w:p w14:paraId="0C1140B9" w14:textId="77777777" w:rsidR="00565731" w:rsidRPr="00EA3F83" w:rsidRDefault="00565731" w:rsidP="00565731">
      <w:pPr>
        <w:pStyle w:val="ListParagraph"/>
        <w:ind w:left="720" w:firstLine="0"/>
        <w:rPr>
          <w:b/>
          <w:bCs/>
          <w:sz w:val="23"/>
          <w:szCs w:val="23"/>
        </w:rPr>
      </w:pPr>
    </w:p>
    <w:p w14:paraId="16BC35DA" w14:textId="74940104" w:rsidR="003D6946" w:rsidRPr="00EA3F83" w:rsidRDefault="00565731" w:rsidP="003D6946">
      <w:pPr>
        <w:rPr>
          <w:b/>
          <w:bCs/>
          <w:sz w:val="23"/>
          <w:szCs w:val="23"/>
        </w:rPr>
      </w:pPr>
      <w:r w:rsidRPr="00EA3F83">
        <w:rPr>
          <w:b/>
          <w:bCs/>
          <w:sz w:val="23"/>
          <w:szCs w:val="23"/>
        </w:rPr>
        <w:t>Recommendation</w:t>
      </w:r>
      <w:r w:rsidR="008A4D7C">
        <w:rPr>
          <w:b/>
          <w:bCs/>
          <w:sz w:val="23"/>
          <w:szCs w:val="23"/>
        </w:rPr>
        <w:t>s</w:t>
      </w:r>
    </w:p>
    <w:p w14:paraId="6D3997CC" w14:textId="3E8A5FEA" w:rsidR="00565731" w:rsidRPr="00EA3F83" w:rsidRDefault="00297614" w:rsidP="00EA3F83">
      <w:pPr>
        <w:pStyle w:val="ListParagraph"/>
        <w:numPr>
          <w:ilvl w:val="0"/>
          <w:numId w:val="13"/>
        </w:numPr>
        <w:rPr>
          <w:sz w:val="23"/>
          <w:szCs w:val="23"/>
          <w:u w:val="single"/>
        </w:rPr>
      </w:pPr>
      <w:r w:rsidRPr="00EA3F83">
        <w:rPr>
          <w:sz w:val="23"/>
          <w:szCs w:val="23"/>
        </w:rPr>
        <w:t>Do not merely provide data</w:t>
      </w:r>
      <w:r w:rsidR="006C2BC4">
        <w:rPr>
          <w:sz w:val="23"/>
          <w:szCs w:val="23"/>
        </w:rPr>
        <w:t xml:space="preserve">. Provide </w:t>
      </w:r>
      <w:r w:rsidRPr="00EA3F83">
        <w:rPr>
          <w:sz w:val="23"/>
          <w:szCs w:val="23"/>
        </w:rPr>
        <w:t>an analysis of what is or is not a constraint</w:t>
      </w:r>
      <w:r w:rsidR="00157A83" w:rsidRPr="00EA3F83">
        <w:rPr>
          <w:sz w:val="23"/>
          <w:szCs w:val="23"/>
        </w:rPr>
        <w:t xml:space="preserve"> for both market</w:t>
      </w:r>
      <w:r w:rsidR="0093170B">
        <w:rPr>
          <w:sz w:val="23"/>
          <w:szCs w:val="23"/>
        </w:rPr>
        <w:t>-rate</w:t>
      </w:r>
      <w:r w:rsidR="00157A83" w:rsidRPr="00EA3F83">
        <w:rPr>
          <w:sz w:val="23"/>
          <w:szCs w:val="23"/>
        </w:rPr>
        <w:t xml:space="preserve"> and affordable projects</w:t>
      </w:r>
      <w:r w:rsidRPr="00EA3F83">
        <w:rPr>
          <w:sz w:val="23"/>
          <w:szCs w:val="23"/>
        </w:rPr>
        <w:t xml:space="preserve">. If there are constraints, </w:t>
      </w:r>
      <w:r w:rsidR="00157A83" w:rsidRPr="00EA3F83">
        <w:rPr>
          <w:sz w:val="23"/>
          <w:szCs w:val="23"/>
        </w:rPr>
        <w:t xml:space="preserve">identify policies and programs to address those constraints. </w:t>
      </w:r>
      <w:r w:rsidRPr="00EA3F83">
        <w:rPr>
          <w:sz w:val="23"/>
          <w:szCs w:val="23"/>
        </w:rPr>
        <w:t xml:space="preserve"> </w:t>
      </w:r>
      <w:r w:rsidR="00565731" w:rsidRPr="00EA3F83">
        <w:rPr>
          <w:sz w:val="23"/>
          <w:szCs w:val="23"/>
        </w:rPr>
        <w:t>Jurisdictions should explicitly document and analyze government</w:t>
      </w:r>
      <w:r w:rsidR="0093170B">
        <w:rPr>
          <w:sz w:val="23"/>
          <w:szCs w:val="23"/>
        </w:rPr>
        <w:t>al</w:t>
      </w:r>
      <w:r w:rsidR="00565731" w:rsidRPr="00EA3F83">
        <w:rPr>
          <w:sz w:val="23"/>
          <w:szCs w:val="23"/>
        </w:rPr>
        <w:t xml:space="preserve"> constraints to housing production for lower-income and special needs households and include detailed policies and programs to address such constraints, with clear timelines, milestones, responsible </w:t>
      </w:r>
      <w:proofErr w:type="gramStart"/>
      <w:r w:rsidR="00565731" w:rsidRPr="00EA3F83">
        <w:rPr>
          <w:sz w:val="23"/>
          <w:szCs w:val="23"/>
        </w:rPr>
        <w:t>parties</w:t>
      </w:r>
      <w:proofErr w:type="gramEnd"/>
      <w:r w:rsidR="00565731" w:rsidRPr="00EA3F83">
        <w:rPr>
          <w:sz w:val="23"/>
          <w:szCs w:val="23"/>
        </w:rPr>
        <w:t xml:space="preserve"> and funding.</w:t>
      </w:r>
      <w:r w:rsidR="00565731" w:rsidRPr="00EA3F83">
        <w:rPr>
          <w:sz w:val="23"/>
          <w:szCs w:val="23"/>
          <w:u w:val="single"/>
        </w:rPr>
        <w:t xml:space="preserve"> </w:t>
      </w:r>
    </w:p>
    <w:p w14:paraId="79286FF2" w14:textId="77777777" w:rsidR="00CB4793" w:rsidRDefault="00CB4793">
      <w:pPr>
        <w:rPr>
          <w:rFonts w:ascii="Calibri" w:eastAsia="Calibri" w:hAnsi="Calibri" w:cs="Calibri"/>
          <w:b/>
          <w:bCs/>
          <w:sz w:val="32"/>
          <w:szCs w:val="32"/>
        </w:rPr>
      </w:pPr>
      <w:r>
        <w:rPr>
          <w:b/>
          <w:bCs/>
          <w:sz w:val="32"/>
          <w:szCs w:val="32"/>
        </w:rPr>
        <w:br w:type="page"/>
      </w:r>
    </w:p>
    <w:p w14:paraId="7FDD445A" w14:textId="5D8E7484" w:rsidR="00AB6EB4" w:rsidRDefault="00AB6EB4" w:rsidP="00AB6EB4">
      <w:pPr>
        <w:pStyle w:val="BodyText"/>
        <w:numPr>
          <w:ilvl w:val="0"/>
          <w:numId w:val="9"/>
        </w:numPr>
        <w:spacing w:line="276" w:lineRule="auto"/>
        <w:ind w:right="257"/>
        <w:rPr>
          <w:b/>
          <w:bCs/>
          <w:sz w:val="32"/>
          <w:szCs w:val="32"/>
        </w:rPr>
      </w:pPr>
      <w:r>
        <w:rPr>
          <w:b/>
          <w:bCs/>
          <w:sz w:val="32"/>
          <w:szCs w:val="32"/>
        </w:rPr>
        <w:lastRenderedPageBreak/>
        <w:t>Policies and Program</w:t>
      </w:r>
      <w:r w:rsidR="0093170B">
        <w:rPr>
          <w:b/>
          <w:bCs/>
          <w:sz w:val="32"/>
          <w:szCs w:val="32"/>
        </w:rPr>
        <w:t>s</w:t>
      </w:r>
    </w:p>
    <w:p w14:paraId="1B7DE237" w14:textId="77777777" w:rsidR="00CB4793" w:rsidRDefault="00CB4793" w:rsidP="00AB6EB4">
      <w:pPr>
        <w:rPr>
          <w:b/>
          <w:bCs/>
        </w:rPr>
      </w:pPr>
    </w:p>
    <w:p w14:paraId="5FEF7A11" w14:textId="55155FCF" w:rsidR="00AB6EB4" w:rsidRPr="00EA3F83" w:rsidRDefault="00AB6EB4" w:rsidP="00EA3F83">
      <w:pPr>
        <w:rPr>
          <w:b/>
          <w:bCs/>
          <w:sz w:val="23"/>
          <w:szCs w:val="23"/>
        </w:rPr>
      </w:pPr>
      <w:r w:rsidRPr="00EA3F83">
        <w:rPr>
          <w:b/>
          <w:bCs/>
          <w:sz w:val="23"/>
          <w:szCs w:val="23"/>
        </w:rPr>
        <w:t>Observation</w:t>
      </w:r>
    </w:p>
    <w:p w14:paraId="7516474A" w14:textId="68B601E7" w:rsidR="00AB6EB4" w:rsidRPr="00EA3F83" w:rsidRDefault="00AB6EB4" w:rsidP="00AB6EB4">
      <w:pPr>
        <w:pStyle w:val="BodyText"/>
        <w:spacing w:line="276" w:lineRule="auto"/>
        <w:ind w:right="257"/>
        <w:rPr>
          <w:sz w:val="23"/>
          <w:szCs w:val="23"/>
        </w:rPr>
      </w:pPr>
      <w:r w:rsidRPr="00EA3F83">
        <w:rPr>
          <w:sz w:val="23"/>
          <w:szCs w:val="23"/>
        </w:rPr>
        <w:t xml:space="preserve">Many jurisdictions received comments asking for more specificity in their policies and programs section. Generally, a program to study an issue will receive a comment asking for more concrete actions. </w:t>
      </w:r>
      <w:r w:rsidR="0093170B">
        <w:rPr>
          <w:sz w:val="23"/>
          <w:szCs w:val="23"/>
        </w:rPr>
        <w:t>V</w:t>
      </w:r>
      <w:r w:rsidR="0093170B" w:rsidRPr="00D50931">
        <w:rPr>
          <w:sz w:val="23"/>
          <w:szCs w:val="23"/>
        </w:rPr>
        <w:t>ague language will likely be rejected</w:t>
      </w:r>
      <w:r w:rsidR="0093170B">
        <w:rPr>
          <w:sz w:val="23"/>
          <w:szCs w:val="23"/>
        </w:rPr>
        <w:t>, e</w:t>
      </w:r>
      <w:r w:rsidRPr="00EA3F83">
        <w:rPr>
          <w:sz w:val="23"/>
          <w:szCs w:val="23"/>
        </w:rPr>
        <w:t xml:space="preserve">specially if a program is tied to a constraint. </w:t>
      </w:r>
    </w:p>
    <w:p w14:paraId="7A23D185" w14:textId="77777777" w:rsidR="0093170B" w:rsidRDefault="0093170B" w:rsidP="00AB6EB4">
      <w:pPr>
        <w:pStyle w:val="BodyText"/>
        <w:spacing w:line="276" w:lineRule="auto"/>
        <w:ind w:right="257"/>
        <w:rPr>
          <w:b/>
          <w:bCs/>
          <w:sz w:val="23"/>
          <w:szCs w:val="23"/>
        </w:rPr>
      </w:pPr>
    </w:p>
    <w:p w14:paraId="5FC71B81" w14:textId="2973F846" w:rsidR="00AB6EB4" w:rsidRPr="00EA3F83" w:rsidRDefault="00AB6EB4" w:rsidP="00AB6EB4">
      <w:pPr>
        <w:pStyle w:val="BodyText"/>
        <w:spacing w:line="276" w:lineRule="auto"/>
        <w:ind w:right="257"/>
        <w:rPr>
          <w:sz w:val="23"/>
          <w:szCs w:val="23"/>
        </w:rPr>
      </w:pPr>
      <w:r w:rsidRPr="00EA3F83">
        <w:rPr>
          <w:b/>
          <w:bCs/>
          <w:sz w:val="23"/>
          <w:szCs w:val="23"/>
        </w:rPr>
        <w:t>Recommendation</w:t>
      </w:r>
      <w:r w:rsidR="0093170B" w:rsidRPr="00EA3F83">
        <w:rPr>
          <w:b/>
          <w:bCs/>
          <w:sz w:val="23"/>
          <w:szCs w:val="23"/>
        </w:rPr>
        <w:t>s</w:t>
      </w:r>
      <w:r w:rsidRPr="00EA3F83">
        <w:rPr>
          <w:sz w:val="23"/>
          <w:szCs w:val="23"/>
        </w:rPr>
        <w:t xml:space="preserve"> </w:t>
      </w:r>
    </w:p>
    <w:p w14:paraId="2E09D98E" w14:textId="61086AD9" w:rsidR="00AB6EB4" w:rsidRPr="00EA3F83" w:rsidRDefault="00AB6EB4" w:rsidP="00AB6EB4">
      <w:pPr>
        <w:pStyle w:val="BodyText"/>
        <w:numPr>
          <w:ilvl w:val="0"/>
          <w:numId w:val="16"/>
        </w:numPr>
        <w:spacing w:line="276" w:lineRule="auto"/>
        <w:ind w:right="257"/>
        <w:rPr>
          <w:sz w:val="23"/>
          <w:szCs w:val="23"/>
        </w:rPr>
      </w:pPr>
      <w:r w:rsidRPr="00EA3F83">
        <w:rPr>
          <w:sz w:val="23"/>
          <w:szCs w:val="23"/>
        </w:rPr>
        <w:t>Review all programs to ensure</w:t>
      </w:r>
      <w:r w:rsidR="0093170B">
        <w:rPr>
          <w:sz w:val="23"/>
          <w:szCs w:val="23"/>
        </w:rPr>
        <w:t xml:space="preserve"> that there are</w:t>
      </w:r>
      <w:r w:rsidRPr="00EA3F83">
        <w:rPr>
          <w:sz w:val="23"/>
          <w:szCs w:val="23"/>
        </w:rPr>
        <w:t xml:space="preserve"> clear timelines and metrics to evaluate success. Pay close attention to </w:t>
      </w:r>
      <w:r w:rsidR="0093170B">
        <w:rPr>
          <w:sz w:val="23"/>
          <w:szCs w:val="23"/>
        </w:rPr>
        <w:t>“</w:t>
      </w:r>
      <w:r w:rsidRPr="00EA3F83">
        <w:rPr>
          <w:sz w:val="23"/>
          <w:szCs w:val="23"/>
        </w:rPr>
        <w:t>ongoing</w:t>
      </w:r>
      <w:r w:rsidR="0093170B">
        <w:rPr>
          <w:sz w:val="23"/>
          <w:szCs w:val="23"/>
        </w:rPr>
        <w:t>”</w:t>
      </w:r>
      <w:r w:rsidRPr="00EA3F83">
        <w:rPr>
          <w:sz w:val="23"/>
          <w:szCs w:val="23"/>
        </w:rPr>
        <w:t xml:space="preserve"> programs. Often these should be rewritten with clear, accountable steps. </w:t>
      </w:r>
    </w:p>
    <w:p w14:paraId="24FCBE9E" w14:textId="6AC9FEA3" w:rsidR="00AB6EB4" w:rsidRPr="00EA3F83" w:rsidRDefault="00AB6EB4" w:rsidP="00EA3F83">
      <w:pPr>
        <w:pStyle w:val="BodyText"/>
        <w:numPr>
          <w:ilvl w:val="0"/>
          <w:numId w:val="16"/>
        </w:numPr>
        <w:spacing w:line="276" w:lineRule="auto"/>
        <w:ind w:right="257"/>
        <w:rPr>
          <w:sz w:val="23"/>
          <w:szCs w:val="23"/>
        </w:rPr>
      </w:pPr>
      <w:r w:rsidRPr="00EA3F83">
        <w:rPr>
          <w:sz w:val="23"/>
          <w:szCs w:val="23"/>
        </w:rPr>
        <w:t xml:space="preserve">Have a narrative that summarizes key new policies and programs, and connects them to </w:t>
      </w:r>
      <w:r w:rsidR="007323A5" w:rsidRPr="00EA3F83">
        <w:rPr>
          <w:sz w:val="23"/>
          <w:szCs w:val="23"/>
        </w:rPr>
        <w:t xml:space="preserve">needs, </w:t>
      </w:r>
      <w:r w:rsidR="0093170B">
        <w:rPr>
          <w:sz w:val="23"/>
          <w:szCs w:val="23"/>
        </w:rPr>
        <w:t xml:space="preserve">community </w:t>
      </w:r>
      <w:r w:rsidR="007323A5" w:rsidRPr="00EA3F83">
        <w:rPr>
          <w:sz w:val="23"/>
          <w:szCs w:val="23"/>
        </w:rPr>
        <w:t xml:space="preserve">feedback or constraints. </w:t>
      </w:r>
    </w:p>
    <w:p w14:paraId="166263B3" w14:textId="77777777" w:rsidR="00867495" w:rsidRPr="003C41B7" w:rsidRDefault="00867495" w:rsidP="00E204E1">
      <w:pPr>
        <w:rPr>
          <w:sz w:val="22"/>
          <w:szCs w:val="22"/>
        </w:rPr>
      </w:pPr>
    </w:p>
    <w:p w14:paraId="5F14B24B" w14:textId="77777777" w:rsidR="007C1137" w:rsidRPr="008847AE" w:rsidRDefault="007C1137" w:rsidP="007C1137">
      <w:pPr>
        <w:pStyle w:val="ListParagraph"/>
        <w:numPr>
          <w:ilvl w:val="0"/>
          <w:numId w:val="9"/>
        </w:numPr>
        <w:rPr>
          <w:b/>
          <w:bCs/>
          <w:sz w:val="32"/>
          <w:szCs w:val="32"/>
        </w:rPr>
      </w:pPr>
      <w:r w:rsidRPr="008847AE">
        <w:rPr>
          <w:b/>
          <w:bCs/>
          <w:sz w:val="32"/>
          <w:szCs w:val="32"/>
        </w:rPr>
        <w:t>Special Needs Populations</w:t>
      </w:r>
    </w:p>
    <w:p w14:paraId="3808DD42" w14:textId="77777777" w:rsidR="007C1137" w:rsidRPr="00EA3F83" w:rsidRDefault="007C1137" w:rsidP="007C1137">
      <w:pPr>
        <w:rPr>
          <w:b/>
          <w:bCs/>
          <w:sz w:val="23"/>
          <w:szCs w:val="23"/>
        </w:rPr>
      </w:pPr>
    </w:p>
    <w:p w14:paraId="471D0A0A" w14:textId="1AF7E35F" w:rsidR="007C1137" w:rsidRPr="00EA3F83" w:rsidRDefault="007C1137" w:rsidP="007C1137">
      <w:pPr>
        <w:rPr>
          <w:b/>
          <w:bCs/>
          <w:sz w:val="23"/>
          <w:szCs w:val="23"/>
        </w:rPr>
      </w:pPr>
      <w:r w:rsidRPr="00EA3F83">
        <w:rPr>
          <w:b/>
          <w:bCs/>
          <w:sz w:val="23"/>
          <w:szCs w:val="23"/>
        </w:rPr>
        <w:t>Observation</w:t>
      </w:r>
    </w:p>
    <w:p w14:paraId="4016EC09" w14:textId="32DA7380" w:rsidR="007C1137" w:rsidRPr="00EA3F83" w:rsidRDefault="007C1137" w:rsidP="007C1137">
      <w:pPr>
        <w:rPr>
          <w:sz w:val="23"/>
          <w:szCs w:val="23"/>
          <w:u w:val="single"/>
        </w:rPr>
      </w:pPr>
      <w:r w:rsidRPr="00EA3F83">
        <w:rPr>
          <w:sz w:val="23"/>
          <w:szCs w:val="23"/>
        </w:rPr>
        <w:t>Across every section included in this analysis, HCD reviewers commented on the lack of sufficient attention to special needs populations (</w:t>
      </w:r>
      <w:r w:rsidRPr="00EA3F83">
        <w:rPr>
          <w:rFonts w:cstheme="minorHAnsi"/>
          <w:sz w:val="23"/>
          <w:szCs w:val="23"/>
        </w:rPr>
        <w:t>e.g., the elderly, persons with disabilities, large households, female-headed households, farmworkers, and persons experiencing homelessness)</w:t>
      </w:r>
      <w:r w:rsidRPr="00EA3F83">
        <w:rPr>
          <w:sz w:val="23"/>
          <w:szCs w:val="23"/>
        </w:rPr>
        <w:t>.  Both in terms of fully documenting and analyzing housing needs and in terms of developing policies, programs and affordable housing sites strategies, the</w:t>
      </w:r>
      <w:r w:rsidR="0093170B">
        <w:rPr>
          <w:sz w:val="23"/>
          <w:szCs w:val="23"/>
        </w:rPr>
        <w:t xml:space="preserve"> draft Housing Element’s</w:t>
      </w:r>
      <w:r w:rsidRPr="00EA3F83">
        <w:rPr>
          <w:sz w:val="23"/>
          <w:szCs w:val="23"/>
        </w:rPr>
        <w:t xml:space="preserve"> treatment of special housing needs tended to be more high-level and/or cursory than required</w:t>
      </w:r>
      <w:r w:rsidR="0093170B">
        <w:rPr>
          <w:sz w:val="23"/>
          <w:szCs w:val="23"/>
        </w:rPr>
        <w:t xml:space="preserve"> or expected</w:t>
      </w:r>
      <w:r w:rsidRPr="00EA3F83">
        <w:rPr>
          <w:sz w:val="23"/>
          <w:szCs w:val="23"/>
        </w:rPr>
        <w:t xml:space="preserve"> by HCD.  </w:t>
      </w:r>
    </w:p>
    <w:p w14:paraId="4A69FD45" w14:textId="77777777" w:rsidR="007C1137" w:rsidRPr="00EA3F83" w:rsidRDefault="007C1137" w:rsidP="007C1137">
      <w:pPr>
        <w:pStyle w:val="BodyText"/>
        <w:spacing w:line="276" w:lineRule="auto"/>
        <w:ind w:left="840" w:right="257"/>
        <w:rPr>
          <w:sz w:val="23"/>
          <w:szCs w:val="23"/>
          <w:u w:val="single"/>
        </w:rPr>
      </w:pPr>
    </w:p>
    <w:p w14:paraId="5F261E66" w14:textId="390A4643" w:rsidR="007C1137" w:rsidRPr="00EA3F83" w:rsidRDefault="007C1137" w:rsidP="007C1137">
      <w:pPr>
        <w:pStyle w:val="BodyText"/>
        <w:spacing w:line="276" w:lineRule="auto"/>
        <w:ind w:right="257"/>
        <w:rPr>
          <w:sz w:val="23"/>
          <w:szCs w:val="23"/>
        </w:rPr>
      </w:pPr>
      <w:r w:rsidRPr="00EA3F83">
        <w:rPr>
          <w:b/>
          <w:bCs/>
          <w:sz w:val="23"/>
          <w:szCs w:val="23"/>
        </w:rPr>
        <w:t>Recommendatio</w:t>
      </w:r>
      <w:r w:rsidR="0093170B" w:rsidRPr="00EA3F83">
        <w:rPr>
          <w:b/>
          <w:bCs/>
          <w:sz w:val="23"/>
          <w:szCs w:val="23"/>
        </w:rPr>
        <w:t>ns</w:t>
      </w:r>
    </w:p>
    <w:p w14:paraId="54692331" w14:textId="6D1EB855" w:rsidR="007C1137" w:rsidRPr="00EA3F83" w:rsidRDefault="007C1137" w:rsidP="007C1137">
      <w:pPr>
        <w:pStyle w:val="BodyText"/>
        <w:numPr>
          <w:ilvl w:val="0"/>
          <w:numId w:val="14"/>
        </w:numPr>
        <w:spacing w:line="276" w:lineRule="auto"/>
        <w:ind w:right="257"/>
        <w:rPr>
          <w:sz w:val="23"/>
          <w:szCs w:val="23"/>
        </w:rPr>
      </w:pPr>
      <w:r w:rsidRPr="00EA3F83">
        <w:rPr>
          <w:sz w:val="23"/>
          <w:szCs w:val="23"/>
        </w:rPr>
        <w:t xml:space="preserve">In addition to the general data in the housing needs section, prepare detailed assessments of special housing needs and clearly connect special housing needs findings to programs, policies and sites strategies that are concrete and actionable. </w:t>
      </w:r>
    </w:p>
    <w:p w14:paraId="794195D9" w14:textId="77777777" w:rsidR="00EA3F83" w:rsidRDefault="00EA3F83" w:rsidP="00EA3F83">
      <w:pPr>
        <w:rPr>
          <w:b/>
          <w:bCs/>
          <w:sz w:val="23"/>
          <w:szCs w:val="23"/>
        </w:rPr>
      </w:pPr>
    </w:p>
    <w:p w14:paraId="3CF2EF1D" w14:textId="1541CE79" w:rsidR="003D6946" w:rsidRPr="00EA3F83" w:rsidRDefault="002B7AA0" w:rsidP="00EA3F83">
      <w:pPr>
        <w:pStyle w:val="ListParagraph"/>
        <w:numPr>
          <w:ilvl w:val="0"/>
          <w:numId w:val="18"/>
        </w:numPr>
        <w:ind w:left="360"/>
        <w:rPr>
          <w:b/>
          <w:bCs/>
          <w:sz w:val="23"/>
          <w:szCs w:val="23"/>
        </w:rPr>
      </w:pPr>
      <w:r w:rsidRPr="00EA3F83">
        <w:rPr>
          <w:b/>
          <w:bCs/>
          <w:sz w:val="32"/>
          <w:szCs w:val="32"/>
        </w:rPr>
        <w:t>Unique and Recent Comments: ADUs, SB 9 and AB 215</w:t>
      </w:r>
    </w:p>
    <w:p w14:paraId="0B3AD1D8" w14:textId="77777777" w:rsidR="007C1137" w:rsidRDefault="007C1137" w:rsidP="003D6946"/>
    <w:p w14:paraId="61FBEF2D" w14:textId="77777777" w:rsidR="007C1137" w:rsidRPr="00EA3F83" w:rsidRDefault="007C1137" w:rsidP="003D6946">
      <w:pPr>
        <w:rPr>
          <w:b/>
          <w:bCs/>
          <w:sz w:val="23"/>
          <w:szCs w:val="23"/>
        </w:rPr>
      </w:pPr>
      <w:r w:rsidRPr="00EA3F83">
        <w:rPr>
          <w:b/>
          <w:bCs/>
          <w:sz w:val="23"/>
          <w:szCs w:val="23"/>
        </w:rPr>
        <w:t>Observation</w:t>
      </w:r>
    </w:p>
    <w:p w14:paraId="56F0B3F4" w14:textId="58877503" w:rsidR="002B7AA0" w:rsidRPr="00EA3F83" w:rsidRDefault="002B7AA0" w:rsidP="00EA3F83">
      <w:pPr>
        <w:rPr>
          <w:b/>
          <w:bCs/>
          <w:sz w:val="23"/>
          <w:szCs w:val="23"/>
        </w:rPr>
      </w:pPr>
      <w:r w:rsidRPr="00EA3F83">
        <w:rPr>
          <w:sz w:val="23"/>
          <w:szCs w:val="23"/>
        </w:rPr>
        <w:t xml:space="preserve">Numerous jurisdiction-specific comments were noted in the review letters, but three major types of comments are especially worthy of elevation to inform Bay Area Housing Elements. These concern how jurisdictions count units towards </w:t>
      </w:r>
      <w:r w:rsidR="002F2E48">
        <w:rPr>
          <w:sz w:val="23"/>
          <w:szCs w:val="23"/>
        </w:rPr>
        <w:t xml:space="preserve">their </w:t>
      </w:r>
      <w:r w:rsidRPr="00EA3F83">
        <w:rPr>
          <w:sz w:val="23"/>
          <w:szCs w:val="23"/>
        </w:rPr>
        <w:t xml:space="preserve">RHNA using past Accessory Dwelling Unit development trends as well as more recent guidance regarding SB 9 and AB 215. </w:t>
      </w:r>
    </w:p>
    <w:p w14:paraId="6B348303" w14:textId="77777777" w:rsidR="002B7AA0" w:rsidRPr="00EA3F83" w:rsidRDefault="002B7AA0" w:rsidP="002B7AA0">
      <w:pPr>
        <w:rPr>
          <w:b/>
          <w:bCs/>
          <w:sz w:val="23"/>
          <w:szCs w:val="23"/>
        </w:rPr>
      </w:pPr>
    </w:p>
    <w:p w14:paraId="17EB3FDE" w14:textId="02F0F88C" w:rsidR="002B7AA0" w:rsidRPr="00EA3F83" w:rsidRDefault="002B7AA0" w:rsidP="002B7AA0">
      <w:pPr>
        <w:rPr>
          <w:b/>
          <w:bCs/>
          <w:sz w:val="23"/>
          <w:szCs w:val="23"/>
        </w:rPr>
      </w:pPr>
      <w:r w:rsidRPr="00EA3F83">
        <w:rPr>
          <w:b/>
          <w:bCs/>
          <w:sz w:val="23"/>
          <w:szCs w:val="23"/>
        </w:rPr>
        <w:t xml:space="preserve">Recommendations </w:t>
      </w:r>
    </w:p>
    <w:p w14:paraId="36FDDA73" w14:textId="4D68A746" w:rsidR="002B7AA0" w:rsidRPr="00EA3F83" w:rsidRDefault="002B7AA0" w:rsidP="00EA3F83">
      <w:pPr>
        <w:pStyle w:val="ListParagraph"/>
        <w:numPr>
          <w:ilvl w:val="0"/>
          <w:numId w:val="17"/>
        </w:numPr>
        <w:rPr>
          <w:sz w:val="23"/>
          <w:szCs w:val="23"/>
        </w:rPr>
      </w:pPr>
      <w:r w:rsidRPr="00EA3F83">
        <w:rPr>
          <w:b/>
          <w:bCs/>
          <w:sz w:val="23"/>
          <w:szCs w:val="23"/>
        </w:rPr>
        <w:t>ADUs:</w:t>
      </w:r>
      <w:r w:rsidRPr="00EA3F83">
        <w:rPr>
          <w:sz w:val="23"/>
          <w:szCs w:val="23"/>
        </w:rPr>
        <w:t xml:space="preserve"> </w:t>
      </w:r>
      <w:r w:rsidR="007C1137" w:rsidRPr="00EA3F83">
        <w:rPr>
          <w:sz w:val="23"/>
          <w:szCs w:val="23"/>
        </w:rPr>
        <w:t>Average</w:t>
      </w:r>
      <w:r w:rsidRPr="00EA3F83">
        <w:rPr>
          <w:sz w:val="23"/>
          <w:szCs w:val="23"/>
        </w:rPr>
        <w:t xml:space="preserve"> at least</w:t>
      </w:r>
      <w:r w:rsidR="002F2E48">
        <w:rPr>
          <w:sz w:val="23"/>
          <w:szCs w:val="23"/>
        </w:rPr>
        <w:t xml:space="preserve"> the past</w:t>
      </w:r>
      <w:r w:rsidRPr="00EA3F83">
        <w:rPr>
          <w:sz w:val="23"/>
          <w:szCs w:val="23"/>
        </w:rPr>
        <w:t xml:space="preserve"> three years of production rather than one recent year to </w:t>
      </w:r>
      <w:r w:rsidR="002F2E48">
        <w:rPr>
          <w:sz w:val="23"/>
          <w:szCs w:val="23"/>
        </w:rPr>
        <w:t xml:space="preserve">determine the anticipated development of </w:t>
      </w:r>
      <w:r w:rsidRPr="00EA3F83">
        <w:rPr>
          <w:sz w:val="23"/>
          <w:szCs w:val="23"/>
        </w:rPr>
        <w:t xml:space="preserve">ADUs </w:t>
      </w:r>
      <w:r w:rsidR="002F2E48">
        <w:rPr>
          <w:sz w:val="23"/>
          <w:szCs w:val="23"/>
        </w:rPr>
        <w:t>during the eight-year planning period</w:t>
      </w:r>
      <w:r w:rsidRPr="00EA3F83">
        <w:rPr>
          <w:sz w:val="23"/>
          <w:szCs w:val="23"/>
        </w:rPr>
        <w:t xml:space="preserve">. </w:t>
      </w:r>
    </w:p>
    <w:p w14:paraId="43B24D76" w14:textId="77777777" w:rsidR="002B7AA0" w:rsidRPr="00EA3F83" w:rsidRDefault="002B7AA0" w:rsidP="00EA3F83">
      <w:pPr>
        <w:rPr>
          <w:sz w:val="23"/>
          <w:szCs w:val="23"/>
        </w:rPr>
      </w:pPr>
    </w:p>
    <w:p w14:paraId="2A527FFC" w14:textId="78F5F664" w:rsidR="002B7AA0" w:rsidRPr="00EA3F83" w:rsidRDefault="002B7AA0" w:rsidP="00EA3F83">
      <w:pPr>
        <w:pStyle w:val="ListParagraph"/>
        <w:numPr>
          <w:ilvl w:val="0"/>
          <w:numId w:val="17"/>
        </w:numPr>
        <w:rPr>
          <w:sz w:val="23"/>
          <w:szCs w:val="23"/>
        </w:rPr>
      </w:pPr>
      <w:r w:rsidRPr="00EA3F83">
        <w:rPr>
          <w:b/>
          <w:bCs/>
          <w:sz w:val="23"/>
          <w:szCs w:val="23"/>
        </w:rPr>
        <w:t>SB 9:</w:t>
      </w:r>
      <w:r w:rsidRPr="00EA3F83">
        <w:rPr>
          <w:sz w:val="23"/>
          <w:szCs w:val="23"/>
        </w:rPr>
        <w:t xml:space="preserve">  The lack of clear, published guidance may have led some jurisdictions </w:t>
      </w:r>
      <w:r w:rsidR="002F2E48">
        <w:rPr>
          <w:sz w:val="23"/>
          <w:szCs w:val="23"/>
        </w:rPr>
        <w:t xml:space="preserve">to </w:t>
      </w:r>
      <w:r w:rsidRPr="00EA3F83">
        <w:rPr>
          <w:sz w:val="23"/>
          <w:szCs w:val="23"/>
        </w:rPr>
        <w:t>over-estimat</w:t>
      </w:r>
      <w:r w:rsidR="002F2E48">
        <w:rPr>
          <w:sz w:val="23"/>
          <w:szCs w:val="23"/>
        </w:rPr>
        <w:t>e</w:t>
      </w:r>
      <w:r w:rsidRPr="00EA3F83">
        <w:rPr>
          <w:sz w:val="23"/>
          <w:szCs w:val="23"/>
        </w:rPr>
        <w:t xml:space="preserve"> </w:t>
      </w:r>
      <w:r w:rsidR="002F2E48">
        <w:rPr>
          <w:sz w:val="23"/>
          <w:szCs w:val="23"/>
        </w:rPr>
        <w:t xml:space="preserve">unit </w:t>
      </w:r>
      <w:r w:rsidRPr="00EA3F83">
        <w:rPr>
          <w:sz w:val="23"/>
          <w:szCs w:val="23"/>
        </w:rPr>
        <w:t xml:space="preserve">production </w:t>
      </w:r>
      <w:r w:rsidR="002F2E48">
        <w:rPr>
          <w:sz w:val="23"/>
          <w:szCs w:val="23"/>
        </w:rPr>
        <w:t xml:space="preserve">related to the state’s adoption of </w:t>
      </w:r>
      <w:r w:rsidRPr="00EA3F83">
        <w:rPr>
          <w:sz w:val="23"/>
          <w:szCs w:val="23"/>
        </w:rPr>
        <w:t>SB 9.  As with the sites inventory generally, potential SB 9 sites require detailed site by site analysis.</w:t>
      </w:r>
      <w:r w:rsidR="002F2E48">
        <w:rPr>
          <w:sz w:val="23"/>
          <w:szCs w:val="23"/>
        </w:rPr>
        <w:t xml:space="preserve"> Carefully review the guidance recently provided by HCD on this topic, which can be found </w:t>
      </w:r>
      <w:hyperlink r:id="rId10" w:history="1">
        <w:r w:rsidR="002F2E48" w:rsidRPr="002F2E48">
          <w:rPr>
            <w:rStyle w:val="Hyperlink"/>
            <w:sz w:val="23"/>
            <w:szCs w:val="23"/>
          </w:rPr>
          <w:t>here</w:t>
        </w:r>
      </w:hyperlink>
      <w:r w:rsidR="002F2E48">
        <w:rPr>
          <w:sz w:val="23"/>
          <w:szCs w:val="23"/>
        </w:rPr>
        <w:t>.</w:t>
      </w:r>
    </w:p>
    <w:p w14:paraId="3A04B167" w14:textId="77777777" w:rsidR="002B7AA0" w:rsidRPr="00EA3F83" w:rsidRDefault="002B7AA0" w:rsidP="00EA3F83">
      <w:pPr>
        <w:rPr>
          <w:sz w:val="23"/>
          <w:szCs w:val="23"/>
        </w:rPr>
      </w:pPr>
    </w:p>
    <w:p w14:paraId="61168180" w14:textId="4870D8B0" w:rsidR="002B7AA0" w:rsidRPr="00EA3F83" w:rsidRDefault="002B7AA0" w:rsidP="00EA3F83">
      <w:pPr>
        <w:pStyle w:val="ListParagraph"/>
        <w:numPr>
          <w:ilvl w:val="0"/>
          <w:numId w:val="17"/>
        </w:numPr>
        <w:rPr>
          <w:sz w:val="23"/>
          <w:szCs w:val="23"/>
        </w:rPr>
      </w:pPr>
      <w:r w:rsidRPr="00EA3F83">
        <w:rPr>
          <w:b/>
          <w:bCs/>
          <w:sz w:val="23"/>
          <w:szCs w:val="23"/>
        </w:rPr>
        <w:t>AB 215 and Public Outreach:</w:t>
      </w:r>
      <w:r w:rsidRPr="00EA3F83">
        <w:rPr>
          <w:sz w:val="23"/>
          <w:szCs w:val="23"/>
        </w:rPr>
        <w:t xml:space="preserve"> AB 215 adds an additional 30-day review period plus 10 </w:t>
      </w:r>
      <w:r w:rsidR="007C1137" w:rsidRPr="00EA3F83">
        <w:rPr>
          <w:sz w:val="23"/>
          <w:szCs w:val="23"/>
        </w:rPr>
        <w:t xml:space="preserve">business </w:t>
      </w:r>
      <w:r w:rsidRPr="00EA3F83">
        <w:rPr>
          <w:sz w:val="23"/>
          <w:szCs w:val="23"/>
        </w:rPr>
        <w:t xml:space="preserve">days for jurisdictions to consider comments before drafts can be submitted to HCD. Jurisdictions should plan to make drafts available for comment per AB 215 and HCD guidance to ensure that the public has adequate opportunity to comment on drafts before </w:t>
      </w:r>
      <w:r w:rsidR="002F2E48">
        <w:rPr>
          <w:sz w:val="23"/>
          <w:szCs w:val="23"/>
        </w:rPr>
        <w:t xml:space="preserve">elements are submitted for </w:t>
      </w:r>
      <w:r w:rsidRPr="00EA3F83">
        <w:rPr>
          <w:sz w:val="23"/>
          <w:szCs w:val="23"/>
        </w:rPr>
        <w:t xml:space="preserve">HCD review. </w:t>
      </w:r>
    </w:p>
    <w:p w14:paraId="64C0EC44" w14:textId="77777777" w:rsidR="00C14515" w:rsidRPr="003C41B7" w:rsidRDefault="00C14515" w:rsidP="00E204E1">
      <w:pPr>
        <w:rPr>
          <w:sz w:val="22"/>
          <w:szCs w:val="22"/>
        </w:rPr>
      </w:pPr>
    </w:p>
    <w:sectPr w:rsidR="00C14515" w:rsidRPr="003C41B7" w:rsidSect="00EA3F83">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9B6A" w14:textId="77777777" w:rsidR="007D75D7" w:rsidRDefault="007D75D7" w:rsidP="004A3038">
      <w:r>
        <w:separator/>
      </w:r>
    </w:p>
  </w:endnote>
  <w:endnote w:type="continuationSeparator" w:id="0">
    <w:p w14:paraId="6FB2A88E" w14:textId="77777777" w:rsidR="007D75D7" w:rsidRDefault="007D75D7" w:rsidP="004A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803302"/>
      <w:docPartObj>
        <w:docPartGallery w:val="Page Numbers (Bottom of Page)"/>
        <w:docPartUnique/>
      </w:docPartObj>
    </w:sdtPr>
    <w:sdtEndPr>
      <w:rPr>
        <w:noProof/>
      </w:rPr>
    </w:sdtEndPr>
    <w:sdtContent>
      <w:p w14:paraId="0E39FB5A" w14:textId="77777777" w:rsidR="00424CCF" w:rsidRDefault="00424CCF">
        <w:pPr>
          <w:pStyle w:val="Footer"/>
          <w:jc w:val="right"/>
        </w:pPr>
      </w:p>
      <w:p w14:paraId="4F2B604C" w14:textId="5A190DF9" w:rsidR="00424CCF" w:rsidRDefault="00424CC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3F9F4F1" w14:textId="11E6283B" w:rsidR="00424CCF" w:rsidRDefault="00424CCF">
        <w:pPr>
          <w:pStyle w:val="Footer"/>
          <w:jc w:val="right"/>
        </w:pPr>
        <w:r>
          <w:rPr>
            <w:noProof/>
          </w:rPr>
          <w:drawing>
            <wp:anchor distT="0" distB="0" distL="114300" distR="114300" simplePos="0" relativeHeight="251663360" behindDoc="1" locked="0" layoutInCell="1" allowOverlap="0" wp14:anchorId="1B1EDF27" wp14:editId="4803EFF3">
              <wp:simplePos x="0" y="0"/>
              <wp:positionH relativeFrom="margin">
                <wp:posOffset>-695325</wp:posOffset>
              </wp:positionH>
              <wp:positionV relativeFrom="bottomMargin">
                <wp:posOffset>433705</wp:posOffset>
              </wp:positionV>
              <wp:extent cx="7234594" cy="227965"/>
              <wp:effectExtent l="0" t="0" r="4445" b="63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34594" cy="227965"/>
                      </a:xfrm>
                      <a:prstGeom prst="rect">
                        <a:avLst/>
                      </a:prstGeom>
                    </pic:spPr>
                  </pic:pic>
                </a:graphicData>
              </a:graphic>
              <wp14:sizeRelH relativeFrom="page">
                <wp14:pctWidth>0</wp14:pctWidth>
              </wp14:sizeRelH>
              <wp14:sizeRelV relativeFrom="page">
                <wp14:pctHeight>0</wp14:pctHeight>
              </wp14:sizeRelV>
            </wp:anchor>
          </w:drawing>
        </w:r>
      </w:p>
    </w:sdtContent>
  </w:sdt>
  <w:p w14:paraId="0E6C374E" w14:textId="058D1EE0" w:rsidR="007A248D" w:rsidRDefault="007A248D" w:rsidP="00EA3F83">
    <w:pPr>
      <w:pStyle w:val="Footer"/>
      <w:tabs>
        <w:tab w:val="clear" w:pos="4680"/>
        <w:tab w:val="clear" w:pos="9360"/>
        <w:tab w:val="left" w:pos="30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6112" w14:textId="3B563387" w:rsidR="007A248D" w:rsidRDefault="007C05AC" w:rsidP="00EA3F83">
    <w:pPr>
      <w:pStyle w:val="Footer"/>
      <w:tabs>
        <w:tab w:val="clear" w:pos="4680"/>
        <w:tab w:val="clear" w:pos="9360"/>
        <w:tab w:val="left" w:pos="1710"/>
      </w:tabs>
    </w:pPr>
    <w:r w:rsidRPr="003E4593">
      <w:rPr>
        <w:noProof/>
      </w:rPr>
      <mc:AlternateContent>
        <mc:Choice Requires="wps">
          <w:drawing>
            <wp:anchor distT="0" distB="0" distL="114300" distR="114300" simplePos="0" relativeHeight="251661312" behindDoc="0" locked="0" layoutInCell="1" allowOverlap="1" wp14:anchorId="355B2AE0" wp14:editId="323BC47D">
              <wp:simplePos x="0" y="0"/>
              <wp:positionH relativeFrom="margin">
                <wp:posOffset>-704850</wp:posOffset>
              </wp:positionH>
              <wp:positionV relativeFrom="paragraph">
                <wp:posOffset>57150</wp:posOffset>
              </wp:positionV>
              <wp:extent cx="7329805" cy="197485"/>
              <wp:effectExtent l="0" t="0" r="4445" b="0"/>
              <wp:wrapSquare wrapText="bothSides"/>
              <wp:docPr id="17"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9805" cy="197485"/>
                      </a:xfrm>
                      <a:prstGeom prst="rect">
                        <a:avLst/>
                      </a:prstGeom>
                      <a:solidFill>
                        <a:srgbClr val="71A9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6793EF" id="docshape8" o:spid="_x0000_s1026" alt="&quot;&quot;" style="position:absolute;margin-left:-55.5pt;margin-top:4.5pt;width:577.15pt;height:1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" fillcolor="#71a950" stroked="f">
              <v:path arrowok="t"/>
              <w10:wrap type="square" anchorx="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34F7" w14:textId="77777777" w:rsidR="007D75D7" w:rsidRDefault="007D75D7" w:rsidP="004A3038">
      <w:r>
        <w:separator/>
      </w:r>
    </w:p>
  </w:footnote>
  <w:footnote w:type="continuationSeparator" w:id="0">
    <w:p w14:paraId="0C341C46" w14:textId="77777777" w:rsidR="007D75D7" w:rsidRDefault="007D75D7" w:rsidP="004A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45C" w14:textId="77777777" w:rsidR="00827BAD" w:rsidRDefault="00827BAD">
    <w:pPr>
      <w:pStyle w:val="Header"/>
    </w:pPr>
  </w:p>
  <w:p w14:paraId="5F13BAB9" w14:textId="77777777" w:rsidR="004A3038" w:rsidRDefault="004A3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5D57" w14:textId="05DFACBE" w:rsidR="007A248D" w:rsidRDefault="007A248D">
    <w:pPr>
      <w:pStyle w:val="Header"/>
    </w:pPr>
    <w:r w:rsidRPr="00F433B0">
      <w:rPr>
        <w:noProof/>
        <w:color w:val="000000" w:themeColor="text1"/>
        <w:sz w:val="48"/>
        <w:szCs w:val="48"/>
      </w:rPr>
      <w:drawing>
        <wp:anchor distT="0" distB="0" distL="114300" distR="114300" simplePos="0" relativeHeight="251659264" behindDoc="1" locked="0" layoutInCell="1" allowOverlap="1" wp14:anchorId="65619CA5" wp14:editId="158C84EF">
          <wp:simplePos x="0" y="0"/>
          <wp:positionH relativeFrom="margin">
            <wp:posOffset>-419100</wp:posOffset>
          </wp:positionH>
          <wp:positionV relativeFrom="margin">
            <wp:posOffset>-2203450</wp:posOffset>
          </wp:positionV>
          <wp:extent cx="6961454" cy="1740364"/>
          <wp:effectExtent l="0" t="0" r="0" b="0"/>
          <wp:wrapNone/>
          <wp:docPr id="1" name="Graphic 1" descr="Header with ABAG logo and logo for Technical Assistance for Local Planning: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eader with ABAG logo and logo for Technical Assistance for Local Planning: Hous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61454" cy="1740364"/>
                  </a:xfrm>
                  <a:prstGeom prst="rect">
                    <a:avLst/>
                  </a:prstGeom>
                </pic:spPr>
              </pic:pic>
            </a:graphicData>
          </a:graphic>
          <wp14:sizeRelH relativeFrom="margin">
            <wp14:pctWidth>0</wp14:pctWidth>
          </wp14:sizeRelH>
          <wp14:sizeRelV relativeFrom="margin">
            <wp14:pctHeight>0</wp14:pctHeight>
          </wp14:sizeRelV>
        </wp:anchor>
      </w:drawing>
    </w:r>
  </w:p>
  <w:p w14:paraId="09F07CF4" w14:textId="3BF6CB3D" w:rsidR="007A248D" w:rsidRDefault="007A248D">
    <w:pPr>
      <w:pStyle w:val="Header"/>
    </w:pPr>
  </w:p>
  <w:p w14:paraId="1A6F5FC8" w14:textId="48BE8381" w:rsidR="007A248D" w:rsidRDefault="007A248D">
    <w:pPr>
      <w:pStyle w:val="Header"/>
    </w:pPr>
  </w:p>
  <w:p w14:paraId="4FC7CA33" w14:textId="77777777" w:rsidR="007A248D" w:rsidRDefault="007A248D">
    <w:pPr>
      <w:pStyle w:val="Header"/>
    </w:pPr>
  </w:p>
  <w:p w14:paraId="52BBDC59" w14:textId="0C011C40" w:rsidR="007A248D" w:rsidRDefault="007A248D">
    <w:pPr>
      <w:pStyle w:val="Header"/>
    </w:pPr>
  </w:p>
  <w:p w14:paraId="21A57587" w14:textId="639A914F" w:rsidR="007A248D" w:rsidRDefault="007A248D">
    <w:pPr>
      <w:pStyle w:val="Header"/>
    </w:pPr>
  </w:p>
  <w:p w14:paraId="3BC578AA" w14:textId="77777777" w:rsidR="007A248D" w:rsidRDefault="007A248D">
    <w:pPr>
      <w:pStyle w:val="Header"/>
    </w:pPr>
  </w:p>
  <w:p w14:paraId="1E7A09F1" w14:textId="4ADC1221" w:rsidR="007A248D" w:rsidRDefault="007A248D">
    <w:pPr>
      <w:pStyle w:val="Header"/>
    </w:pPr>
  </w:p>
  <w:p w14:paraId="77B062F0" w14:textId="44D0810E" w:rsidR="007A248D" w:rsidRDefault="007A248D">
    <w:pPr>
      <w:pStyle w:val="Header"/>
    </w:pPr>
  </w:p>
  <w:p w14:paraId="448C503E" w14:textId="77777777" w:rsidR="007A248D" w:rsidRDefault="007A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38EE"/>
    <w:multiLevelType w:val="hybridMultilevel"/>
    <w:tmpl w:val="9668AB7E"/>
    <w:lvl w:ilvl="0" w:tplc="0409000F">
      <w:start w:val="1"/>
      <w:numFmt w:val="decimal"/>
      <w:lvlText w:val="%1."/>
      <w:lvlJc w:val="left"/>
      <w:pPr>
        <w:ind w:left="838" w:hanging="360"/>
      </w:pPr>
      <w:rPr>
        <w:rFonts w:hint="default"/>
        <w:b w:val="0"/>
        <w:bCs w:val="0"/>
        <w:i w:val="0"/>
        <w:iCs w:val="0"/>
        <w:w w:val="100"/>
        <w:sz w:val="22"/>
        <w:szCs w:val="22"/>
        <w:lang w:val="en-US" w:eastAsia="en-US" w:bidi="ar-SA"/>
      </w:rPr>
    </w:lvl>
    <w:lvl w:ilvl="1" w:tplc="35126340">
      <w:start w:val="1"/>
      <w:numFmt w:val="decimal"/>
      <w:lvlText w:val="%2."/>
      <w:lvlJc w:val="left"/>
      <w:pPr>
        <w:ind w:left="1560" w:hanging="361"/>
      </w:pPr>
      <w:rPr>
        <w:rFonts w:ascii="Calibri" w:eastAsia="Calibri" w:hAnsi="Calibri" w:cs="Calibri" w:hint="default"/>
        <w:b w:val="0"/>
        <w:bCs w:val="0"/>
        <w:i w:val="0"/>
        <w:iCs w:val="0"/>
        <w:w w:val="100"/>
        <w:sz w:val="22"/>
        <w:szCs w:val="22"/>
        <w:lang w:val="en-US" w:eastAsia="en-US" w:bidi="ar-SA"/>
      </w:rPr>
    </w:lvl>
    <w:lvl w:ilvl="2" w:tplc="EE1059A4">
      <w:numFmt w:val="bullet"/>
      <w:lvlText w:val="•"/>
      <w:lvlJc w:val="left"/>
      <w:pPr>
        <w:ind w:left="2455" w:hanging="361"/>
      </w:pPr>
      <w:rPr>
        <w:rFonts w:hint="default"/>
        <w:lang w:val="en-US" w:eastAsia="en-US" w:bidi="ar-SA"/>
      </w:rPr>
    </w:lvl>
    <w:lvl w:ilvl="3" w:tplc="81480612">
      <w:numFmt w:val="bullet"/>
      <w:lvlText w:val="•"/>
      <w:lvlJc w:val="left"/>
      <w:pPr>
        <w:ind w:left="3351" w:hanging="361"/>
      </w:pPr>
      <w:rPr>
        <w:rFonts w:hint="default"/>
        <w:lang w:val="en-US" w:eastAsia="en-US" w:bidi="ar-SA"/>
      </w:rPr>
    </w:lvl>
    <w:lvl w:ilvl="4" w:tplc="5C48BE78">
      <w:numFmt w:val="bullet"/>
      <w:lvlText w:val="•"/>
      <w:lvlJc w:val="left"/>
      <w:pPr>
        <w:ind w:left="4246" w:hanging="361"/>
      </w:pPr>
      <w:rPr>
        <w:rFonts w:hint="default"/>
        <w:lang w:val="en-US" w:eastAsia="en-US" w:bidi="ar-SA"/>
      </w:rPr>
    </w:lvl>
    <w:lvl w:ilvl="5" w:tplc="83BC3084">
      <w:numFmt w:val="bullet"/>
      <w:lvlText w:val="•"/>
      <w:lvlJc w:val="left"/>
      <w:pPr>
        <w:ind w:left="5142" w:hanging="361"/>
      </w:pPr>
      <w:rPr>
        <w:rFonts w:hint="default"/>
        <w:lang w:val="en-US" w:eastAsia="en-US" w:bidi="ar-SA"/>
      </w:rPr>
    </w:lvl>
    <w:lvl w:ilvl="6" w:tplc="8BA01302">
      <w:numFmt w:val="bullet"/>
      <w:lvlText w:val="•"/>
      <w:lvlJc w:val="left"/>
      <w:pPr>
        <w:ind w:left="6037" w:hanging="361"/>
      </w:pPr>
      <w:rPr>
        <w:rFonts w:hint="default"/>
        <w:lang w:val="en-US" w:eastAsia="en-US" w:bidi="ar-SA"/>
      </w:rPr>
    </w:lvl>
    <w:lvl w:ilvl="7" w:tplc="84C01D80">
      <w:numFmt w:val="bullet"/>
      <w:lvlText w:val="•"/>
      <w:lvlJc w:val="left"/>
      <w:pPr>
        <w:ind w:left="6933" w:hanging="361"/>
      </w:pPr>
      <w:rPr>
        <w:rFonts w:hint="default"/>
        <w:lang w:val="en-US" w:eastAsia="en-US" w:bidi="ar-SA"/>
      </w:rPr>
    </w:lvl>
    <w:lvl w:ilvl="8" w:tplc="0EAC42C8">
      <w:numFmt w:val="bullet"/>
      <w:lvlText w:val="•"/>
      <w:lvlJc w:val="left"/>
      <w:pPr>
        <w:ind w:left="7828" w:hanging="361"/>
      </w:pPr>
      <w:rPr>
        <w:rFonts w:hint="default"/>
        <w:lang w:val="en-US" w:eastAsia="en-US" w:bidi="ar-SA"/>
      </w:rPr>
    </w:lvl>
  </w:abstractNum>
  <w:abstractNum w:abstractNumId="1" w15:restartNumberingAfterBreak="0">
    <w:nsid w:val="05C57F87"/>
    <w:multiLevelType w:val="hybridMultilevel"/>
    <w:tmpl w:val="6BAC00D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73A6025"/>
    <w:multiLevelType w:val="hybridMultilevel"/>
    <w:tmpl w:val="8F3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74F"/>
    <w:multiLevelType w:val="hybridMultilevel"/>
    <w:tmpl w:val="59520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36147"/>
    <w:multiLevelType w:val="hybridMultilevel"/>
    <w:tmpl w:val="134ED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9134A"/>
    <w:multiLevelType w:val="hybridMultilevel"/>
    <w:tmpl w:val="3AC4C474"/>
    <w:lvl w:ilvl="0" w:tplc="1A28EE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9720FD"/>
    <w:multiLevelType w:val="hybridMultilevel"/>
    <w:tmpl w:val="7D20C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2779A"/>
    <w:multiLevelType w:val="hybridMultilevel"/>
    <w:tmpl w:val="E8EC286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4A772C"/>
    <w:multiLevelType w:val="hybridMultilevel"/>
    <w:tmpl w:val="4D506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F6E58"/>
    <w:multiLevelType w:val="hybridMultilevel"/>
    <w:tmpl w:val="0D54A8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A7007"/>
    <w:multiLevelType w:val="hybridMultilevel"/>
    <w:tmpl w:val="7E70EEBA"/>
    <w:lvl w:ilvl="0" w:tplc="B49665D8">
      <w:start w:val="7"/>
      <w:numFmt w:val="decimal"/>
      <w:lvlText w:val="%1."/>
      <w:lvlJc w:val="left"/>
      <w:pPr>
        <w:ind w:left="720" w:hanging="360"/>
      </w:pPr>
      <w:rPr>
        <w:rFonts w:hint="default"/>
        <w:b/>
        <w:sz w:val="3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A441FD5"/>
    <w:multiLevelType w:val="hybridMultilevel"/>
    <w:tmpl w:val="6058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D42D5"/>
    <w:multiLevelType w:val="hybridMultilevel"/>
    <w:tmpl w:val="0336A704"/>
    <w:lvl w:ilvl="0" w:tplc="04090011">
      <w:start w:val="1"/>
      <w:numFmt w:val="decimal"/>
      <w:lvlText w:val="%1)"/>
      <w:lvlJc w:val="left"/>
      <w:pPr>
        <w:ind w:left="72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C7705C8"/>
    <w:multiLevelType w:val="hybridMultilevel"/>
    <w:tmpl w:val="1026D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E63DC"/>
    <w:multiLevelType w:val="hybridMultilevel"/>
    <w:tmpl w:val="B88A0A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DD5EC9"/>
    <w:multiLevelType w:val="hybridMultilevel"/>
    <w:tmpl w:val="2D3E3144"/>
    <w:lvl w:ilvl="0" w:tplc="3D4ACB84">
      <w:start w:val="2"/>
      <w:numFmt w:val="decimal"/>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7408204D"/>
    <w:multiLevelType w:val="hybridMultilevel"/>
    <w:tmpl w:val="13865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13572"/>
    <w:multiLevelType w:val="hybridMultilevel"/>
    <w:tmpl w:val="27A0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860593">
    <w:abstractNumId w:val="0"/>
  </w:num>
  <w:num w:numId="2" w16cid:durableId="2055616253">
    <w:abstractNumId w:val="15"/>
  </w:num>
  <w:num w:numId="3" w16cid:durableId="1591812403">
    <w:abstractNumId w:val="17"/>
  </w:num>
  <w:num w:numId="4" w16cid:durableId="718940378">
    <w:abstractNumId w:val="11"/>
  </w:num>
  <w:num w:numId="5" w16cid:durableId="1067074037">
    <w:abstractNumId w:val="13"/>
  </w:num>
  <w:num w:numId="6" w16cid:durableId="1823425775">
    <w:abstractNumId w:val="1"/>
  </w:num>
  <w:num w:numId="7" w16cid:durableId="1029838696">
    <w:abstractNumId w:val="6"/>
  </w:num>
  <w:num w:numId="8" w16cid:durableId="521556527">
    <w:abstractNumId w:val="2"/>
  </w:num>
  <w:num w:numId="9" w16cid:durableId="62484100">
    <w:abstractNumId w:val="5"/>
  </w:num>
  <w:num w:numId="10" w16cid:durableId="706837510">
    <w:abstractNumId w:val="16"/>
  </w:num>
  <w:num w:numId="11" w16cid:durableId="1537497616">
    <w:abstractNumId w:val="9"/>
  </w:num>
  <w:num w:numId="12" w16cid:durableId="483396792">
    <w:abstractNumId w:val="8"/>
  </w:num>
  <w:num w:numId="13" w16cid:durableId="879588250">
    <w:abstractNumId w:val="3"/>
  </w:num>
  <w:num w:numId="14" w16cid:durableId="311756004">
    <w:abstractNumId w:val="14"/>
  </w:num>
  <w:num w:numId="15" w16cid:durableId="1667976705">
    <w:abstractNumId w:val="7"/>
  </w:num>
  <w:num w:numId="16" w16cid:durableId="136841834">
    <w:abstractNumId w:val="4"/>
  </w:num>
  <w:num w:numId="17" w16cid:durableId="1004284974">
    <w:abstractNumId w:val="12"/>
  </w:num>
  <w:num w:numId="18" w16cid:durableId="484322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15"/>
    <w:rsid w:val="0000358C"/>
    <w:rsid w:val="00051FDC"/>
    <w:rsid w:val="000B60A4"/>
    <w:rsid w:val="000C1C88"/>
    <w:rsid w:val="000F2EE6"/>
    <w:rsid w:val="00126A45"/>
    <w:rsid w:val="001430BB"/>
    <w:rsid w:val="00157A83"/>
    <w:rsid w:val="001A0A72"/>
    <w:rsid w:val="00245264"/>
    <w:rsid w:val="00297614"/>
    <w:rsid w:val="002B7AA0"/>
    <w:rsid w:val="002F2E48"/>
    <w:rsid w:val="00316295"/>
    <w:rsid w:val="003324B6"/>
    <w:rsid w:val="00337C6D"/>
    <w:rsid w:val="00371F31"/>
    <w:rsid w:val="003C41B7"/>
    <w:rsid w:val="003D2C5D"/>
    <w:rsid w:val="003D6946"/>
    <w:rsid w:val="00403626"/>
    <w:rsid w:val="00424CCF"/>
    <w:rsid w:val="004645D7"/>
    <w:rsid w:val="004A3038"/>
    <w:rsid w:val="004E15E7"/>
    <w:rsid w:val="004F3E84"/>
    <w:rsid w:val="00530173"/>
    <w:rsid w:val="005331DE"/>
    <w:rsid w:val="00565731"/>
    <w:rsid w:val="005D328C"/>
    <w:rsid w:val="005D3426"/>
    <w:rsid w:val="005D3DDA"/>
    <w:rsid w:val="005F35D9"/>
    <w:rsid w:val="00663862"/>
    <w:rsid w:val="006C2BC4"/>
    <w:rsid w:val="007323A5"/>
    <w:rsid w:val="00747ADF"/>
    <w:rsid w:val="007A248D"/>
    <w:rsid w:val="007C05AC"/>
    <w:rsid w:val="007C1137"/>
    <w:rsid w:val="007D75D7"/>
    <w:rsid w:val="007F0165"/>
    <w:rsid w:val="007F7AAE"/>
    <w:rsid w:val="00827BAD"/>
    <w:rsid w:val="00867495"/>
    <w:rsid w:val="008A4D7C"/>
    <w:rsid w:val="008E1BD3"/>
    <w:rsid w:val="008F3D61"/>
    <w:rsid w:val="0093170B"/>
    <w:rsid w:val="00954D39"/>
    <w:rsid w:val="00970FA7"/>
    <w:rsid w:val="00A35EEE"/>
    <w:rsid w:val="00A5614C"/>
    <w:rsid w:val="00AB6EB4"/>
    <w:rsid w:val="00AC0F82"/>
    <w:rsid w:val="00AC163E"/>
    <w:rsid w:val="00B12633"/>
    <w:rsid w:val="00B34B05"/>
    <w:rsid w:val="00B61F70"/>
    <w:rsid w:val="00BC4A4F"/>
    <w:rsid w:val="00BD4C7F"/>
    <w:rsid w:val="00BF5B62"/>
    <w:rsid w:val="00C02C63"/>
    <w:rsid w:val="00C14515"/>
    <w:rsid w:val="00C57210"/>
    <w:rsid w:val="00C57A5D"/>
    <w:rsid w:val="00CB4793"/>
    <w:rsid w:val="00CE3EDD"/>
    <w:rsid w:val="00D638FF"/>
    <w:rsid w:val="00D9447E"/>
    <w:rsid w:val="00DA416E"/>
    <w:rsid w:val="00DA54B3"/>
    <w:rsid w:val="00DC641C"/>
    <w:rsid w:val="00E00ADF"/>
    <w:rsid w:val="00E204E1"/>
    <w:rsid w:val="00E26FCB"/>
    <w:rsid w:val="00EA3F83"/>
    <w:rsid w:val="00F5100C"/>
    <w:rsid w:val="00F55CDB"/>
    <w:rsid w:val="00F6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758A"/>
  <w15:chartTrackingRefBased/>
  <w15:docId w15:val="{2199B780-35CB-2749-8679-6A1BA0E9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5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57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14515"/>
    <w:pPr>
      <w:widowControl w:val="0"/>
      <w:autoSpaceDE w:val="0"/>
      <w:autoSpaceDN w:val="0"/>
      <w:spacing w:before="20"/>
      <w:ind w:left="120" w:right="709"/>
    </w:pPr>
    <w:rPr>
      <w:rFonts w:ascii="Calibri" w:eastAsia="Calibri" w:hAnsi="Calibri" w:cs="Calibri"/>
      <w:b/>
      <w:bCs/>
      <w:sz w:val="30"/>
      <w:szCs w:val="30"/>
    </w:rPr>
  </w:style>
  <w:style w:type="character" w:customStyle="1" w:styleId="TitleChar">
    <w:name w:val="Title Char"/>
    <w:basedOn w:val="DefaultParagraphFont"/>
    <w:link w:val="Title"/>
    <w:uiPriority w:val="10"/>
    <w:rsid w:val="00C14515"/>
    <w:rPr>
      <w:rFonts w:ascii="Calibri" w:eastAsia="Calibri" w:hAnsi="Calibri" w:cs="Calibri"/>
      <w:b/>
      <w:bCs/>
      <w:sz w:val="30"/>
      <w:szCs w:val="30"/>
    </w:rPr>
  </w:style>
  <w:style w:type="character" w:customStyle="1" w:styleId="Heading1Char">
    <w:name w:val="Heading 1 Char"/>
    <w:basedOn w:val="DefaultParagraphFont"/>
    <w:link w:val="Heading1"/>
    <w:uiPriority w:val="9"/>
    <w:rsid w:val="00C1451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14515"/>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C14515"/>
    <w:rPr>
      <w:rFonts w:ascii="Calibri" w:eastAsia="Calibri" w:hAnsi="Calibri" w:cs="Calibri"/>
      <w:sz w:val="22"/>
      <w:szCs w:val="22"/>
    </w:rPr>
  </w:style>
  <w:style w:type="paragraph" w:styleId="ListParagraph">
    <w:name w:val="List Paragraph"/>
    <w:basedOn w:val="Normal"/>
    <w:uiPriority w:val="34"/>
    <w:qFormat/>
    <w:rsid w:val="00BC4A4F"/>
    <w:pPr>
      <w:widowControl w:val="0"/>
      <w:autoSpaceDE w:val="0"/>
      <w:autoSpaceDN w:val="0"/>
      <w:ind w:left="839" w:hanging="360"/>
    </w:pPr>
    <w:rPr>
      <w:rFonts w:ascii="Calibri" w:eastAsia="Calibri" w:hAnsi="Calibri" w:cs="Calibri"/>
      <w:sz w:val="22"/>
      <w:szCs w:val="22"/>
    </w:rPr>
  </w:style>
  <w:style w:type="character" w:styleId="Hyperlink">
    <w:name w:val="Hyperlink"/>
    <w:basedOn w:val="DefaultParagraphFont"/>
    <w:uiPriority w:val="99"/>
    <w:unhideWhenUsed/>
    <w:rsid w:val="00BC4A4F"/>
    <w:rPr>
      <w:color w:val="0563C1" w:themeColor="hyperlink"/>
      <w:u w:val="single"/>
    </w:rPr>
  </w:style>
  <w:style w:type="character" w:customStyle="1" w:styleId="Heading2Char">
    <w:name w:val="Heading 2 Char"/>
    <w:basedOn w:val="DefaultParagraphFont"/>
    <w:link w:val="Heading2"/>
    <w:uiPriority w:val="9"/>
    <w:rsid w:val="0056573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D2C5D"/>
    <w:rPr>
      <w:color w:val="605E5C"/>
      <w:shd w:val="clear" w:color="auto" w:fill="E1DFDD"/>
    </w:rPr>
  </w:style>
  <w:style w:type="paragraph" w:styleId="Header">
    <w:name w:val="header"/>
    <w:basedOn w:val="Normal"/>
    <w:link w:val="HeaderChar"/>
    <w:uiPriority w:val="99"/>
    <w:unhideWhenUsed/>
    <w:rsid w:val="004A3038"/>
    <w:pPr>
      <w:tabs>
        <w:tab w:val="center" w:pos="4680"/>
        <w:tab w:val="right" w:pos="9360"/>
      </w:tabs>
    </w:pPr>
  </w:style>
  <w:style w:type="character" w:customStyle="1" w:styleId="HeaderChar">
    <w:name w:val="Header Char"/>
    <w:basedOn w:val="DefaultParagraphFont"/>
    <w:link w:val="Header"/>
    <w:uiPriority w:val="99"/>
    <w:rsid w:val="004A3038"/>
  </w:style>
  <w:style w:type="paragraph" w:styleId="Footer">
    <w:name w:val="footer"/>
    <w:basedOn w:val="Normal"/>
    <w:link w:val="FooterChar"/>
    <w:uiPriority w:val="99"/>
    <w:unhideWhenUsed/>
    <w:rsid w:val="004A3038"/>
    <w:pPr>
      <w:tabs>
        <w:tab w:val="center" w:pos="4680"/>
        <w:tab w:val="right" w:pos="9360"/>
      </w:tabs>
    </w:pPr>
  </w:style>
  <w:style w:type="character" w:customStyle="1" w:styleId="FooterChar">
    <w:name w:val="Footer Char"/>
    <w:basedOn w:val="DefaultParagraphFont"/>
    <w:link w:val="Footer"/>
    <w:uiPriority w:val="99"/>
    <w:rsid w:val="004A3038"/>
  </w:style>
  <w:style w:type="character" w:styleId="FollowedHyperlink">
    <w:name w:val="FollowedHyperlink"/>
    <w:basedOn w:val="DefaultParagraphFont"/>
    <w:uiPriority w:val="99"/>
    <w:semiHidden/>
    <w:unhideWhenUsed/>
    <w:rsid w:val="00A35EEE"/>
    <w:rPr>
      <w:color w:val="954F72" w:themeColor="followedHyperlink"/>
      <w:u w:val="single"/>
    </w:rPr>
  </w:style>
  <w:style w:type="character" w:styleId="CommentReference">
    <w:name w:val="annotation reference"/>
    <w:basedOn w:val="DefaultParagraphFont"/>
    <w:uiPriority w:val="99"/>
    <w:semiHidden/>
    <w:unhideWhenUsed/>
    <w:rsid w:val="00C02C63"/>
    <w:rPr>
      <w:sz w:val="16"/>
      <w:szCs w:val="16"/>
    </w:rPr>
  </w:style>
  <w:style w:type="paragraph" w:styleId="CommentText">
    <w:name w:val="annotation text"/>
    <w:basedOn w:val="Normal"/>
    <w:link w:val="CommentTextChar"/>
    <w:uiPriority w:val="99"/>
    <w:unhideWhenUsed/>
    <w:rsid w:val="00C02C63"/>
    <w:rPr>
      <w:sz w:val="20"/>
      <w:szCs w:val="20"/>
    </w:rPr>
  </w:style>
  <w:style w:type="character" w:customStyle="1" w:styleId="CommentTextChar">
    <w:name w:val="Comment Text Char"/>
    <w:basedOn w:val="DefaultParagraphFont"/>
    <w:link w:val="CommentText"/>
    <w:uiPriority w:val="99"/>
    <w:rsid w:val="00C02C63"/>
    <w:rPr>
      <w:sz w:val="20"/>
      <w:szCs w:val="20"/>
    </w:rPr>
  </w:style>
  <w:style w:type="paragraph" w:styleId="CommentSubject">
    <w:name w:val="annotation subject"/>
    <w:basedOn w:val="CommentText"/>
    <w:next w:val="CommentText"/>
    <w:link w:val="CommentSubjectChar"/>
    <w:uiPriority w:val="99"/>
    <w:semiHidden/>
    <w:unhideWhenUsed/>
    <w:rsid w:val="00C02C63"/>
    <w:rPr>
      <w:b/>
      <w:bCs/>
    </w:rPr>
  </w:style>
  <w:style w:type="character" w:customStyle="1" w:styleId="CommentSubjectChar">
    <w:name w:val="Comment Subject Char"/>
    <w:basedOn w:val="CommentTextChar"/>
    <w:link w:val="CommentSubject"/>
    <w:uiPriority w:val="99"/>
    <w:semiHidden/>
    <w:rsid w:val="00C02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g.ca.gov/sites/default/files/documents/2022-03/Affirmatively_Furthering_Fair_Housing_Policy_Tips_Memo.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cd.ca.gov/docs/planning-and-community-development/sb9factsheet.pdf" TargetMode="External"/><Relationship Id="rId4" Type="http://schemas.openxmlformats.org/officeDocument/2006/relationships/settings" Target="settings.xml"/><Relationship Id="rId9" Type="http://schemas.openxmlformats.org/officeDocument/2006/relationships/hyperlink" Target="https://www.hcd.ca.gov/community-development/housing-element/docs/sites_inventory_memo_final06102020.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717D-E638-4359-B334-E3BC78D4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peninger</dc:creator>
  <cp:keywords/>
  <dc:description/>
  <cp:lastModifiedBy>Heather Peters</cp:lastModifiedBy>
  <cp:revision>2</cp:revision>
  <dcterms:created xsi:type="dcterms:W3CDTF">2022-04-21T22:12:00Z</dcterms:created>
  <dcterms:modified xsi:type="dcterms:W3CDTF">2022-04-21T22:12:00Z</dcterms:modified>
</cp:coreProperties>
</file>