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6257D" w14:textId="77777777" w:rsidR="00E51ED6" w:rsidRPr="00987510" w:rsidRDefault="00440CAA" w:rsidP="00734681">
      <w:pPr>
        <w:pStyle w:val="SOPHeading1"/>
      </w:pPr>
      <w:r w:rsidRPr="00987510">
        <w:t>OBJECTIVE</w:t>
      </w:r>
    </w:p>
    <w:p w14:paraId="7088E5CD" w14:textId="2700D024" w:rsidR="003737D4" w:rsidRPr="00885C11" w:rsidRDefault="00E51ED6" w:rsidP="00044963">
      <w:pPr>
        <w:pStyle w:val="SOPBody"/>
        <w:widowControl w:val="0"/>
      </w:pPr>
      <w:r w:rsidRPr="00885C11">
        <w:t xml:space="preserve">The purpose of this </w:t>
      </w:r>
      <w:r w:rsidR="00E7389A">
        <w:t>Standard Operating Procedure is to</w:t>
      </w:r>
      <w:r w:rsidR="007128CB">
        <w:t xml:space="preserve"> </w:t>
      </w:r>
      <w:r w:rsidR="0015236B" w:rsidRPr="0015236B">
        <w:t>describe the process for</w:t>
      </w:r>
      <w:r w:rsidR="00E7389A">
        <w:t xml:space="preserve"> preparation, conduct, and follow-up of regulatory authority inspections associated with [Company] studies or products.</w:t>
      </w:r>
    </w:p>
    <w:p w14:paraId="4EE4EEEB" w14:textId="17ED4712" w:rsidR="0083286B" w:rsidRDefault="00B77CDF" w:rsidP="00734681">
      <w:pPr>
        <w:pStyle w:val="SOPHeading1"/>
        <w:rPr>
          <w:rStyle w:val="Heading2Char"/>
          <w:rFonts w:asciiTheme="minorHAnsi" w:eastAsia="Calibri" w:hAnsiTheme="minorHAnsi"/>
          <w:b/>
          <w:iCs w:val="0"/>
          <w:szCs w:val="24"/>
        </w:rPr>
      </w:pPr>
      <w:r w:rsidRPr="00987510">
        <w:rPr>
          <w:rStyle w:val="Heading2Char"/>
          <w:rFonts w:asciiTheme="minorHAnsi" w:eastAsia="Calibri" w:hAnsiTheme="minorHAnsi"/>
          <w:b/>
          <w:iCs w:val="0"/>
          <w:szCs w:val="24"/>
        </w:rPr>
        <w:t>SCOP</w:t>
      </w:r>
      <w:r w:rsidR="0015236B">
        <w:rPr>
          <w:rStyle w:val="Heading2Char"/>
          <w:rFonts w:asciiTheme="minorHAnsi" w:eastAsia="Calibri" w:hAnsiTheme="minorHAnsi"/>
          <w:b/>
          <w:iCs w:val="0"/>
          <w:szCs w:val="24"/>
        </w:rPr>
        <w:t>E</w:t>
      </w:r>
    </w:p>
    <w:p w14:paraId="294D4EF2" w14:textId="504802ED" w:rsidR="0015236B" w:rsidRPr="0015236B" w:rsidRDefault="00E7389A" w:rsidP="0015236B">
      <w:pPr>
        <w:pStyle w:val="SOPBody"/>
        <w:rPr>
          <w:rStyle w:val="Heading2Char"/>
          <w:rFonts w:asciiTheme="minorHAnsi" w:eastAsia="Calibri" w:hAnsiTheme="minorHAnsi"/>
          <w:b w:val="0"/>
          <w:iCs w:val="0"/>
          <w:szCs w:val="24"/>
        </w:rPr>
      </w:pPr>
      <w:r>
        <w:rPr>
          <w:rStyle w:val="Heading2Char"/>
          <w:rFonts w:asciiTheme="minorHAnsi" w:eastAsia="Calibri" w:hAnsiTheme="minorHAnsi"/>
          <w:b w:val="0"/>
          <w:iCs w:val="0"/>
          <w:szCs w:val="24"/>
        </w:rPr>
        <w:t xml:space="preserve">Sections 6.1 – </w:t>
      </w:r>
      <w:r w:rsidR="00644B57">
        <w:rPr>
          <w:rStyle w:val="Heading2Char"/>
          <w:rFonts w:asciiTheme="minorHAnsi" w:eastAsia="Calibri" w:hAnsiTheme="minorHAnsi"/>
          <w:b w:val="0"/>
          <w:iCs w:val="0"/>
          <w:szCs w:val="24"/>
        </w:rPr>
        <w:t>6.1</w:t>
      </w:r>
      <w:r>
        <w:rPr>
          <w:rStyle w:val="Heading2Char"/>
          <w:rFonts w:asciiTheme="minorHAnsi" w:eastAsia="Calibri" w:hAnsiTheme="minorHAnsi"/>
          <w:b w:val="0"/>
          <w:iCs w:val="0"/>
          <w:szCs w:val="24"/>
        </w:rPr>
        <w:t xml:space="preserve"> below</w:t>
      </w:r>
      <w:r w:rsidR="0015236B" w:rsidRPr="0015236B">
        <w:rPr>
          <w:rStyle w:val="Heading2Char"/>
          <w:rFonts w:asciiTheme="minorHAnsi" w:eastAsia="Calibri" w:hAnsiTheme="minorHAnsi"/>
          <w:b w:val="0"/>
          <w:iCs w:val="0"/>
          <w:szCs w:val="24"/>
        </w:rPr>
        <w:t xml:space="preserve"> appl</w:t>
      </w:r>
      <w:r>
        <w:rPr>
          <w:rStyle w:val="Heading2Char"/>
          <w:rFonts w:asciiTheme="minorHAnsi" w:eastAsia="Calibri" w:hAnsiTheme="minorHAnsi"/>
          <w:b w:val="0"/>
          <w:iCs w:val="0"/>
          <w:szCs w:val="24"/>
        </w:rPr>
        <w:t>y</w:t>
      </w:r>
      <w:r w:rsidR="0015236B" w:rsidRPr="0015236B">
        <w:rPr>
          <w:rStyle w:val="Heading2Char"/>
          <w:rFonts w:asciiTheme="minorHAnsi" w:eastAsia="Calibri" w:hAnsiTheme="minorHAnsi"/>
          <w:b w:val="0"/>
          <w:iCs w:val="0"/>
          <w:szCs w:val="24"/>
        </w:rPr>
        <w:t xml:space="preserve"> to </w:t>
      </w:r>
      <w:r>
        <w:rPr>
          <w:rStyle w:val="Heading2Char"/>
          <w:rFonts w:asciiTheme="minorHAnsi" w:eastAsia="Calibri" w:hAnsiTheme="minorHAnsi"/>
          <w:b w:val="0"/>
          <w:iCs w:val="0"/>
          <w:szCs w:val="24"/>
          <w:lang w:val="en-US"/>
        </w:rPr>
        <w:t>any regulatory authority inspection conducted at a [Company] facility.  Section 6.</w:t>
      </w:r>
      <w:r w:rsidR="00644B57">
        <w:rPr>
          <w:rStyle w:val="Heading2Char"/>
          <w:rFonts w:asciiTheme="minorHAnsi" w:eastAsia="Calibri" w:hAnsiTheme="minorHAnsi"/>
          <w:b w:val="0"/>
          <w:iCs w:val="0"/>
          <w:szCs w:val="24"/>
          <w:lang w:val="en-US"/>
        </w:rPr>
        <w:t>5</w:t>
      </w:r>
      <w:r>
        <w:rPr>
          <w:rStyle w:val="Heading2Char"/>
          <w:rFonts w:asciiTheme="minorHAnsi" w:eastAsia="Calibri" w:hAnsiTheme="minorHAnsi"/>
          <w:b w:val="0"/>
          <w:iCs w:val="0"/>
          <w:szCs w:val="24"/>
          <w:lang w:val="en-US"/>
        </w:rPr>
        <w:t xml:space="preserve"> applies to any regulatory authority inspection associated with any [Company] product, program, or study conducted at a</w:t>
      </w:r>
      <w:r w:rsidR="00644B57">
        <w:rPr>
          <w:rStyle w:val="Heading2Char"/>
          <w:rFonts w:asciiTheme="minorHAnsi" w:eastAsia="Calibri" w:hAnsiTheme="minorHAnsi"/>
          <w:b w:val="0"/>
          <w:iCs w:val="0"/>
          <w:szCs w:val="24"/>
          <w:lang w:val="en-US"/>
        </w:rPr>
        <w:t xml:space="preserve"> third-party facility (e.g., </w:t>
      </w:r>
      <w:r>
        <w:rPr>
          <w:rStyle w:val="Heading2Char"/>
          <w:rFonts w:asciiTheme="minorHAnsi" w:eastAsia="Calibri" w:hAnsiTheme="minorHAnsi"/>
          <w:b w:val="0"/>
          <w:iCs w:val="0"/>
          <w:szCs w:val="24"/>
          <w:lang w:val="en-US"/>
        </w:rPr>
        <w:t>investigative site or vendor facility</w:t>
      </w:r>
      <w:r w:rsidR="00644B57">
        <w:rPr>
          <w:rStyle w:val="Heading2Char"/>
          <w:rFonts w:asciiTheme="minorHAnsi" w:eastAsia="Calibri" w:hAnsiTheme="minorHAnsi"/>
          <w:b w:val="0"/>
          <w:iCs w:val="0"/>
          <w:szCs w:val="24"/>
          <w:lang w:val="en-US"/>
        </w:rPr>
        <w:t>)</w:t>
      </w:r>
      <w:r w:rsidR="0015236B" w:rsidRPr="0015236B">
        <w:rPr>
          <w:rStyle w:val="Heading2Char"/>
          <w:rFonts w:asciiTheme="minorHAnsi" w:eastAsia="Calibri" w:hAnsiTheme="minorHAnsi"/>
          <w:b w:val="0"/>
          <w:iCs w:val="0"/>
          <w:szCs w:val="24"/>
        </w:rPr>
        <w:t xml:space="preserve">.  </w:t>
      </w:r>
    </w:p>
    <w:p w14:paraId="286B92ED" w14:textId="77777777" w:rsidR="00987510" w:rsidRDefault="00987510" w:rsidP="00734681">
      <w:pPr>
        <w:pStyle w:val="SOPHeading1"/>
      </w:pPr>
      <w:r w:rsidRPr="00987510">
        <w:t>Definitions</w:t>
      </w:r>
    </w:p>
    <w:tbl>
      <w:tblPr>
        <w:tblStyle w:val="TableGrid"/>
        <w:tblW w:w="0" w:type="auto"/>
        <w:tblInd w:w="792" w:type="dxa"/>
        <w:tblLook w:val="04A0" w:firstRow="1" w:lastRow="0" w:firstColumn="1" w:lastColumn="0" w:noHBand="0" w:noVBand="1"/>
      </w:tblPr>
      <w:tblGrid>
        <w:gridCol w:w="2843"/>
        <w:gridCol w:w="5360"/>
      </w:tblGrid>
      <w:tr w:rsidR="0015236B" w14:paraId="53B8A860" w14:textId="77777777" w:rsidTr="0015236B">
        <w:tc>
          <w:tcPr>
            <w:tcW w:w="2843" w:type="dxa"/>
          </w:tcPr>
          <w:p w14:paraId="3BD4E16E" w14:textId="43A4006F" w:rsidR="0015236B" w:rsidRPr="0015236B" w:rsidRDefault="0015236B" w:rsidP="0015236B">
            <w:pPr>
              <w:pStyle w:val="SOPBody"/>
            </w:pPr>
            <w:r w:rsidRPr="0015236B">
              <w:t>Term</w:t>
            </w:r>
          </w:p>
        </w:tc>
        <w:tc>
          <w:tcPr>
            <w:tcW w:w="5360" w:type="dxa"/>
          </w:tcPr>
          <w:p w14:paraId="70D9199E" w14:textId="43415711" w:rsidR="0015236B" w:rsidRPr="0015236B" w:rsidRDefault="0015236B" w:rsidP="0015236B">
            <w:pPr>
              <w:pStyle w:val="SOPBody"/>
            </w:pPr>
            <w:r w:rsidRPr="0015236B">
              <w:t>Definition</w:t>
            </w:r>
          </w:p>
        </w:tc>
      </w:tr>
      <w:tr w:rsidR="00644B57" w14:paraId="165E43EB" w14:textId="77777777" w:rsidTr="003054D3">
        <w:tc>
          <w:tcPr>
            <w:tcW w:w="2843" w:type="dxa"/>
          </w:tcPr>
          <w:p w14:paraId="658341E5" w14:textId="77777777" w:rsidR="00644B57" w:rsidRDefault="00644B57" w:rsidP="003054D3">
            <w:pPr>
              <w:pStyle w:val="SOPBody"/>
            </w:pPr>
            <w:r>
              <w:t>Inspection Readiness and Management System (IRMS)</w:t>
            </w:r>
          </w:p>
        </w:tc>
        <w:tc>
          <w:tcPr>
            <w:tcW w:w="5360" w:type="dxa"/>
          </w:tcPr>
          <w:p w14:paraId="7783CD0C" w14:textId="77777777" w:rsidR="00644B57" w:rsidRDefault="00644B57" w:rsidP="003054D3">
            <w:pPr>
              <w:pStyle w:val="SOPBody"/>
            </w:pPr>
            <w:r>
              <w:t>Platform used to generate and fulfill inspection requests and hold other information, such as storyboards, used by inspection teams to prepare for and conduct inspections.</w:t>
            </w:r>
          </w:p>
        </w:tc>
      </w:tr>
      <w:tr w:rsidR="00644B57" w14:paraId="27C49CD8" w14:textId="77777777" w:rsidTr="003054D3">
        <w:tc>
          <w:tcPr>
            <w:tcW w:w="2843" w:type="dxa"/>
          </w:tcPr>
          <w:p w14:paraId="396039E8" w14:textId="77777777" w:rsidR="00644B57" w:rsidRPr="0015236B" w:rsidRDefault="00644B57" w:rsidP="003054D3">
            <w:pPr>
              <w:pStyle w:val="SOPBody"/>
            </w:pPr>
            <w:r>
              <w:t>Inspection Team</w:t>
            </w:r>
          </w:p>
        </w:tc>
        <w:tc>
          <w:tcPr>
            <w:tcW w:w="5360" w:type="dxa"/>
          </w:tcPr>
          <w:p w14:paraId="3B9A4137" w14:textId="77777777" w:rsidR="00644B57" w:rsidRPr="0015236B" w:rsidRDefault="00644B57" w:rsidP="003054D3">
            <w:pPr>
              <w:pStyle w:val="SOPBody"/>
            </w:pPr>
            <w:r>
              <w:t>Personnel who facilitate an inspection and fulfill inspection requests, including the Host, Communicator, Assigner, Subject-Matter Experts, Reviewers, Scribe, and other support staff.</w:t>
            </w:r>
          </w:p>
        </w:tc>
      </w:tr>
      <w:tr w:rsidR="0015236B" w14:paraId="59B01B87" w14:textId="77777777" w:rsidTr="0015236B">
        <w:tc>
          <w:tcPr>
            <w:tcW w:w="2843" w:type="dxa"/>
          </w:tcPr>
          <w:p w14:paraId="6E204CF4" w14:textId="039256E0" w:rsidR="0015236B" w:rsidRPr="0015236B" w:rsidRDefault="00E7389A" w:rsidP="0015236B">
            <w:pPr>
              <w:pStyle w:val="SOPBody"/>
            </w:pPr>
            <w:r>
              <w:t>Inspector</w:t>
            </w:r>
          </w:p>
        </w:tc>
        <w:tc>
          <w:tcPr>
            <w:tcW w:w="5360" w:type="dxa"/>
          </w:tcPr>
          <w:p w14:paraId="683523ED" w14:textId="0DE61399" w:rsidR="0015236B" w:rsidRPr="0015236B" w:rsidRDefault="00E7389A" w:rsidP="0015236B">
            <w:pPr>
              <w:pStyle w:val="SOPBody"/>
            </w:pPr>
            <w:r>
              <w:t>Regulatory authority lead who conducts a regulatory inspection. In the US, personnel who conduct inspections are sometimes called “investigators.”</w:t>
            </w:r>
          </w:p>
        </w:tc>
      </w:tr>
    </w:tbl>
    <w:p w14:paraId="41F04C10" w14:textId="7EC281ED" w:rsidR="005C432D" w:rsidRPr="00987510" w:rsidRDefault="005C432D" w:rsidP="0015236B">
      <w:pPr>
        <w:pStyle w:val="SOPHeading2"/>
        <w:numPr>
          <w:ilvl w:val="0"/>
          <w:numId w:val="0"/>
        </w:numPr>
        <w:ind w:left="792" w:hanging="432"/>
      </w:pPr>
    </w:p>
    <w:p w14:paraId="3AA2E3F8" w14:textId="77777777" w:rsidR="00987510" w:rsidRDefault="00987510" w:rsidP="00734681">
      <w:pPr>
        <w:pStyle w:val="SOPHeading1"/>
      </w:pPr>
      <w:r w:rsidRPr="00987510">
        <w:t>Responsibilities</w:t>
      </w:r>
    </w:p>
    <w:p w14:paraId="161078FD" w14:textId="528E8F13" w:rsidR="005C432D" w:rsidRPr="00987510" w:rsidRDefault="00E84606" w:rsidP="00734681">
      <w:pPr>
        <w:pStyle w:val="SOPBody"/>
      </w:pPr>
      <w:r>
        <w:t>Responsible roles for tasks are</w:t>
      </w:r>
      <w:r w:rsidR="007B12E8">
        <w:t xml:space="preserve"> described in the Procedure section, below</w:t>
      </w:r>
      <w:r w:rsidR="00D70F1F">
        <w:t>.</w:t>
      </w:r>
      <w:r w:rsidR="007128CB">
        <w:t xml:space="preserve">  </w:t>
      </w:r>
      <w:r w:rsidR="007B12E8">
        <w:t xml:space="preserve">Tasks may be delegated to a qualified resource, but the role named remains accountable for completion. </w:t>
      </w:r>
    </w:p>
    <w:p w14:paraId="10FE37DD" w14:textId="77777777" w:rsidR="000D6585" w:rsidRDefault="00440CAA" w:rsidP="00734681">
      <w:pPr>
        <w:pStyle w:val="SOPHeading1"/>
      </w:pPr>
      <w:r w:rsidRPr="00987510">
        <w:lastRenderedPageBreak/>
        <w:t>REFERENCES</w:t>
      </w:r>
      <w:r w:rsidR="007A5570">
        <w:t xml:space="preserve"> </w:t>
      </w:r>
    </w:p>
    <w:p w14:paraId="54EACD3F" w14:textId="6F42D3D2" w:rsidR="00D70F1F" w:rsidRPr="00644B57" w:rsidRDefault="00644B57" w:rsidP="00734681">
      <w:pPr>
        <w:pStyle w:val="SOPHeading2"/>
        <w:rPr>
          <w:b w:val="0"/>
          <w:bCs w:val="0"/>
        </w:rPr>
      </w:pPr>
      <w:r w:rsidRPr="00644B57">
        <w:rPr>
          <w:b w:val="0"/>
          <w:bCs w:val="0"/>
        </w:rPr>
        <w:t>SOP</w:t>
      </w:r>
      <w:proofErr w:type="gramStart"/>
      <w:r w:rsidRPr="00644B57">
        <w:rPr>
          <w:b w:val="0"/>
          <w:bCs w:val="0"/>
        </w:rPr>
        <w:t>-</w:t>
      </w:r>
      <w:r>
        <w:rPr>
          <w:b w:val="0"/>
          <w:bCs w:val="0"/>
        </w:rPr>
        <w:t>[</w:t>
      </w:r>
      <w:proofErr w:type="gramEnd"/>
      <w:r w:rsidRPr="00644B57">
        <w:rPr>
          <w:b w:val="0"/>
          <w:bCs w:val="0"/>
          <w:highlight w:val="yellow"/>
        </w:rPr>
        <w:t>X Company Deviation and CAPA SOPs</w:t>
      </w:r>
      <w:r>
        <w:rPr>
          <w:b w:val="0"/>
          <w:bCs w:val="0"/>
        </w:rPr>
        <w:t>]</w:t>
      </w:r>
    </w:p>
    <w:p w14:paraId="55C734FF" w14:textId="77777777" w:rsidR="00987510" w:rsidRPr="00987510" w:rsidRDefault="00E51ED6" w:rsidP="00734681">
      <w:pPr>
        <w:pStyle w:val="SOPHeading1"/>
      </w:pPr>
      <w:r w:rsidRPr="00987510">
        <w:t>PROCEDURE</w:t>
      </w:r>
    </w:p>
    <w:p w14:paraId="380DA70E" w14:textId="33E51B39" w:rsidR="00A32A27" w:rsidRDefault="00A47374" w:rsidP="00734681">
      <w:pPr>
        <w:pStyle w:val="SOPHeading2"/>
      </w:pPr>
      <w:r>
        <w:t>[</w:t>
      </w:r>
      <w:r w:rsidRPr="00644B57">
        <w:rPr>
          <w:highlight w:val="yellow"/>
        </w:rPr>
        <w:t>Company</w:t>
      </w:r>
      <w:r>
        <w:t xml:space="preserve">] Inspections: </w:t>
      </w:r>
      <w:r w:rsidR="00E7389A">
        <w:t>Inspection Preparation</w:t>
      </w:r>
    </w:p>
    <w:tbl>
      <w:tblPr>
        <w:tblStyle w:val="TableGrid"/>
        <w:tblW w:w="0" w:type="auto"/>
        <w:tblInd w:w="355" w:type="dxa"/>
        <w:tblLook w:val="04A0" w:firstRow="1" w:lastRow="0" w:firstColumn="1" w:lastColumn="0" w:noHBand="0" w:noVBand="1"/>
      </w:tblPr>
      <w:tblGrid>
        <w:gridCol w:w="2340"/>
        <w:gridCol w:w="6390"/>
      </w:tblGrid>
      <w:tr w:rsidR="007B12E8" w14:paraId="30830613" w14:textId="77777777" w:rsidTr="00D70F1F">
        <w:trPr>
          <w:trHeight w:val="359"/>
          <w:tblHeader/>
        </w:trPr>
        <w:tc>
          <w:tcPr>
            <w:tcW w:w="2340" w:type="dxa"/>
          </w:tcPr>
          <w:p w14:paraId="53EE30D5" w14:textId="33F3557C" w:rsidR="007B12E8" w:rsidRPr="00D70F1F" w:rsidRDefault="007B12E8" w:rsidP="00734681">
            <w:pPr>
              <w:pStyle w:val="TableHeading"/>
            </w:pPr>
            <w:r w:rsidRPr="00D70F1F">
              <w:t>Role</w:t>
            </w:r>
          </w:p>
        </w:tc>
        <w:tc>
          <w:tcPr>
            <w:tcW w:w="6390" w:type="dxa"/>
          </w:tcPr>
          <w:p w14:paraId="73D43F08" w14:textId="32A67D3D" w:rsidR="007B12E8" w:rsidRPr="00D70F1F" w:rsidRDefault="007B12E8" w:rsidP="00734681">
            <w:pPr>
              <w:pStyle w:val="TableHeading"/>
            </w:pPr>
            <w:r w:rsidRPr="00D70F1F">
              <w:t>Step</w:t>
            </w:r>
          </w:p>
        </w:tc>
      </w:tr>
      <w:tr w:rsidR="007B12E8" w14:paraId="6791E8A5" w14:textId="77777777" w:rsidTr="00D70F1F">
        <w:tc>
          <w:tcPr>
            <w:tcW w:w="2340" w:type="dxa"/>
          </w:tcPr>
          <w:p w14:paraId="2D8CDD99" w14:textId="1ACC2427" w:rsidR="007B12E8" w:rsidRPr="00734681" w:rsidRDefault="008022AE" w:rsidP="00734681">
            <w:pPr>
              <w:rPr>
                <w:szCs w:val="22"/>
              </w:rPr>
            </w:pPr>
            <w:r>
              <w:rPr>
                <w:szCs w:val="22"/>
              </w:rPr>
              <w:t>Quality Assurance Lead</w:t>
            </w:r>
          </w:p>
        </w:tc>
        <w:tc>
          <w:tcPr>
            <w:tcW w:w="6390" w:type="dxa"/>
          </w:tcPr>
          <w:p w14:paraId="3A016236" w14:textId="71CD4D53" w:rsidR="00E7389A" w:rsidRDefault="00A47374" w:rsidP="00E7389A">
            <w:pPr>
              <w:pStyle w:val="SOPNumbering"/>
              <w:numPr>
                <w:ilvl w:val="0"/>
                <w:numId w:val="49"/>
              </w:numPr>
              <w:contextualSpacing w:val="0"/>
            </w:pPr>
            <w:r>
              <w:t>U</w:t>
            </w:r>
            <w:r w:rsidR="00E7389A">
              <w:t xml:space="preserve">nder conditions in which the risk of an inspection is elevated, </w:t>
            </w:r>
          </w:p>
          <w:p w14:paraId="75EC06F2" w14:textId="68A2EB42" w:rsidR="007B12E8" w:rsidRDefault="00E7389A" w:rsidP="00E7389A">
            <w:pPr>
              <w:pStyle w:val="SOPNumbering"/>
              <w:numPr>
                <w:ilvl w:val="1"/>
                <w:numId w:val="49"/>
              </w:numPr>
              <w:contextualSpacing w:val="0"/>
            </w:pPr>
            <w:r>
              <w:t xml:space="preserve">Oversee development of an inspection plan, including identification of inspection team roles, responsibilities, and personnel; </w:t>
            </w:r>
            <w:r w:rsidR="00A47374">
              <w:t xml:space="preserve">set-up of Inspection Readiness and Management System (IRMS); </w:t>
            </w:r>
            <w:r>
              <w:t xml:space="preserve">set-up of inspection rooms; processes for document retrieval; and timeline for preparatory activities, including quality control reviews, audits, review of prior internal audit reports and regulatory authority inspection reports, interview practice, and (if appropriate and time permitting) mock inspection. </w:t>
            </w:r>
          </w:p>
          <w:p w14:paraId="101DF021" w14:textId="2979CD19" w:rsidR="00E7389A" w:rsidRPr="00D70F1F" w:rsidRDefault="00E7389A" w:rsidP="00E7389A">
            <w:pPr>
              <w:pStyle w:val="SOPNumbering"/>
              <w:numPr>
                <w:ilvl w:val="1"/>
                <w:numId w:val="49"/>
              </w:numPr>
              <w:contextualSpacing w:val="0"/>
            </w:pPr>
            <w:r>
              <w:t>Work with functions to be inspected and vendors who will support inspection to facilitate preparatory activities per inspection plan.</w:t>
            </w:r>
          </w:p>
        </w:tc>
      </w:tr>
      <w:tr w:rsidR="00A47374" w14:paraId="5295434A" w14:textId="77777777" w:rsidTr="00D70F1F">
        <w:tc>
          <w:tcPr>
            <w:tcW w:w="2340" w:type="dxa"/>
          </w:tcPr>
          <w:p w14:paraId="7A03D4B9" w14:textId="19A1534C" w:rsidR="00A47374" w:rsidRDefault="00A47374" w:rsidP="00734681">
            <w:r>
              <w:t>Quality Assurance Lead</w:t>
            </w:r>
          </w:p>
        </w:tc>
        <w:tc>
          <w:tcPr>
            <w:tcW w:w="6390" w:type="dxa"/>
          </w:tcPr>
          <w:p w14:paraId="1BDE7E24" w14:textId="4E86B4D9" w:rsidR="00A47374" w:rsidRDefault="00A47374" w:rsidP="00E7389A">
            <w:pPr>
              <w:pStyle w:val="SOPNumbering"/>
              <w:numPr>
                <w:ilvl w:val="0"/>
                <w:numId w:val="49"/>
              </w:numPr>
            </w:pPr>
            <w:r>
              <w:t>Upon notification of an announced inspection, communicate with inspector to ascertain inspection scope, inspector’s preferred method of document sharing, and pre-inspection requests, if any.</w:t>
            </w:r>
          </w:p>
          <w:p w14:paraId="0004C8BA" w14:textId="6C1C67A2" w:rsidR="00A47374" w:rsidRDefault="00A47374" w:rsidP="00E7389A">
            <w:pPr>
              <w:pStyle w:val="SOPNumbering"/>
              <w:numPr>
                <w:ilvl w:val="0"/>
                <w:numId w:val="49"/>
              </w:numPr>
            </w:pPr>
            <w:r>
              <w:t>Work with inspection team to generate and fulfill any pre-inspection requests in the Inspection Readiness and Management System (IRMS).</w:t>
            </w:r>
          </w:p>
        </w:tc>
      </w:tr>
    </w:tbl>
    <w:p w14:paraId="4F1159AE" w14:textId="4203C5F1" w:rsidR="00B8126F" w:rsidRDefault="00A47374" w:rsidP="00734681">
      <w:pPr>
        <w:pStyle w:val="SOPHeading2"/>
      </w:pPr>
      <w:r>
        <w:lastRenderedPageBreak/>
        <w:t>[</w:t>
      </w:r>
      <w:r w:rsidRPr="00644B57">
        <w:rPr>
          <w:highlight w:val="yellow"/>
        </w:rPr>
        <w:t>Company</w:t>
      </w:r>
      <w:r>
        <w:t xml:space="preserve">] Inspections: </w:t>
      </w:r>
      <w:r w:rsidR="00E7389A">
        <w:t>Receiving Inspector at [Company]</w:t>
      </w:r>
    </w:p>
    <w:tbl>
      <w:tblPr>
        <w:tblStyle w:val="TableGrid"/>
        <w:tblW w:w="0" w:type="auto"/>
        <w:tblInd w:w="355" w:type="dxa"/>
        <w:tblLook w:val="04A0" w:firstRow="1" w:lastRow="0" w:firstColumn="1" w:lastColumn="0" w:noHBand="0" w:noVBand="1"/>
      </w:tblPr>
      <w:tblGrid>
        <w:gridCol w:w="2340"/>
        <w:gridCol w:w="6390"/>
      </w:tblGrid>
      <w:tr w:rsidR="00B8126F" w14:paraId="65E815D2" w14:textId="77777777" w:rsidTr="00F66AF2">
        <w:trPr>
          <w:trHeight w:val="359"/>
          <w:tblHeader/>
        </w:trPr>
        <w:tc>
          <w:tcPr>
            <w:tcW w:w="2340" w:type="dxa"/>
          </w:tcPr>
          <w:p w14:paraId="67AA4E90" w14:textId="77777777" w:rsidR="00B8126F" w:rsidRPr="00D70F1F" w:rsidRDefault="00B8126F" w:rsidP="00734681">
            <w:pPr>
              <w:pStyle w:val="TableHeading"/>
            </w:pPr>
            <w:r w:rsidRPr="00D70F1F">
              <w:t>Role</w:t>
            </w:r>
          </w:p>
        </w:tc>
        <w:tc>
          <w:tcPr>
            <w:tcW w:w="6390" w:type="dxa"/>
          </w:tcPr>
          <w:p w14:paraId="0B94C8CD" w14:textId="77777777" w:rsidR="00B8126F" w:rsidRPr="00D70F1F" w:rsidRDefault="00B8126F" w:rsidP="00734681">
            <w:pPr>
              <w:pStyle w:val="TableHeading"/>
            </w:pPr>
            <w:r w:rsidRPr="00D70F1F">
              <w:t>Step</w:t>
            </w:r>
          </w:p>
        </w:tc>
      </w:tr>
      <w:tr w:rsidR="00B8126F" w14:paraId="4B084C6A" w14:textId="77777777" w:rsidTr="00F66AF2">
        <w:tc>
          <w:tcPr>
            <w:tcW w:w="2340" w:type="dxa"/>
          </w:tcPr>
          <w:p w14:paraId="1399FFB8" w14:textId="1F721B05" w:rsidR="00B8126F" w:rsidRPr="00734681" w:rsidRDefault="00E7389A" w:rsidP="00734681">
            <w:r>
              <w:t>Reception</w:t>
            </w:r>
          </w:p>
        </w:tc>
        <w:tc>
          <w:tcPr>
            <w:tcW w:w="6390" w:type="dxa"/>
          </w:tcPr>
          <w:p w14:paraId="5295EFBB" w14:textId="25CD81B9" w:rsidR="00B8126F" w:rsidRDefault="00E7389A" w:rsidP="008022AE">
            <w:pPr>
              <w:pStyle w:val="SOPNumbering"/>
              <w:numPr>
                <w:ilvl w:val="0"/>
                <w:numId w:val="50"/>
              </w:numPr>
            </w:pPr>
            <w:r>
              <w:t>Upon arrival of regulatory authority inspector, perform the following tasks:</w:t>
            </w:r>
          </w:p>
          <w:p w14:paraId="5E9445B9" w14:textId="57F66182" w:rsidR="00E7389A" w:rsidRDefault="00E7389A" w:rsidP="008022AE">
            <w:pPr>
              <w:pStyle w:val="SOPNumbering"/>
              <w:numPr>
                <w:ilvl w:val="1"/>
                <w:numId w:val="50"/>
              </w:numPr>
            </w:pPr>
            <w:r>
              <w:t>Ensure the inspector has signed the site register.</w:t>
            </w:r>
          </w:p>
          <w:p w14:paraId="184A14DE" w14:textId="1AA32382" w:rsidR="00E7389A" w:rsidRDefault="00E7389A" w:rsidP="008022AE">
            <w:pPr>
              <w:pStyle w:val="SOPNumbering"/>
              <w:numPr>
                <w:ilvl w:val="1"/>
                <w:numId w:val="50"/>
              </w:numPr>
            </w:pPr>
            <w:r>
              <w:t>Notif</w:t>
            </w:r>
            <w:r w:rsidR="00A47374">
              <w:t>y</w:t>
            </w:r>
            <w:r>
              <w:t xml:space="preserve"> the Host of the inspector’s arrival. </w:t>
            </w:r>
          </w:p>
          <w:p w14:paraId="444408C8" w14:textId="00D329B5" w:rsidR="008022AE" w:rsidRDefault="00E7389A" w:rsidP="00E7389A">
            <w:pPr>
              <w:pStyle w:val="SOPNumbering"/>
              <w:numPr>
                <w:ilvl w:val="2"/>
                <w:numId w:val="50"/>
              </w:numPr>
            </w:pPr>
            <w:r>
              <w:t>For unannounced inspection, notify the Head of Quality Assurance and then the personnel on the call list in the order described in the inspection plan or, alternatively, notify the Head of Quality Assurance and then the members of the Executive Team.  The most senior person available determines who will fulfill the role of Host.</w:t>
            </w:r>
          </w:p>
          <w:p w14:paraId="5CA59877" w14:textId="4908E359" w:rsidR="008022AE" w:rsidRDefault="00E7389A" w:rsidP="008022AE">
            <w:pPr>
              <w:pStyle w:val="SOPNumbering"/>
              <w:numPr>
                <w:ilvl w:val="1"/>
                <w:numId w:val="50"/>
              </w:numPr>
            </w:pPr>
            <w:r>
              <w:t>Retain inspector in the reception area until the Host or designee arrives to escort them.</w:t>
            </w:r>
          </w:p>
          <w:p w14:paraId="1D05A09D" w14:textId="3811EA77" w:rsidR="00E7389A" w:rsidRDefault="00E7389A" w:rsidP="008022AE">
            <w:pPr>
              <w:pStyle w:val="SOPNumbering"/>
              <w:numPr>
                <w:ilvl w:val="1"/>
                <w:numId w:val="50"/>
              </w:numPr>
            </w:pPr>
            <w:r>
              <w:t>Notify all staff of the inspector’s arrival.</w:t>
            </w:r>
          </w:p>
          <w:p w14:paraId="15F3F4F0" w14:textId="1267031F" w:rsidR="008022AE" w:rsidRPr="00D70F1F" w:rsidRDefault="00E7389A" w:rsidP="00E7389A">
            <w:pPr>
              <w:pStyle w:val="SOPNumbering"/>
              <w:numPr>
                <w:ilvl w:val="1"/>
                <w:numId w:val="50"/>
              </w:numPr>
            </w:pPr>
            <w:r>
              <w:t>Do not review or sign any documentation presented by the inspector.</w:t>
            </w:r>
          </w:p>
        </w:tc>
      </w:tr>
      <w:tr w:rsidR="00B8126F" w14:paraId="35F82ED7" w14:textId="77777777" w:rsidTr="00F66AF2">
        <w:tc>
          <w:tcPr>
            <w:tcW w:w="2340" w:type="dxa"/>
          </w:tcPr>
          <w:p w14:paraId="18686550" w14:textId="32FA1362" w:rsidR="00B8126F" w:rsidRPr="00734681" w:rsidRDefault="00E7389A" w:rsidP="00734681">
            <w:r>
              <w:t>Host</w:t>
            </w:r>
          </w:p>
        </w:tc>
        <w:tc>
          <w:tcPr>
            <w:tcW w:w="6390" w:type="dxa"/>
          </w:tcPr>
          <w:p w14:paraId="0A3DF1DF" w14:textId="77777777" w:rsidR="00B8126F" w:rsidRDefault="00E7389A" w:rsidP="008022AE">
            <w:pPr>
              <w:pStyle w:val="ListParagraph"/>
              <w:numPr>
                <w:ilvl w:val="0"/>
                <w:numId w:val="50"/>
              </w:numPr>
              <w:rPr>
                <w:rFonts w:asciiTheme="minorHAnsi" w:hAnsiTheme="minorHAnsi" w:cs="Arial"/>
                <w:color w:val="000000"/>
                <w:szCs w:val="24"/>
              </w:rPr>
            </w:pPr>
            <w:r>
              <w:rPr>
                <w:rFonts w:asciiTheme="minorHAnsi" w:hAnsiTheme="minorHAnsi" w:cs="Arial"/>
                <w:color w:val="000000"/>
                <w:szCs w:val="24"/>
              </w:rPr>
              <w:t>Greet the inspector and review their credentials.</w:t>
            </w:r>
          </w:p>
          <w:p w14:paraId="37A66E4F" w14:textId="77777777" w:rsidR="00E7389A" w:rsidRDefault="00E7389A" w:rsidP="008022AE">
            <w:pPr>
              <w:pStyle w:val="ListParagraph"/>
              <w:numPr>
                <w:ilvl w:val="0"/>
                <w:numId w:val="50"/>
              </w:numPr>
              <w:rPr>
                <w:rFonts w:asciiTheme="minorHAnsi" w:hAnsiTheme="minorHAnsi" w:cs="Arial"/>
                <w:color w:val="000000"/>
                <w:szCs w:val="24"/>
              </w:rPr>
            </w:pPr>
            <w:r>
              <w:rPr>
                <w:rFonts w:asciiTheme="minorHAnsi" w:hAnsiTheme="minorHAnsi" w:cs="Arial"/>
                <w:color w:val="000000"/>
                <w:szCs w:val="24"/>
              </w:rPr>
              <w:t xml:space="preserve">Escort the inspector to a secure conference </w:t>
            </w:r>
            <w:r w:rsidR="00A47374">
              <w:rPr>
                <w:rFonts w:asciiTheme="minorHAnsi" w:hAnsiTheme="minorHAnsi" w:cs="Arial"/>
                <w:color w:val="000000"/>
                <w:szCs w:val="24"/>
              </w:rPr>
              <w:t>room.</w:t>
            </w:r>
          </w:p>
          <w:p w14:paraId="2E5B5F01" w14:textId="77777777" w:rsidR="00A47374" w:rsidRDefault="00A47374" w:rsidP="008022AE">
            <w:pPr>
              <w:pStyle w:val="ListParagraph"/>
              <w:numPr>
                <w:ilvl w:val="0"/>
                <w:numId w:val="50"/>
              </w:numPr>
              <w:rPr>
                <w:rFonts w:asciiTheme="minorHAnsi" w:hAnsiTheme="minorHAnsi" w:cs="Arial"/>
                <w:color w:val="000000"/>
                <w:szCs w:val="24"/>
              </w:rPr>
            </w:pPr>
            <w:r>
              <w:rPr>
                <w:rFonts w:asciiTheme="minorHAnsi" w:hAnsiTheme="minorHAnsi" w:cs="Arial"/>
                <w:color w:val="000000"/>
                <w:szCs w:val="24"/>
              </w:rPr>
              <w:t>Confirm the scope of the inspection.  For FDA inspections, obtain a copy of the FDA Form 482 (Notice of Inspection).</w:t>
            </w:r>
          </w:p>
          <w:p w14:paraId="66DAA1FB" w14:textId="77777777" w:rsidR="00A47374" w:rsidRDefault="00A47374" w:rsidP="008022AE">
            <w:pPr>
              <w:pStyle w:val="ListParagraph"/>
              <w:numPr>
                <w:ilvl w:val="0"/>
                <w:numId w:val="50"/>
              </w:numPr>
              <w:rPr>
                <w:rFonts w:asciiTheme="minorHAnsi" w:hAnsiTheme="minorHAnsi" w:cs="Arial"/>
                <w:color w:val="000000"/>
                <w:szCs w:val="24"/>
              </w:rPr>
            </w:pPr>
            <w:r>
              <w:rPr>
                <w:rFonts w:asciiTheme="minorHAnsi" w:hAnsiTheme="minorHAnsi" w:cs="Arial"/>
                <w:color w:val="000000"/>
                <w:szCs w:val="24"/>
              </w:rPr>
              <w:t>If the inspection was not previously announced,</w:t>
            </w:r>
          </w:p>
          <w:p w14:paraId="358DF121" w14:textId="77777777" w:rsidR="00A47374" w:rsidRDefault="00A47374" w:rsidP="00A47374">
            <w:pPr>
              <w:pStyle w:val="ListParagraph"/>
              <w:numPr>
                <w:ilvl w:val="1"/>
                <w:numId w:val="50"/>
              </w:numPr>
              <w:rPr>
                <w:rFonts w:asciiTheme="minorHAnsi" w:hAnsiTheme="minorHAnsi" w:cs="Arial"/>
                <w:color w:val="000000"/>
                <w:szCs w:val="24"/>
              </w:rPr>
            </w:pPr>
            <w:r>
              <w:rPr>
                <w:rFonts w:asciiTheme="minorHAnsi" w:hAnsiTheme="minorHAnsi" w:cs="Arial"/>
                <w:color w:val="000000"/>
                <w:szCs w:val="24"/>
              </w:rPr>
              <w:t>Assemble the appropriate Inspection Team to best address the inspection scope.</w:t>
            </w:r>
          </w:p>
          <w:p w14:paraId="780369A1" w14:textId="0B271CF8" w:rsidR="00A47374" w:rsidRPr="008022AE" w:rsidRDefault="00A47374" w:rsidP="00A47374">
            <w:pPr>
              <w:pStyle w:val="ListParagraph"/>
              <w:numPr>
                <w:ilvl w:val="1"/>
                <w:numId w:val="50"/>
              </w:numPr>
              <w:rPr>
                <w:rFonts w:asciiTheme="minorHAnsi" w:hAnsiTheme="minorHAnsi" w:cs="Arial"/>
                <w:color w:val="000000"/>
                <w:szCs w:val="24"/>
              </w:rPr>
            </w:pPr>
            <w:r>
              <w:rPr>
                <w:rFonts w:asciiTheme="minorHAnsi" w:hAnsiTheme="minorHAnsi" w:cs="Arial"/>
                <w:color w:val="000000"/>
                <w:szCs w:val="24"/>
              </w:rPr>
              <w:t>Instruct the inspection team to obtain and review relevant related internal audit reports and previous regulatory authority inspection reports to identify potential issues that may be addressed.</w:t>
            </w:r>
          </w:p>
        </w:tc>
      </w:tr>
    </w:tbl>
    <w:p w14:paraId="5BA77410" w14:textId="77777777" w:rsidR="00B8126F" w:rsidRDefault="00B8126F" w:rsidP="00734681"/>
    <w:p w14:paraId="421C6E24" w14:textId="60EBFBF8" w:rsidR="00B8126F" w:rsidRDefault="00A47374" w:rsidP="00734681">
      <w:pPr>
        <w:pStyle w:val="SOPHeading2"/>
      </w:pPr>
      <w:r>
        <w:lastRenderedPageBreak/>
        <w:t>[</w:t>
      </w:r>
      <w:r w:rsidRPr="00644B57">
        <w:rPr>
          <w:highlight w:val="yellow"/>
        </w:rPr>
        <w:t>Company</w:t>
      </w:r>
      <w:r>
        <w:t>] Inspections:  Hosting the Inspection</w:t>
      </w:r>
    </w:p>
    <w:tbl>
      <w:tblPr>
        <w:tblStyle w:val="TableGrid"/>
        <w:tblW w:w="0" w:type="auto"/>
        <w:tblInd w:w="355" w:type="dxa"/>
        <w:tblLook w:val="04A0" w:firstRow="1" w:lastRow="0" w:firstColumn="1" w:lastColumn="0" w:noHBand="0" w:noVBand="1"/>
      </w:tblPr>
      <w:tblGrid>
        <w:gridCol w:w="2340"/>
        <w:gridCol w:w="6390"/>
      </w:tblGrid>
      <w:tr w:rsidR="00B8126F" w14:paraId="12F68241" w14:textId="77777777" w:rsidTr="00F66AF2">
        <w:trPr>
          <w:trHeight w:val="359"/>
          <w:tblHeader/>
        </w:trPr>
        <w:tc>
          <w:tcPr>
            <w:tcW w:w="2340" w:type="dxa"/>
          </w:tcPr>
          <w:p w14:paraId="57BA3D3C" w14:textId="77777777" w:rsidR="00B8126F" w:rsidRPr="00D70F1F" w:rsidRDefault="00B8126F" w:rsidP="00734681">
            <w:pPr>
              <w:pStyle w:val="TableHeading"/>
            </w:pPr>
            <w:r w:rsidRPr="00D70F1F">
              <w:t>Role</w:t>
            </w:r>
          </w:p>
        </w:tc>
        <w:tc>
          <w:tcPr>
            <w:tcW w:w="6390" w:type="dxa"/>
          </w:tcPr>
          <w:p w14:paraId="1ECBFEB1" w14:textId="77777777" w:rsidR="00B8126F" w:rsidRPr="00D70F1F" w:rsidRDefault="00B8126F" w:rsidP="00734681">
            <w:pPr>
              <w:pStyle w:val="TableHeading"/>
            </w:pPr>
            <w:r w:rsidRPr="00D70F1F">
              <w:t>Step</w:t>
            </w:r>
          </w:p>
        </w:tc>
      </w:tr>
      <w:tr w:rsidR="00B8126F" w14:paraId="5AAC892D" w14:textId="77777777" w:rsidTr="00F66AF2">
        <w:tc>
          <w:tcPr>
            <w:tcW w:w="2340" w:type="dxa"/>
          </w:tcPr>
          <w:p w14:paraId="15EFA2B3" w14:textId="40AB3CF5" w:rsidR="00B8126F" w:rsidRPr="00734681" w:rsidRDefault="00A47374" w:rsidP="00734681">
            <w:r>
              <w:t>Host</w:t>
            </w:r>
          </w:p>
        </w:tc>
        <w:tc>
          <w:tcPr>
            <w:tcW w:w="6390" w:type="dxa"/>
          </w:tcPr>
          <w:p w14:paraId="4A783CBB" w14:textId="77777777" w:rsidR="00B8126F" w:rsidRDefault="00A47374" w:rsidP="008022AE">
            <w:pPr>
              <w:pStyle w:val="SOPNumbering"/>
              <w:numPr>
                <w:ilvl w:val="0"/>
                <w:numId w:val="52"/>
              </w:numPr>
              <w:contextualSpacing w:val="0"/>
            </w:pPr>
            <w:r>
              <w:t>Facilitate the inspection as follows:</w:t>
            </w:r>
          </w:p>
          <w:p w14:paraId="4175BDB6" w14:textId="77777777" w:rsidR="00A47374" w:rsidRDefault="00A47374" w:rsidP="00A47374">
            <w:pPr>
              <w:pStyle w:val="SOPNumbering"/>
              <w:numPr>
                <w:ilvl w:val="1"/>
                <w:numId w:val="52"/>
              </w:numPr>
              <w:contextualSpacing w:val="0"/>
            </w:pPr>
            <w:r>
              <w:t>Designate a Communicator to capture inspection requests.</w:t>
            </w:r>
          </w:p>
          <w:p w14:paraId="5BFF83DB" w14:textId="77777777" w:rsidR="00A47374" w:rsidRDefault="00A47374" w:rsidP="00A47374">
            <w:pPr>
              <w:pStyle w:val="SOPNumbering"/>
              <w:numPr>
                <w:ilvl w:val="1"/>
                <w:numId w:val="52"/>
              </w:numPr>
              <w:contextualSpacing w:val="0"/>
            </w:pPr>
            <w:r>
              <w:t>Designate an Assigner to assign requests to appropriate Subject Matter Experts.</w:t>
            </w:r>
          </w:p>
          <w:p w14:paraId="3DC8B3DF" w14:textId="77777777" w:rsidR="00A47374" w:rsidRDefault="00A47374" w:rsidP="00A47374">
            <w:pPr>
              <w:pStyle w:val="SOPNumbering"/>
              <w:numPr>
                <w:ilvl w:val="1"/>
                <w:numId w:val="52"/>
              </w:numPr>
              <w:contextualSpacing w:val="0"/>
            </w:pPr>
            <w:r>
              <w:t>Designate Subject Matter Experts to respond to requests related to various functional areas.</w:t>
            </w:r>
          </w:p>
          <w:p w14:paraId="4F2C801B" w14:textId="77777777" w:rsidR="00A47374" w:rsidRDefault="00A47374" w:rsidP="00A47374">
            <w:pPr>
              <w:pStyle w:val="SOPNumbering"/>
              <w:numPr>
                <w:ilvl w:val="1"/>
                <w:numId w:val="52"/>
              </w:numPr>
              <w:contextualSpacing w:val="0"/>
            </w:pPr>
            <w:r>
              <w:t>Designate Reviewers to review each response for adherence to Good Documentation Practice and relevance to the request.</w:t>
            </w:r>
          </w:p>
          <w:p w14:paraId="1BCD4F12" w14:textId="1E8F8042" w:rsidR="0007263C" w:rsidRDefault="0007263C" w:rsidP="00A47374">
            <w:pPr>
              <w:pStyle w:val="SOPNumbering"/>
              <w:numPr>
                <w:ilvl w:val="1"/>
                <w:numId w:val="52"/>
              </w:numPr>
              <w:contextualSpacing w:val="0"/>
            </w:pPr>
            <w:r>
              <w:t>Designate a Scribe to take notes on discussion topics.</w:t>
            </w:r>
          </w:p>
          <w:p w14:paraId="4F6579AD" w14:textId="77777777" w:rsidR="00A47374" w:rsidRDefault="00A47374" w:rsidP="00A47374">
            <w:pPr>
              <w:pStyle w:val="SOPNumbering"/>
              <w:numPr>
                <w:ilvl w:val="1"/>
                <w:numId w:val="52"/>
              </w:numPr>
              <w:contextualSpacing w:val="0"/>
            </w:pPr>
            <w:r>
              <w:t>Ensure that the inspector is escorted by a [Company] representative within the [Company] offices.</w:t>
            </w:r>
          </w:p>
          <w:p w14:paraId="3614919A" w14:textId="77777777" w:rsidR="00A47374" w:rsidRDefault="00A47374" w:rsidP="00A47374">
            <w:pPr>
              <w:pStyle w:val="SOPNumbering"/>
              <w:numPr>
                <w:ilvl w:val="1"/>
                <w:numId w:val="52"/>
              </w:numPr>
              <w:contextualSpacing w:val="0"/>
            </w:pPr>
            <w:r>
              <w:t>Facilitate a site tour, if requested.</w:t>
            </w:r>
          </w:p>
          <w:p w14:paraId="48669EB1" w14:textId="77777777" w:rsidR="00A47374" w:rsidRDefault="00A47374" w:rsidP="00A47374">
            <w:pPr>
              <w:pStyle w:val="SOPNumbering"/>
              <w:numPr>
                <w:ilvl w:val="1"/>
                <w:numId w:val="52"/>
              </w:numPr>
              <w:contextualSpacing w:val="0"/>
            </w:pPr>
            <w:r>
              <w:t>Facilitate interviews with appropriate Subject Matter Experts.</w:t>
            </w:r>
          </w:p>
          <w:p w14:paraId="3E38DFAF" w14:textId="24B36C4F" w:rsidR="0007263C" w:rsidRDefault="0007263C" w:rsidP="00A47374">
            <w:pPr>
              <w:pStyle w:val="SOPNumbering"/>
              <w:numPr>
                <w:ilvl w:val="1"/>
                <w:numId w:val="52"/>
              </w:numPr>
              <w:contextualSpacing w:val="0"/>
            </w:pPr>
            <w:r>
              <w:t>Facilitate inspector access to electronic systems, if requested and if access can be restricted to the inspection scope; if access cannot be restricted to inspection scope, work with inspector and Legal on an alternative to fulfill inspection requests.</w:t>
            </w:r>
          </w:p>
          <w:p w14:paraId="77346E8E" w14:textId="77777777" w:rsidR="00A47374" w:rsidRDefault="00A47374" w:rsidP="00A47374">
            <w:pPr>
              <w:pStyle w:val="SOPNumbering"/>
              <w:numPr>
                <w:ilvl w:val="1"/>
                <w:numId w:val="52"/>
              </w:numPr>
              <w:contextualSpacing w:val="0"/>
            </w:pPr>
            <w:r>
              <w:t xml:space="preserve">If the inspector requests company financial records or personnel files (other than qualifications or job descriptions), or if the inspector asks any employee or contractor to review or sign an affidavit, obtain Legal counsel before taking further action. </w:t>
            </w:r>
          </w:p>
          <w:p w14:paraId="1B9D930C" w14:textId="77777777" w:rsidR="0007263C" w:rsidRDefault="0007263C" w:rsidP="00A47374">
            <w:pPr>
              <w:pStyle w:val="SOPNumbering"/>
              <w:numPr>
                <w:ilvl w:val="1"/>
                <w:numId w:val="52"/>
              </w:numPr>
              <w:contextualSpacing w:val="0"/>
            </w:pPr>
            <w:r>
              <w:t>Request a debrief from the inspector at the end of each day.</w:t>
            </w:r>
          </w:p>
          <w:p w14:paraId="4CE0C038" w14:textId="77777777" w:rsidR="0007263C" w:rsidRDefault="0007263C" w:rsidP="00A47374">
            <w:pPr>
              <w:pStyle w:val="SOPNumbering"/>
              <w:numPr>
                <w:ilvl w:val="1"/>
                <w:numId w:val="52"/>
              </w:numPr>
              <w:contextualSpacing w:val="0"/>
            </w:pPr>
            <w:r>
              <w:lastRenderedPageBreak/>
              <w:t>Provide a daily summary to senior management and other relevant functional heads.</w:t>
            </w:r>
          </w:p>
          <w:p w14:paraId="25417184" w14:textId="358122B2" w:rsidR="0007263C" w:rsidRPr="00D70F1F" w:rsidRDefault="0007263C" w:rsidP="00A47374">
            <w:pPr>
              <w:pStyle w:val="SOPNumbering"/>
              <w:numPr>
                <w:ilvl w:val="1"/>
                <w:numId w:val="52"/>
              </w:numPr>
              <w:contextualSpacing w:val="0"/>
            </w:pPr>
            <w:r>
              <w:t xml:space="preserve">Facilitate the closing meeting with the inspector and receive any inspection output and/or observations. </w:t>
            </w:r>
          </w:p>
        </w:tc>
      </w:tr>
      <w:tr w:rsidR="00B8126F" w14:paraId="21C6F7C7" w14:textId="77777777" w:rsidTr="00F66AF2">
        <w:tc>
          <w:tcPr>
            <w:tcW w:w="2340" w:type="dxa"/>
          </w:tcPr>
          <w:p w14:paraId="28177457" w14:textId="2AD79B31" w:rsidR="00B8126F" w:rsidRPr="00734681" w:rsidRDefault="0007263C" w:rsidP="00734681">
            <w:r>
              <w:lastRenderedPageBreak/>
              <w:t>Inspection Team</w:t>
            </w:r>
          </w:p>
        </w:tc>
        <w:tc>
          <w:tcPr>
            <w:tcW w:w="6390" w:type="dxa"/>
          </w:tcPr>
          <w:p w14:paraId="26D70426" w14:textId="709CDBDB" w:rsidR="008022AE" w:rsidRPr="00D70F1F" w:rsidRDefault="0007263C" w:rsidP="0007263C">
            <w:pPr>
              <w:pStyle w:val="SOPNumbering"/>
              <w:numPr>
                <w:ilvl w:val="0"/>
                <w:numId w:val="52"/>
              </w:numPr>
            </w:pPr>
            <w:r>
              <w:t xml:space="preserve">Maintain all inspection-related requests, responses, and communications within the IRMS unless otherwise directed by the inspection plan. </w:t>
            </w:r>
          </w:p>
        </w:tc>
      </w:tr>
    </w:tbl>
    <w:p w14:paraId="4BCE11A9" w14:textId="77777777" w:rsidR="00B8126F" w:rsidRDefault="00B8126F" w:rsidP="00734681"/>
    <w:p w14:paraId="2C1116CA" w14:textId="27F815C9" w:rsidR="00A47374" w:rsidRDefault="00A47374" w:rsidP="00A47374">
      <w:pPr>
        <w:pStyle w:val="SOPHeading2"/>
      </w:pPr>
      <w:r>
        <w:t>[</w:t>
      </w:r>
      <w:r w:rsidRPr="00644B57">
        <w:rPr>
          <w:highlight w:val="yellow"/>
        </w:rPr>
        <w:t>Company</w:t>
      </w:r>
      <w:r>
        <w:t xml:space="preserve">] Inspections:  </w:t>
      </w:r>
      <w:r>
        <w:t>Inspection Follow-Up</w:t>
      </w:r>
    </w:p>
    <w:tbl>
      <w:tblPr>
        <w:tblStyle w:val="TableGrid"/>
        <w:tblW w:w="0" w:type="auto"/>
        <w:tblInd w:w="355" w:type="dxa"/>
        <w:tblLook w:val="04A0" w:firstRow="1" w:lastRow="0" w:firstColumn="1" w:lastColumn="0" w:noHBand="0" w:noVBand="1"/>
      </w:tblPr>
      <w:tblGrid>
        <w:gridCol w:w="2340"/>
        <w:gridCol w:w="6390"/>
      </w:tblGrid>
      <w:tr w:rsidR="00B8126F" w14:paraId="4EAA00E7" w14:textId="77777777" w:rsidTr="00F66AF2">
        <w:trPr>
          <w:trHeight w:val="359"/>
          <w:tblHeader/>
        </w:trPr>
        <w:tc>
          <w:tcPr>
            <w:tcW w:w="2340" w:type="dxa"/>
          </w:tcPr>
          <w:p w14:paraId="7B3A1F8D" w14:textId="77777777" w:rsidR="00B8126F" w:rsidRPr="00D70F1F" w:rsidRDefault="00B8126F" w:rsidP="00734681">
            <w:pPr>
              <w:pStyle w:val="TableHeading"/>
            </w:pPr>
            <w:r w:rsidRPr="00D70F1F">
              <w:t>Role</w:t>
            </w:r>
          </w:p>
        </w:tc>
        <w:tc>
          <w:tcPr>
            <w:tcW w:w="6390" w:type="dxa"/>
          </w:tcPr>
          <w:p w14:paraId="7FD94E9E" w14:textId="77777777" w:rsidR="00B8126F" w:rsidRPr="00D70F1F" w:rsidRDefault="00B8126F" w:rsidP="00734681">
            <w:pPr>
              <w:pStyle w:val="TableHeading"/>
            </w:pPr>
            <w:r w:rsidRPr="00D70F1F">
              <w:t>Step</w:t>
            </w:r>
          </w:p>
        </w:tc>
      </w:tr>
      <w:tr w:rsidR="00B8126F" w14:paraId="59C8C059" w14:textId="77777777" w:rsidTr="00F66AF2">
        <w:tc>
          <w:tcPr>
            <w:tcW w:w="2340" w:type="dxa"/>
          </w:tcPr>
          <w:p w14:paraId="6AF18158" w14:textId="175ED791" w:rsidR="00B8126F" w:rsidRPr="00734681" w:rsidRDefault="00814F32" w:rsidP="00734681">
            <w:r>
              <w:t>Host</w:t>
            </w:r>
          </w:p>
        </w:tc>
        <w:tc>
          <w:tcPr>
            <w:tcW w:w="6390" w:type="dxa"/>
          </w:tcPr>
          <w:p w14:paraId="0301E23A" w14:textId="77777777" w:rsidR="00847075" w:rsidRDefault="00814F32" w:rsidP="00814F32">
            <w:pPr>
              <w:pStyle w:val="SOPNumbering"/>
              <w:numPr>
                <w:ilvl w:val="0"/>
                <w:numId w:val="53"/>
              </w:numPr>
            </w:pPr>
            <w:r>
              <w:t>Conduct a final debrief meeting with the inspection team to review inspection output, observations, and feedback on the inspection process.</w:t>
            </w:r>
          </w:p>
          <w:p w14:paraId="27F94658" w14:textId="77777777" w:rsidR="00814F32" w:rsidRDefault="00814F32" w:rsidP="00814F32">
            <w:pPr>
              <w:pStyle w:val="SOPNumbering"/>
              <w:numPr>
                <w:ilvl w:val="0"/>
                <w:numId w:val="53"/>
              </w:numPr>
            </w:pPr>
            <w:r>
              <w:t>Work with Functional Heads to facilitate a written response to observations and/or final inspection report.</w:t>
            </w:r>
          </w:p>
          <w:p w14:paraId="0D50FB74" w14:textId="15209DDA" w:rsidR="00814F32" w:rsidRDefault="00814F32" w:rsidP="00814F32">
            <w:pPr>
              <w:pStyle w:val="SOPNumbering"/>
              <w:numPr>
                <w:ilvl w:val="0"/>
                <w:numId w:val="53"/>
              </w:numPr>
            </w:pPr>
            <w:r>
              <w:t>As needed, generate deviations and CAPAs per SOP-[</w:t>
            </w:r>
            <w:r w:rsidRPr="00814F32">
              <w:rPr>
                <w:highlight w:val="yellow"/>
              </w:rPr>
              <w:t>X</w:t>
            </w:r>
            <w:r>
              <w:t>].</w:t>
            </w:r>
          </w:p>
          <w:p w14:paraId="7330D424" w14:textId="77777777" w:rsidR="00814F32" w:rsidRDefault="00814F32" w:rsidP="00814F32">
            <w:pPr>
              <w:pStyle w:val="SOPNumbering"/>
              <w:numPr>
                <w:ilvl w:val="0"/>
                <w:numId w:val="53"/>
              </w:numPr>
            </w:pPr>
            <w:r>
              <w:t>Lock the inspection in the IRMS, download the following archives from the IRMS, and file them in the Quality Assurance repository:</w:t>
            </w:r>
          </w:p>
          <w:p w14:paraId="118A0823" w14:textId="2129356D" w:rsidR="00814F32" w:rsidRDefault="00814F32" w:rsidP="00814F32">
            <w:pPr>
              <w:pStyle w:val="SOPNumbering"/>
              <w:numPr>
                <w:ilvl w:val="1"/>
                <w:numId w:val="53"/>
              </w:numPr>
            </w:pPr>
            <w:r>
              <w:t>Record of inspection requests</w:t>
            </w:r>
          </w:p>
          <w:p w14:paraId="7766EFC4" w14:textId="77777777" w:rsidR="00814F32" w:rsidRDefault="00814F32" w:rsidP="00814F32">
            <w:pPr>
              <w:pStyle w:val="SOPNumbering"/>
              <w:numPr>
                <w:ilvl w:val="1"/>
                <w:numId w:val="53"/>
              </w:numPr>
            </w:pPr>
            <w:r>
              <w:t>Record of inspection responses</w:t>
            </w:r>
          </w:p>
          <w:p w14:paraId="4309363A" w14:textId="77777777" w:rsidR="00814F32" w:rsidRDefault="00814F32" w:rsidP="00814F32">
            <w:pPr>
              <w:pStyle w:val="SOPNumbering"/>
              <w:numPr>
                <w:ilvl w:val="1"/>
                <w:numId w:val="53"/>
              </w:numPr>
            </w:pPr>
            <w:r>
              <w:t>Copy of all documents provided to the inspector</w:t>
            </w:r>
          </w:p>
          <w:p w14:paraId="53722ADB" w14:textId="77777777" w:rsidR="00814F32" w:rsidRDefault="00814F32" w:rsidP="00814F32">
            <w:pPr>
              <w:pStyle w:val="SOPNumbering"/>
              <w:numPr>
                <w:ilvl w:val="1"/>
                <w:numId w:val="53"/>
              </w:numPr>
            </w:pPr>
            <w:r>
              <w:t>Identification of all documents retained by the inspector</w:t>
            </w:r>
          </w:p>
          <w:p w14:paraId="5DE300F4" w14:textId="77777777" w:rsidR="00814F32" w:rsidRDefault="00814F32" w:rsidP="00814F32">
            <w:pPr>
              <w:pStyle w:val="SOPNumbering"/>
              <w:numPr>
                <w:ilvl w:val="1"/>
                <w:numId w:val="53"/>
              </w:numPr>
            </w:pPr>
            <w:r>
              <w:t>Scribe notes</w:t>
            </w:r>
          </w:p>
          <w:p w14:paraId="242792AB" w14:textId="48A8C5A6" w:rsidR="00814F32" w:rsidRDefault="00814F32" w:rsidP="00814F32">
            <w:pPr>
              <w:pStyle w:val="SOPNumbering"/>
              <w:numPr>
                <w:ilvl w:val="1"/>
                <w:numId w:val="53"/>
              </w:numPr>
            </w:pPr>
            <w:r>
              <w:t>Communications</w:t>
            </w:r>
          </w:p>
          <w:p w14:paraId="5B459143" w14:textId="0DB35B8E" w:rsidR="00814F32" w:rsidRDefault="00814F32" w:rsidP="00814F32">
            <w:pPr>
              <w:pStyle w:val="SOPNumbering"/>
              <w:numPr>
                <w:ilvl w:val="0"/>
                <w:numId w:val="53"/>
              </w:numPr>
            </w:pPr>
            <w:r>
              <w:t>File the following in the Quality Assurance repository:</w:t>
            </w:r>
          </w:p>
          <w:p w14:paraId="42D64A89" w14:textId="77777777" w:rsidR="00814F32" w:rsidRDefault="00814F32" w:rsidP="00814F32">
            <w:pPr>
              <w:pStyle w:val="SOPNumbering"/>
              <w:numPr>
                <w:ilvl w:val="1"/>
                <w:numId w:val="53"/>
              </w:numPr>
            </w:pPr>
            <w:r>
              <w:t>Correspondence with the inspector/regulatory authority concerning the inspection</w:t>
            </w:r>
          </w:p>
          <w:p w14:paraId="43ACEB87" w14:textId="77777777" w:rsidR="00814F32" w:rsidRDefault="00814F32" w:rsidP="00814F32">
            <w:pPr>
              <w:pStyle w:val="SOPNumbering"/>
              <w:numPr>
                <w:ilvl w:val="1"/>
                <w:numId w:val="53"/>
              </w:numPr>
            </w:pPr>
            <w:r>
              <w:t>Observations</w:t>
            </w:r>
          </w:p>
          <w:p w14:paraId="065E7B44" w14:textId="519A186B" w:rsidR="00814F32" w:rsidRDefault="00814F32" w:rsidP="00814F32">
            <w:pPr>
              <w:pStyle w:val="SOPNumbering"/>
              <w:numPr>
                <w:ilvl w:val="1"/>
                <w:numId w:val="53"/>
              </w:numPr>
            </w:pPr>
            <w:r>
              <w:t xml:space="preserve">Inspection Report </w:t>
            </w:r>
          </w:p>
          <w:p w14:paraId="1BB91172" w14:textId="77777777" w:rsidR="00814F32" w:rsidRDefault="00814F32" w:rsidP="00814F32">
            <w:pPr>
              <w:pStyle w:val="SOPNumbering"/>
              <w:numPr>
                <w:ilvl w:val="1"/>
                <w:numId w:val="53"/>
              </w:numPr>
            </w:pPr>
            <w:r>
              <w:t>Observation/report responses</w:t>
            </w:r>
          </w:p>
          <w:p w14:paraId="4DFC0E98" w14:textId="6A49F595" w:rsidR="00814F32" w:rsidRPr="00D70F1F" w:rsidRDefault="00814F32" w:rsidP="00814F32">
            <w:pPr>
              <w:pStyle w:val="SOPNumbering"/>
              <w:numPr>
                <w:ilvl w:val="0"/>
                <w:numId w:val="53"/>
              </w:numPr>
            </w:pPr>
            <w:r>
              <w:lastRenderedPageBreak/>
              <w:t>Confirm that vendors are notified of any product or service-related observations as required by Quality/Technical Agreements</w:t>
            </w:r>
          </w:p>
        </w:tc>
      </w:tr>
    </w:tbl>
    <w:p w14:paraId="57A59595" w14:textId="77777777" w:rsidR="007B12E8" w:rsidRDefault="007B12E8" w:rsidP="00734681"/>
    <w:p w14:paraId="59A58C50" w14:textId="23BFEAD0" w:rsidR="00A47374" w:rsidRDefault="00814F32" w:rsidP="00A47374">
      <w:pPr>
        <w:pStyle w:val="SOPHeading2"/>
      </w:pPr>
      <w:r>
        <w:t>Third Party Inspections</w:t>
      </w:r>
    </w:p>
    <w:tbl>
      <w:tblPr>
        <w:tblStyle w:val="TableGrid"/>
        <w:tblW w:w="0" w:type="auto"/>
        <w:tblInd w:w="355" w:type="dxa"/>
        <w:tblLook w:val="04A0" w:firstRow="1" w:lastRow="0" w:firstColumn="1" w:lastColumn="0" w:noHBand="0" w:noVBand="1"/>
      </w:tblPr>
      <w:tblGrid>
        <w:gridCol w:w="2340"/>
        <w:gridCol w:w="6390"/>
      </w:tblGrid>
      <w:tr w:rsidR="00A47374" w14:paraId="78FA334B" w14:textId="77777777" w:rsidTr="00CA163E">
        <w:trPr>
          <w:trHeight w:val="359"/>
          <w:tblHeader/>
        </w:trPr>
        <w:tc>
          <w:tcPr>
            <w:tcW w:w="2340" w:type="dxa"/>
          </w:tcPr>
          <w:p w14:paraId="3F04B9B8" w14:textId="77777777" w:rsidR="00A47374" w:rsidRPr="00D70F1F" w:rsidRDefault="00A47374" w:rsidP="00CA163E">
            <w:pPr>
              <w:pStyle w:val="TableHeading"/>
            </w:pPr>
            <w:r w:rsidRPr="00D70F1F">
              <w:t>Role</w:t>
            </w:r>
          </w:p>
        </w:tc>
        <w:tc>
          <w:tcPr>
            <w:tcW w:w="6390" w:type="dxa"/>
          </w:tcPr>
          <w:p w14:paraId="3355ADD2" w14:textId="77777777" w:rsidR="00A47374" w:rsidRPr="00D70F1F" w:rsidRDefault="00A47374" w:rsidP="00CA163E">
            <w:pPr>
              <w:pStyle w:val="TableHeading"/>
            </w:pPr>
            <w:r w:rsidRPr="00D70F1F">
              <w:t>Step</w:t>
            </w:r>
          </w:p>
        </w:tc>
      </w:tr>
      <w:tr w:rsidR="00A47374" w14:paraId="594DE8C0" w14:textId="77777777" w:rsidTr="00CA163E">
        <w:tc>
          <w:tcPr>
            <w:tcW w:w="2340" w:type="dxa"/>
          </w:tcPr>
          <w:p w14:paraId="318EB491" w14:textId="5B9263A8" w:rsidR="00A47374" w:rsidRPr="00734681" w:rsidRDefault="00814F32" w:rsidP="00CA163E">
            <w:r>
              <w:t>[</w:t>
            </w:r>
            <w:r w:rsidRPr="00644B57">
              <w:rPr>
                <w:highlight w:val="yellow"/>
              </w:rPr>
              <w:t>Company</w:t>
            </w:r>
            <w:r>
              <w:t>] Representative</w:t>
            </w:r>
          </w:p>
        </w:tc>
        <w:tc>
          <w:tcPr>
            <w:tcW w:w="6390" w:type="dxa"/>
          </w:tcPr>
          <w:p w14:paraId="2475E138" w14:textId="6016015C" w:rsidR="00A47374" w:rsidRPr="00D70F1F" w:rsidRDefault="00814F32" w:rsidP="00814F32">
            <w:pPr>
              <w:pStyle w:val="SOPNumbering"/>
              <w:numPr>
                <w:ilvl w:val="0"/>
                <w:numId w:val="57"/>
              </w:numPr>
            </w:pPr>
            <w:r>
              <w:t>Upon notification of an announced or unannounced regulatory authority inspection of an investigational site or GCP vendor in conjunction with any [Company] product, program, or clinical study, notify the Head of Quality Assurance.</w:t>
            </w:r>
          </w:p>
        </w:tc>
      </w:tr>
      <w:tr w:rsidR="00814F32" w14:paraId="579007E7" w14:textId="77777777" w:rsidTr="00CA163E">
        <w:tc>
          <w:tcPr>
            <w:tcW w:w="2340" w:type="dxa"/>
          </w:tcPr>
          <w:p w14:paraId="643BF8DE" w14:textId="7500D16E" w:rsidR="00814F32" w:rsidRDefault="00814F32" w:rsidP="00CA163E">
            <w:r>
              <w:t>Head of Quality Assurance</w:t>
            </w:r>
          </w:p>
        </w:tc>
        <w:tc>
          <w:tcPr>
            <w:tcW w:w="6390" w:type="dxa"/>
          </w:tcPr>
          <w:p w14:paraId="6BC74ADE" w14:textId="16DB4A27" w:rsidR="00814F32" w:rsidRDefault="00814F32" w:rsidP="00814F32">
            <w:pPr>
              <w:pStyle w:val="SOPNumbering"/>
              <w:numPr>
                <w:ilvl w:val="0"/>
                <w:numId w:val="57"/>
              </w:numPr>
            </w:pPr>
            <w:r>
              <w:t>Assign a Quality Assurance Lead or Functional Lead to support the third-party inspection.</w:t>
            </w:r>
          </w:p>
        </w:tc>
      </w:tr>
      <w:tr w:rsidR="00814F32" w14:paraId="3BBF1C73" w14:textId="77777777" w:rsidTr="00CA163E">
        <w:tc>
          <w:tcPr>
            <w:tcW w:w="2340" w:type="dxa"/>
          </w:tcPr>
          <w:p w14:paraId="75C4019A" w14:textId="545F2921" w:rsidR="00814F32" w:rsidRDefault="00814F32" w:rsidP="00CA163E">
            <w:r>
              <w:t>Quality Assurance Lead or Functional Lead</w:t>
            </w:r>
          </w:p>
        </w:tc>
        <w:tc>
          <w:tcPr>
            <w:tcW w:w="6390" w:type="dxa"/>
          </w:tcPr>
          <w:p w14:paraId="2B9C6EBA" w14:textId="2A879648" w:rsidR="00814F32" w:rsidRDefault="00814F32" w:rsidP="00814F32">
            <w:pPr>
              <w:pStyle w:val="SOPNumbering"/>
              <w:numPr>
                <w:ilvl w:val="0"/>
                <w:numId w:val="57"/>
              </w:numPr>
            </w:pPr>
            <w:r>
              <w:t>Oversee development of an inspection support pl</w:t>
            </w:r>
            <w:r w:rsidR="00A249D2">
              <w:t>an</w:t>
            </w:r>
            <w:r>
              <w:t>, including identification of inspection support team roles, responsibilities, and personnel; inspection support processes; and timeline for preparatory activities.</w:t>
            </w:r>
          </w:p>
          <w:p w14:paraId="7B7E6A40" w14:textId="3351C95A" w:rsidR="00814F32" w:rsidRDefault="00814F32" w:rsidP="00814F32">
            <w:pPr>
              <w:pStyle w:val="SOPNumbering"/>
              <w:numPr>
                <w:ilvl w:val="0"/>
                <w:numId w:val="57"/>
              </w:numPr>
            </w:pPr>
            <w:r>
              <w:t xml:space="preserve">Set up an inspection in the IRMS to handle any requests that </w:t>
            </w:r>
            <w:r w:rsidR="00A249D2">
              <w:t xml:space="preserve">the third party sends to [Company] representatives during the inspection.  </w:t>
            </w:r>
          </w:p>
        </w:tc>
      </w:tr>
      <w:tr w:rsidR="00A249D2" w14:paraId="214D239A" w14:textId="77777777" w:rsidTr="00CA163E">
        <w:tc>
          <w:tcPr>
            <w:tcW w:w="2340" w:type="dxa"/>
          </w:tcPr>
          <w:p w14:paraId="28AC5FA6" w14:textId="22F530AA" w:rsidR="00A249D2" w:rsidRDefault="00A249D2" w:rsidP="00CA163E">
            <w:r>
              <w:t>Inspection Support Team</w:t>
            </w:r>
          </w:p>
        </w:tc>
        <w:tc>
          <w:tcPr>
            <w:tcW w:w="6390" w:type="dxa"/>
          </w:tcPr>
          <w:p w14:paraId="12B4668E" w14:textId="77777777" w:rsidR="00A249D2" w:rsidRDefault="00A249D2" w:rsidP="00814F32">
            <w:pPr>
              <w:pStyle w:val="SOPNumbering"/>
              <w:numPr>
                <w:ilvl w:val="0"/>
                <w:numId w:val="57"/>
              </w:numPr>
            </w:pPr>
            <w:r>
              <w:t>Support the third-party inspection according to the inspection support plan.</w:t>
            </w:r>
          </w:p>
          <w:p w14:paraId="7A81B169" w14:textId="77777777" w:rsidR="00A249D2" w:rsidRDefault="00A249D2" w:rsidP="00814F32">
            <w:pPr>
              <w:pStyle w:val="SOPNumbering"/>
              <w:numPr>
                <w:ilvl w:val="0"/>
                <w:numId w:val="57"/>
              </w:numPr>
            </w:pPr>
            <w:r>
              <w:t>Capture and fulfill requests sent to the Inspection Support Team as described in section 6.3 above, retaining all relevant documentation in the IRMS.</w:t>
            </w:r>
          </w:p>
          <w:p w14:paraId="7EB319BA" w14:textId="77777777" w:rsidR="00A249D2" w:rsidRDefault="00A249D2" w:rsidP="00814F32">
            <w:pPr>
              <w:pStyle w:val="SOPNumbering"/>
              <w:numPr>
                <w:ilvl w:val="0"/>
                <w:numId w:val="57"/>
              </w:numPr>
            </w:pPr>
            <w:r>
              <w:t xml:space="preserve">At the close of the inspection, request a copy of the inspection output and/or observations and confirm timeframes and process for response. </w:t>
            </w:r>
          </w:p>
          <w:p w14:paraId="77DE2C0F" w14:textId="05FB1200" w:rsidR="00A249D2" w:rsidRDefault="00A249D2" w:rsidP="00814F32">
            <w:pPr>
              <w:pStyle w:val="SOPNumbering"/>
              <w:numPr>
                <w:ilvl w:val="0"/>
                <w:numId w:val="57"/>
              </w:numPr>
            </w:pPr>
            <w:r>
              <w:t>Work with the third party to support development of the inspection response, as appropriate.</w:t>
            </w:r>
          </w:p>
        </w:tc>
      </w:tr>
      <w:tr w:rsidR="00A249D2" w14:paraId="706DEF47" w14:textId="77777777" w:rsidTr="00CA163E">
        <w:tc>
          <w:tcPr>
            <w:tcW w:w="2340" w:type="dxa"/>
          </w:tcPr>
          <w:p w14:paraId="06478560" w14:textId="227AADB2" w:rsidR="00A249D2" w:rsidRDefault="00A249D2" w:rsidP="00CA163E">
            <w:r>
              <w:lastRenderedPageBreak/>
              <w:t>Quality Lead</w:t>
            </w:r>
          </w:p>
        </w:tc>
        <w:tc>
          <w:tcPr>
            <w:tcW w:w="6390" w:type="dxa"/>
          </w:tcPr>
          <w:p w14:paraId="21A4E187" w14:textId="43243FBB" w:rsidR="00A249D2" w:rsidRDefault="00A249D2" w:rsidP="00A249D2">
            <w:pPr>
              <w:pStyle w:val="SOPNumbering"/>
              <w:numPr>
                <w:ilvl w:val="0"/>
                <w:numId w:val="57"/>
              </w:numPr>
            </w:pPr>
            <w:r>
              <w:t xml:space="preserve">Conduct a final debrief meeting with the inspection team to review inspection output, observations, and feedback on the inspection </w:t>
            </w:r>
            <w:r>
              <w:t xml:space="preserve">support </w:t>
            </w:r>
            <w:r>
              <w:t>process.</w:t>
            </w:r>
          </w:p>
          <w:p w14:paraId="5EC30A8E" w14:textId="77777777" w:rsidR="00A249D2" w:rsidRDefault="00A249D2" w:rsidP="00A249D2">
            <w:pPr>
              <w:pStyle w:val="SOPNumbering"/>
              <w:numPr>
                <w:ilvl w:val="0"/>
                <w:numId w:val="57"/>
              </w:numPr>
            </w:pPr>
            <w:r>
              <w:t>As needed, generate deviations and CAPAs per SOP-[</w:t>
            </w:r>
            <w:r w:rsidRPr="00814F32">
              <w:rPr>
                <w:highlight w:val="yellow"/>
              </w:rPr>
              <w:t>X</w:t>
            </w:r>
            <w:r>
              <w:t>].</w:t>
            </w:r>
          </w:p>
          <w:p w14:paraId="731C2452" w14:textId="77777777" w:rsidR="00A249D2" w:rsidRDefault="00A249D2" w:rsidP="00A249D2">
            <w:pPr>
              <w:pStyle w:val="SOPNumbering"/>
              <w:numPr>
                <w:ilvl w:val="0"/>
                <w:numId w:val="57"/>
              </w:numPr>
            </w:pPr>
            <w:r>
              <w:t>Lock the inspection in the IRMS, download the following archives from the IRMS, and file them in the Quality Assurance repository:</w:t>
            </w:r>
          </w:p>
          <w:p w14:paraId="19AA51B5" w14:textId="0267DB3C" w:rsidR="00A249D2" w:rsidRDefault="00A249D2" w:rsidP="00A249D2">
            <w:pPr>
              <w:pStyle w:val="SOPNumbering"/>
              <w:numPr>
                <w:ilvl w:val="1"/>
                <w:numId w:val="57"/>
              </w:numPr>
            </w:pPr>
            <w:r>
              <w:t>Record of inspection requests</w:t>
            </w:r>
            <w:r>
              <w:t xml:space="preserve"> to [Company], if any</w:t>
            </w:r>
          </w:p>
          <w:p w14:paraId="360D403B" w14:textId="555E1824" w:rsidR="00A249D2" w:rsidRDefault="00A249D2" w:rsidP="00A249D2">
            <w:pPr>
              <w:pStyle w:val="SOPNumbering"/>
              <w:numPr>
                <w:ilvl w:val="1"/>
                <w:numId w:val="57"/>
              </w:numPr>
            </w:pPr>
            <w:r>
              <w:t>Record of inspection responses</w:t>
            </w:r>
            <w:r>
              <w:t xml:space="preserve"> from [Company], if any</w:t>
            </w:r>
          </w:p>
          <w:p w14:paraId="3565E91B" w14:textId="1E6A0FB7" w:rsidR="00A249D2" w:rsidRDefault="00A249D2" w:rsidP="00A249D2">
            <w:pPr>
              <w:pStyle w:val="SOPNumbering"/>
              <w:numPr>
                <w:ilvl w:val="1"/>
                <w:numId w:val="57"/>
              </w:numPr>
            </w:pPr>
            <w:r>
              <w:t xml:space="preserve">Copy of all documents provided </w:t>
            </w:r>
            <w:r>
              <w:t>in inspection responses by [Company]</w:t>
            </w:r>
          </w:p>
          <w:p w14:paraId="42DD7BDE" w14:textId="77777777" w:rsidR="00A249D2" w:rsidRDefault="00A249D2" w:rsidP="00A249D2">
            <w:pPr>
              <w:pStyle w:val="SOPNumbering"/>
              <w:numPr>
                <w:ilvl w:val="1"/>
                <w:numId w:val="57"/>
              </w:numPr>
            </w:pPr>
            <w:r>
              <w:t>Communications</w:t>
            </w:r>
          </w:p>
          <w:p w14:paraId="45E5BFB3" w14:textId="3B0A4264" w:rsidR="00A249D2" w:rsidRDefault="00A249D2" w:rsidP="00A249D2">
            <w:pPr>
              <w:pStyle w:val="SOPNumbering"/>
              <w:numPr>
                <w:ilvl w:val="0"/>
                <w:numId w:val="57"/>
              </w:numPr>
            </w:pPr>
            <w:r>
              <w:t>File the following in the Quality Assurance repository</w:t>
            </w:r>
            <w:r>
              <w:t>, if provided by third party</w:t>
            </w:r>
            <w:r>
              <w:t>:</w:t>
            </w:r>
          </w:p>
          <w:p w14:paraId="19F81DE1" w14:textId="77777777" w:rsidR="00A249D2" w:rsidRDefault="00A249D2" w:rsidP="00A249D2">
            <w:pPr>
              <w:pStyle w:val="SOPNumbering"/>
              <w:numPr>
                <w:ilvl w:val="1"/>
                <w:numId w:val="57"/>
              </w:numPr>
            </w:pPr>
            <w:r>
              <w:t>Correspondence with the inspector/regulatory authority concerning the inspection</w:t>
            </w:r>
          </w:p>
          <w:p w14:paraId="5E9F1123" w14:textId="77777777" w:rsidR="00A249D2" w:rsidRDefault="00A249D2" w:rsidP="00A249D2">
            <w:pPr>
              <w:pStyle w:val="SOPNumbering"/>
              <w:numPr>
                <w:ilvl w:val="1"/>
                <w:numId w:val="57"/>
              </w:numPr>
            </w:pPr>
            <w:r>
              <w:t>Observations</w:t>
            </w:r>
          </w:p>
          <w:p w14:paraId="176141BC" w14:textId="77777777" w:rsidR="00A249D2" w:rsidRDefault="00A249D2" w:rsidP="00A249D2">
            <w:pPr>
              <w:pStyle w:val="SOPNumbering"/>
              <w:numPr>
                <w:ilvl w:val="1"/>
                <w:numId w:val="57"/>
              </w:numPr>
            </w:pPr>
            <w:r>
              <w:t xml:space="preserve">Inspection Report </w:t>
            </w:r>
          </w:p>
          <w:p w14:paraId="00D46D33" w14:textId="3DBA040B" w:rsidR="00A249D2" w:rsidRDefault="00A249D2" w:rsidP="00A249D2">
            <w:pPr>
              <w:pStyle w:val="SOPNumbering"/>
              <w:numPr>
                <w:ilvl w:val="1"/>
                <w:numId w:val="57"/>
              </w:numPr>
            </w:pPr>
            <w:r>
              <w:t>Observation/report responses</w:t>
            </w:r>
          </w:p>
        </w:tc>
      </w:tr>
    </w:tbl>
    <w:p w14:paraId="4A527D81" w14:textId="77777777" w:rsidR="00A47374" w:rsidRDefault="00A47374" w:rsidP="00734681"/>
    <w:p w14:paraId="039F27B0" w14:textId="5B9F10EA" w:rsidR="00440CAA" w:rsidRPr="003737D4" w:rsidRDefault="00440CAA" w:rsidP="00734681">
      <w:pPr>
        <w:pStyle w:val="SOPHeading1"/>
      </w:pPr>
      <w:r w:rsidRPr="003737D4">
        <w:t>DOCUMENT HISTORY</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0"/>
        <w:gridCol w:w="3960"/>
        <w:gridCol w:w="1980"/>
        <w:gridCol w:w="1890"/>
      </w:tblGrid>
      <w:tr w:rsidR="00440CAA" w:rsidRPr="003737D4" w14:paraId="6856DC87" w14:textId="77777777" w:rsidTr="00734681">
        <w:trPr>
          <w:tblHeader/>
        </w:trPr>
        <w:tc>
          <w:tcPr>
            <w:tcW w:w="1260" w:type="dxa"/>
          </w:tcPr>
          <w:p w14:paraId="0BC23487" w14:textId="77777777" w:rsidR="00440CAA" w:rsidRPr="003737D4" w:rsidRDefault="007A5570" w:rsidP="00734681">
            <w:pPr>
              <w:pStyle w:val="TableHeading"/>
            </w:pPr>
            <w:r>
              <w:t>Version</w:t>
            </w:r>
          </w:p>
        </w:tc>
        <w:tc>
          <w:tcPr>
            <w:tcW w:w="3960" w:type="dxa"/>
          </w:tcPr>
          <w:p w14:paraId="3465CB40" w14:textId="77777777" w:rsidR="00440CAA" w:rsidRPr="003737D4" w:rsidRDefault="00440CAA" w:rsidP="00734681">
            <w:pPr>
              <w:pStyle w:val="TableHeading"/>
            </w:pPr>
            <w:r w:rsidRPr="003737D4">
              <w:t>Document History/Description of Revision</w:t>
            </w:r>
          </w:p>
        </w:tc>
        <w:tc>
          <w:tcPr>
            <w:tcW w:w="1980" w:type="dxa"/>
          </w:tcPr>
          <w:p w14:paraId="40333688" w14:textId="77777777" w:rsidR="00440CAA" w:rsidRPr="003737D4" w:rsidRDefault="007A5570" w:rsidP="00734681">
            <w:pPr>
              <w:pStyle w:val="TableHeading"/>
            </w:pPr>
            <w:r>
              <w:t>Author</w:t>
            </w:r>
          </w:p>
        </w:tc>
        <w:tc>
          <w:tcPr>
            <w:tcW w:w="1890" w:type="dxa"/>
          </w:tcPr>
          <w:p w14:paraId="07BFE8E9" w14:textId="77777777" w:rsidR="00440CAA" w:rsidRPr="003737D4" w:rsidRDefault="00440CAA" w:rsidP="00734681">
            <w:pPr>
              <w:pStyle w:val="TableHeading"/>
            </w:pPr>
            <w:r w:rsidRPr="003737D4">
              <w:t>Date</w:t>
            </w:r>
          </w:p>
        </w:tc>
      </w:tr>
      <w:tr w:rsidR="00440CAA" w:rsidRPr="003737D4" w14:paraId="567299EA" w14:textId="77777777" w:rsidTr="007A5570">
        <w:tc>
          <w:tcPr>
            <w:tcW w:w="1260" w:type="dxa"/>
          </w:tcPr>
          <w:p w14:paraId="2F039D81" w14:textId="77777777" w:rsidR="00440CAA" w:rsidRPr="003737D4" w:rsidRDefault="00475C3E" w:rsidP="00734681">
            <w:r>
              <w:t>1.0</w:t>
            </w:r>
          </w:p>
        </w:tc>
        <w:tc>
          <w:tcPr>
            <w:tcW w:w="3960" w:type="dxa"/>
          </w:tcPr>
          <w:p w14:paraId="38BE28CB" w14:textId="77777777" w:rsidR="00440CAA" w:rsidRPr="003737D4" w:rsidRDefault="00F14875" w:rsidP="00734681">
            <w:r>
              <w:t>Original version</w:t>
            </w:r>
          </w:p>
        </w:tc>
        <w:tc>
          <w:tcPr>
            <w:tcW w:w="1980" w:type="dxa"/>
          </w:tcPr>
          <w:p w14:paraId="722FBFCC" w14:textId="4A1FE270" w:rsidR="00440CAA" w:rsidRPr="003737D4" w:rsidRDefault="006C41BC" w:rsidP="00734681">
            <w:r w:rsidRPr="00734681">
              <w:rPr>
                <w:highlight w:val="yellow"/>
              </w:rPr>
              <w:t>[Name]</w:t>
            </w:r>
          </w:p>
        </w:tc>
        <w:tc>
          <w:tcPr>
            <w:tcW w:w="1890" w:type="dxa"/>
          </w:tcPr>
          <w:p w14:paraId="2CDDDCF6" w14:textId="76D1A329" w:rsidR="00440CAA" w:rsidRPr="003737D4" w:rsidRDefault="009D1900" w:rsidP="00734681">
            <w:r>
              <w:t>Current</w:t>
            </w:r>
          </w:p>
        </w:tc>
      </w:tr>
    </w:tbl>
    <w:p w14:paraId="058789F7" w14:textId="30EBA916" w:rsidR="00A90E0C" w:rsidRDefault="00A90E0C" w:rsidP="00734681"/>
    <w:p w14:paraId="65AB4957" w14:textId="381E787E" w:rsidR="007434BA" w:rsidRPr="00A90E0C" w:rsidRDefault="007434BA" w:rsidP="00734681">
      <w:pPr>
        <w:pStyle w:val="SOPHeading1"/>
      </w:pPr>
      <w:r>
        <w:t>Approval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5"/>
        <w:gridCol w:w="270"/>
        <w:gridCol w:w="2070"/>
      </w:tblGrid>
      <w:tr w:rsidR="007434BA" w14:paraId="51C5E936" w14:textId="77777777" w:rsidTr="00E00566">
        <w:tc>
          <w:tcPr>
            <w:tcW w:w="6835" w:type="dxa"/>
            <w:tcBorders>
              <w:bottom w:val="single" w:sz="4" w:space="0" w:color="auto"/>
            </w:tcBorders>
          </w:tcPr>
          <w:p w14:paraId="77297B06" w14:textId="77777777" w:rsidR="007434BA" w:rsidRDefault="007434BA" w:rsidP="00734681"/>
          <w:p w14:paraId="0D618F04" w14:textId="77777777" w:rsidR="007434BA" w:rsidRDefault="007434BA" w:rsidP="00734681"/>
        </w:tc>
        <w:tc>
          <w:tcPr>
            <w:tcW w:w="270" w:type="dxa"/>
          </w:tcPr>
          <w:p w14:paraId="72B84D6A" w14:textId="77777777" w:rsidR="007434BA" w:rsidRDefault="007434BA" w:rsidP="00734681"/>
        </w:tc>
        <w:tc>
          <w:tcPr>
            <w:tcW w:w="2070" w:type="dxa"/>
            <w:tcBorders>
              <w:bottom w:val="single" w:sz="4" w:space="0" w:color="auto"/>
            </w:tcBorders>
            <w:vAlign w:val="bottom"/>
          </w:tcPr>
          <w:p w14:paraId="237EC7DB" w14:textId="77777777" w:rsidR="007434BA" w:rsidRDefault="007434BA" w:rsidP="00734681"/>
        </w:tc>
      </w:tr>
      <w:tr w:rsidR="007434BA" w14:paraId="0A417108" w14:textId="77777777" w:rsidTr="00D70F1F">
        <w:tc>
          <w:tcPr>
            <w:tcW w:w="6835" w:type="dxa"/>
            <w:tcBorders>
              <w:top w:val="single" w:sz="4" w:space="0" w:color="auto"/>
            </w:tcBorders>
          </w:tcPr>
          <w:p w14:paraId="30908F7D" w14:textId="5B717144" w:rsidR="007434BA" w:rsidRDefault="00D70F1F" w:rsidP="00734681">
            <w:r w:rsidRPr="00734681">
              <w:rPr>
                <w:highlight w:val="yellow"/>
              </w:rPr>
              <w:t>[Name, Title]</w:t>
            </w:r>
          </w:p>
        </w:tc>
        <w:tc>
          <w:tcPr>
            <w:tcW w:w="270" w:type="dxa"/>
          </w:tcPr>
          <w:p w14:paraId="34DD8434" w14:textId="77777777" w:rsidR="007434BA" w:rsidRDefault="007434BA" w:rsidP="00734681"/>
        </w:tc>
        <w:tc>
          <w:tcPr>
            <w:tcW w:w="2070" w:type="dxa"/>
            <w:tcBorders>
              <w:top w:val="single" w:sz="4" w:space="0" w:color="auto"/>
            </w:tcBorders>
          </w:tcPr>
          <w:p w14:paraId="312597E8" w14:textId="77777777" w:rsidR="007434BA" w:rsidRDefault="007434BA" w:rsidP="00734681">
            <w:r>
              <w:t>Date</w:t>
            </w:r>
          </w:p>
        </w:tc>
      </w:tr>
      <w:tr w:rsidR="00D70F1F" w14:paraId="4D4A218C" w14:textId="77777777" w:rsidTr="00D70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35" w:type="dxa"/>
            <w:tcBorders>
              <w:top w:val="nil"/>
              <w:left w:val="nil"/>
              <w:bottom w:val="single" w:sz="4" w:space="0" w:color="auto"/>
              <w:right w:val="nil"/>
            </w:tcBorders>
          </w:tcPr>
          <w:p w14:paraId="3406ABE0" w14:textId="77777777" w:rsidR="00D70F1F" w:rsidRDefault="00D70F1F" w:rsidP="00734681"/>
          <w:p w14:paraId="7EFC886A" w14:textId="77777777" w:rsidR="00D70F1F" w:rsidRDefault="00D70F1F" w:rsidP="00734681"/>
        </w:tc>
        <w:tc>
          <w:tcPr>
            <w:tcW w:w="270" w:type="dxa"/>
            <w:tcBorders>
              <w:top w:val="nil"/>
              <w:left w:val="nil"/>
              <w:bottom w:val="nil"/>
              <w:right w:val="nil"/>
            </w:tcBorders>
          </w:tcPr>
          <w:p w14:paraId="390A34C2" w14:textId="77777777" w:rsidR="00D70F1F" w:rsidRDefault="00D70F1F" w:rsidP="00734681"/>
        </w:tc>
        <w:tc>
          <w:tcPr>
            <w:tcW w:w="2070" w:type="dxa"/>
            <w:tcBorders>
              <w:top w:val="nil"/>
              <w:left w:val="nil"/>
              <w:bottom w:val="single" w:sz="4" w:space="0" w:color="auto"/>
              <w:right w:val="nil"/>
            </w:tcBorders>
          </w:tcPr>
          <w:p w14:paraId="5796BFD5" w14:textId="77777777" w:rsidR="00D70F1F" w:rsidRDefault="00D70F1F" w:rsidP="00734681"/>
        </w:tc>
      </w:tr>
      <w:tr w:rsidR="00D70F1F" w14:paraId="2522CC94" w14:textId="77777777" w:rsidTr="00D70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35" w:type="dxa"/>
            <w:tcBorders>
              <w:top w:val="single" w:sz="4" w:space="0" w:color="auto"/>
              <w:left w:val="nil"/>
              <w:bottom w:val="nil"/>
              <w:right w:val="nil"/>
            </w:tcBorders>
          </w:tcPr>
          <w:p w14:paraId="2FF5E987" w14:textId="77777777" w:rsidR="00D70F1F" w:rsidRDefault="00D70F1F" w:rsidP="00734681">
            <w:r w:rsidRPr="00734681">
              <w:rPr>
                <w:highlight w:val="yellow"/>
              </w:rPr>
              <w:t>[Name, Title]</w:t>
            </w:r>
          </w:p>
        </w:tc>
        <w:tc>
          <w:tcPr>
            <w:tcW w:w="270" w:type="dxa"/>
            <w:tcBorders>
              <w:top w:val="nil"/>
              <w:left w:val="nil"/>
              <w:bottom w:val="nil"/>
              <w:right w:val="nil"/>
            </w:tcBorders>
          </w:tcPr>
          <w:p w14:paraId="080CA894" w14:textId="77777777" w:rsidR="00D70F1F" w:rsidRDefault="00D70F1F" w:rsidP="00734681"/>
        </w:tc>
        <w:tc>
          <w:tcPr>
            <w:tcW w:w="2070" w:type="dxa"/>
            <w:tcBorders>
              <w:top w:val="single" w:sz="4" w:space="0" w:color="auto"/>
              <w:left w:val="nil"/>
              <w:bottom w:val="nil"/>
              <w:right w:val="nil"/>
            </w:tcBorders>
          </w:tcPr>
          <w:p w14:paraId="68ABE2A5" w14:textId="77777777" w:rsidR="00D70F1F" w:rsidRDefault="00D70F1F" w:rsidP="00734681">
            <w:r>
              <w:t>Date</w:t>
            </w:r>
          </w:p>
        </w:tc>
      </w:tr>
    </w:tbl>
    <w:p w14:paraId="0B99F9E7" w14:textId="77777777" w:rsidR="007434BA" w:rsidRPr="00A90E0C" w:rsidRDefault="007434BA" w:rsidP="00734681">
      <w:r>
        <w:tab/>
      </w:r>
    </w:p>
    <w:p w14:paraId="5BC2770C" w14:textId="53E95FE6" w:rsidR="00BC55B8" w:rsidRPr="00A90E0C" w:rsidRDefault="00BC55B8" w:rsidP="00734681"/>
    <w:sectPr w:rsidR="00BC55B8" w:rsidRPr="00A90E0C" w:rsidSect="003C522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3AE3" w14:textId="77777777" w:rsidR="00A6203B" w:rsidRDefault="00A6203B" w:rsidP="00734681">
      <w:r>
        <w:separator/>
      </w:r>
    </w:p>
    <w:p w14:paraId="5FE1CBE3" w14:textId="77777777" w:rsidR="00A6203B" w:rsidRDefault="00A6203B" w:rsidP="00734681"/>
  </w:endnote>
  <w:endnote w:type="continuationSeparator" w:id="0">
    <w:p w14:paraId="6328C940" w14:textId="77777777" w:rsidR="00A6203B" w:rsidRDefault="00A6203B" w:rsidP="00734681">
      <w:r>
        <w:continuationSeparator/>
      </w:r>
    </w:p>
    <w:p w14:paraId="2EBD9AA8" w14:textId="77777777" w:rsidR="00A6203B" w:rsidRDefault="00A6203B" w:rsidP="00734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64EA" w14:textId="77777777" w:rsidR="00D70F1F" w:rsidRDefault="00D70F1F" w:rsidP="0073468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2065"/>
    </w:tblGrid>
    <w:tr w:rsidR="0099049E" w14:paraId="30F8EDB6" w14:textId="77777777" w:rsidTr="005928A7">
      <w:tc>
        <w:tcPr>
          <w:tcW w:w="7285" w:type="dxa"/>
        </w:tcPr>
        <w:p w14:paraId="0E503875" w14:textId="6A72EEE5" w:rsidR="0099049E" w:rsidRPr="00462E4A" w:rsidRDefault="0099049E" w:rsidP="00734681">
          <w:pPr>
            <w:pStyle w:val="Footer"/>
          </w:pPr>
          <w:r>
            <w:t xml:space="preserve">Confidential to </w:t>
          </w:r>
          <w:r w:rsidR="00D70F1F" w:rsidRPr="00734681">
            <w:rPr>
              <w:highlight w:val="yellow"/>
            </w:rPr>
            <w:t>[Company]</w:t>
          </w:r>
        </w:p>
      </w:tc>
      <w:tc>
        <w:tcPr>
          <w:tcW w:w="2065" w:type="dxa"/>
        </w:tcPr>
        <w:p w14:paraId="369298B3" w14:textId="580717E4" w:rsidR="0099049E" w:rsidRPr="00462E4A" w:rsidRDefault="0099049E" w:rsidP="00734681">
          <w:pPr>
            <w:pStyle w:val="Footer"/>
          </w:pPr>
          <w:r w:rsidRPr="00462E4A">
            <w:t xml:space="preserve">Page </w:t>
          </w:r>
          <w:r w:rsidRPr="00462E4A">
            <w:fldChar w:fldCharType="begin"/>
          </w:r>
          <w:r w:rsidRPr="00462E4A">
            <w:instrText xml:space="preserve"> PAGE   \* MERGEFORMAT </w:instrText>
          </w:r>
          <w:r w:rsidRPr="00462E4A">
            <w:fldChar w:fldCharType="separate"/>
          </w:r>
          <w:r>
            <w:rPr>
              <w:noProof/>
            </w:rPr>
            <w:t>2</w:t>
          </w:r>
          <w:r w:rsidRPr="00462E4A">
            <w:fldChar w:fldCharType="end"/>
          </w:r>
          <w:r w:rsidRPr="00462E4A">
            <w:t xml:space="preserve"> of </w:t>
          </w:r>
          <w:fldSimple w:instr=" NUMPAGES   \* MERGEFORMAT ">
            <w:r>
              <w:rPr>
                <w:noProof/>
              </w:rPr>
              <w:t>2</w:t>
            </w:r>
          </w:fldSimple>
        </w:p>
      </w:tc>
    </w:tr>
  </w:tbl>
  <w:p w14:paraId="51FBEA49" w14:textId="77777777" w:rsidR="008B0B27" w:rsidRDefault="008B0B27" w:rsidP="007346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4029F" w14:textId="77777777" w:rsidR="00A6203B" w:rsidRDefault="00A6203B" w:rsidP="00734681">
      <w:r>
        <w:separator/>
      </w:r>
    </w:p>
    <w:p w14:paraId="0695401E" w14:textId="77777777" w:rsidR="00A6203B" w:rsidRDefault="00A6203B" w:rsidP="00734681"/>
  </w:footnote>
  <w:footnote w:type="continuationSeparator" w:id="0">
    <w:p w14:paraId="19919A69" w14:textId="77777777" w:rsidR="00A6203B" w:rsidRDefault="00A6203B" w:rsidP="00734681">
      <w:r>
        <w:continuationSeparator/>
      </w:r>
    </w:p>
    <w:p w14:paraId="01DD76C1" w14:textId="77777777" w:rsidR="00A6203B" w:rsidRDefault="00A6203B" w:rsidP="00734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032C" w14:textId="77777777" w:rsidR="007434BA" w:rsidRDefault="0099049E" w:rsidP="00734681">
    <w:pPr>
      <w:pStyle w:val="Header"/>
      <w:rPr>
        <w:sz w:val="28"/>
        <w:szCs w:val="28"/>
      </w:rPr>
    </w:pPr>
    <w:r w:rsidRPr="0059076D">
      <w:t xml:space="preserve"> </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2100"/>
      <w:gridCol w:w="1500"/>
      <w:gridCol w:w="2700"/>
    </w:tblGrid>
    <w:tr w:rsidR="007434BA" w:rsidRPr="003737D4" w14:paraId="0200DBDC" w14:textId="77777777" w:rsidTr="007B12E8">
      <w:trPr>
        <w:cantSplit/>
        <w:trHeight w:val="985"/>
      </w:trPr>
      <w:tc>
        <w:tcPr>
          <w:tcW w:w="2790" w:type="dxa"/>
          <w:vMerge w:val="restart"/>
          <w:tcMar>
            <w:top w:w="85" w:type="dxa"/>
          </w:tcMar>
          <w:vAlign w:val="center"/>
        </w:tcPr>
        <w:p w14:paraId="1CC2A96B" w14:textId="3D006C36" w:rsidR="007434BA" w:rsidRPr="003737D4" w:rsidRDefault="007B12E8" w:rsidP="00734681">
          <w:pPr>
            <w:pStyle w:val="Header"/>
          </w:pPr>
          <w:r>
            <w:rPr>
              <w:noProof/>
            </w:rPr>
            <w:t>[Logo]</w:t>
          </w:r>
        </w:p>
      </w:tc>
      <w:tc>
        <w:tcPr>
          <w:tcW w:w="6300" w:type="dxa"/>
          <w:gridSpan w:val="3"/>
          <w:vAlign w:val="center"/>
        </w:tcPr>
        <w:p w14:paraId="06EE0DFA" w14:textId="77777777" w:rsidR="007434BA" w:rsidRDefault="007B12E8" w:rsidP="00734681">
          <w:pPr>
            <w:pStyle w:val="Header"/>
          </w:pPr>
          <w:r>
            <w:t>[Company]</w:t>
          </w:r>
          <w:r w:rsidR="007434BA">
            <w:t xml:space="preserve"> </w:t>
          </w:r>
          <w:r w:rsidR="00B8126F">
            <w:t>Form</w:t>
          </w:r>
        </w:p>
        <w:p w14:paraId="1FAE6FB9" w14:textId="621F4A9A" w:rsidR="0015236B" w:rsidRPr="00FF2A07" w:rsidRDefault="00E7389A" w:rsidP="00734681">
          <w:pPr>
            <w:pStyle w:val="Header"/>
          </w:pPr>
          <w:r>
            <w:t>Hosting Regulatory Authority Inspections</w:t>
          </w:r>
        </w:p>
      </w:tc>
    </w:tr>
    <w:tr w:rsidR="007434BA" w:rsidRPr="003737D4" w14:paraId="11672F6D" w14:textId="77777777" w:rsidTr="007B12E8">
      <w:trPr>
        <w:cantSplit/>
        <w:trHeight w:val="185"/>
      </w:trPr>
      <w:tc>
        <w:tcPr>
          <w:tcW w:w="2790" w:type="dxa"/>
          <w:vMerge/>
          <w:tcMar>
            <w:top w:w="85" w:type="dxa"/>
          </w:tcMar>
        </w:tcPr>
        <w:p w14:paraId="75FF3D9E" w14:textId="77777777" w:rsidR="007434BA" w:rsidRDefault="007434BA" w:rsidP="00734681">
          <w:pPr>
            <w:pStyle w:val="Header"/>
            <w:rPr>
              <w:noProof/>
            </w:rPr>
          </w:pPr>
        </w:p>
      </w:tc>
      <w:tc>
        <w:tcPr>
          <w:tcW w:w="2100" w:type="dxa"/>
          <w:vAlign w:val="center"/>
        </w:tcPr>
        <w:p w14:paraId="5BEBC72B" w14:textId="4CD67D99" w:rsidR="007434BA" w:rsidRPr="00EB4330" w:rsidRDefault="00B8126F" w:rsidP="00734681">
          <w:pPr>
            <w:pStyle w:val="Header"/>
          </w:pPr>
          <w:r>
            <w:t>TEM-001</w:t>
          </w:r>
        </w:p>
      </w:tc>
      <w:tc>
        <w:tcPr>
          <w:tcW w:w="1500" w:type="dxa"/>
          <w:vAlign w:val="center"/>
        </w:tcPr>
        <w:p w14:paraId="7F449542" w14:textId="60D004C2" w:rsidR="007434BA" w:rsidRPr="00EB4330" w:rsidRDefault="007434BA" w:rsidP="00734681">
          <w:pPr>
            <w:pStyle w:val="Header"/>
          </w:pPr>
          <w:r w:rsidRPr="00EB4330">
            <w:t>V</w:t>
          </w:r>
          <w:r>
            <w:t>1</w:t>
          </w:r>
          <w:r w:rsidRPr="00EB4330">
            <w:t>.0</w:t>
          </w:r>
        </w:p>
      </w:tc>
      <w:tc>
        <w:tcPr>
          <w:tcW w:w="2700" w:type="dxa"/>
          <w:vAlign w:val="center"/>
        </w:tcPr>
        <w:p w14:paraId="051F009D" w14:textId="6043E7C0" w:rsidR="007434BA" w:rsidRPr="00EB4330" w:rsidRDefault="007434BA" w:rsidP="00734681">
          <w:pPr>
            <w:pStyle w:val="Header"/>
          </w:pPr>
          <w:r w:rsidRPr="00EB4330">
            <w:t xml:space="preserve">Effective </w:t>
          </w:r>
          <w:r w:rsidR="007B12E8">
            <w:t>[date]</w:t>
          </w:r>
        </w:p>
      </w:tc>
    </w:tr>
  </w:tbl>
  <w:p w14:paraId="157F71AD" w14:textId="78A9A51A" w:rsidR="008B0B27" w:rsidRDefault="0099049E" w:rsidP="00734681">
    <w:pPr>
      <w:pStyle w:val="Header"/>
    </w:pPr>
    <w:r>
      <w:rPr>
        <w:b/>
        <w:sz w:val="28"/>
        <w:szCs w:val="28"/>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655"/>
    <w:multiLevelType w:val="multilevel"/>
    <w:tmpl w:val="8898D31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2884C2E"/>
    <w:multiLevelType w:val="hybridMultilevel"/>
    <w:tmpl w:val="661E0A52"/>
    <w:lvl w:ilvl="0" w:tplc="04E2B264">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115C51"/>
    <w:multiLevelType w:val="multilevel"/>
    <w:tmpl w:val="2A3ED884"/>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63310F"/>
    <w:multiLevelType w:val="hybridMultilevel"/>
    <w:tmpl w:val="91F4DA4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rPr>
        <w:rFonts w:cs="Times New Roman"/>
      </w:rPr>
    </w:lvl>
    <w:lvl w:ilvl="2" w:tplc="F89871E2">
      <w:start w:val="3"/>
      <w:numFmt w:val="low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18428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E8286A"/>
    <w:multiLevelType w:val="hybridMultilevel"/>
    <w:tmpl w:val="25905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FC1154"/>
    <w:multiLevelType w:val="hybridMultilevel"/>
    <w:tmpl w:val="F9643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C5A4F"/>
    <w:multiLevelType w:val="multilevel"/>
    <w:tmpl w:val="0CC688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3B6E38"/>
    <w:multiLevelType w:val="multilevel"/>
    <w:tmpl w:val="2A2AE3C8"/>
    <w:lvl w:ilvl="0">
      <w:start w:val="1"/>
      <w:numFmt w:val="decimal"/>
      <w:lvlText w:val="%1."/>
      <w:lvlJc w:val="left"/>
      <w:pPr>
        <w:tabs>
          <w:tab w:val="num" w:pos="907"/>
        </w:tabs>
        <w:ind w:left="907" w:hanging="907"/>
      </w:pPr>
      <w:rPr>
        <w:rFonts w:cs="Times New Roman" w:hint="default"/>
      </w:rPr>
    </w:lvl>
    <w:lvl w:ilvl="1">
      <w:start w:val="1"/>
      <w:numFmt w:val="decimal"/>
      <w:lvlText w:val="4.%2"/>
      <w:lvlJc w:val="left"/>
      <w:pPr>
        <w:tabs>
          <w:tab w:val="num" w:pos="907"/>
        </w:tabs>
        <w:ind w:left="907" w:hanging="907"/>
      </w:pPr>
      <w:rPr>
        <w:rFonts w:cs="Times New Roman" w:hint="default"/>
      </w:rPr>
    </w:lvl>
    <w:lvl w:ilvl="2">
      <w:start w:val="1"/>
      <w:numFmt w:val="decimal"/>
      <w:pStyle w:val="Heading3"/>
      <w:lvlText w:val="%1.%2.%3"/>
      <w:lvlJc w:val="left"/>
      <w:pPr>
        <w:tabs>
          <w:tab w:val="num" w:pos="907"/>
        </w:tabs>
        <w:ind w:left="907" w:hanging="907"/>
      </w:pPr>
      <w:rPr>
        <w:rFonts w:cs="Times New Roman" w:hint="default"/>
      </w:rPr>
    </w:lvl>
    <w:lvl w:ilvl="3">
      <w:start w:val="1"/>
      <w:numFmt w:val="decimal"/>
      <w:pStyle w:val="Heading4"/>
      <w:lvlText w:val="%1.%2.%3.%4"/>
      <w:lvlJc w:val="left"/>
      <w:pPr>
        <w:tabs>
          <w:tab w:val="num" w:pos="907"/>
        </w:tabs>
        <w:ind w:left="907" w:hanging="907"/>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440"/>
        </w:tabs>
        <w:ind w:left="1296" w:hanging="1296"/>
      </w:pPr>
      <w:rPr>
        <w:rFonts w:cs="Times New Roman" w:hint="default"/>
      </w:rPr>
    </w:lvl>
    <w:lvl w:ilvl="7">
      <w:start w:val="1"/>
      <w:numFmt w:val="decimal"/>
      <w:lvlText w:val="%1.%2.%3.%4.%5.%6.%7.%8"/>
      <w:lvlJc w:val="left"/>
      <w:pPr>
        <w:tabs>
          <w:tab w:val="num" w:pos="1800"/>
        </w:tabs>
        <w:ind w:left="1440" w:hanging="1440"/>
      </w:pPr>
      <w:rPr>
        <w:rFonts w:cs="Times New Roman" w:hint="default"/>
      </w:rPr>
    </w:lvl>
    <w:lvl w:ilvl="8">
      <w:start w:val="1"/>
      <w:numFmt w:val="decimal"/>
      <w:lvlText w:val="%1.%2.%3.%4.%5.%6.%7.%8.%9"/>
      <w:lvlJc w:val="left"/>
      <w:pPr>
        <w:tabs>
          <w:tab w:val="num" w:pos="1800"/>
        </w:tabs>
        <w:ind w:left="1584" w:hanging="1584"/>
      </w:pPr>
      <w:rPr>
        <w:rFonts w:cs="Times New Roman" w:hint="default"/>
      </w:rPr>
    </w:lvl>
  </w:abstractNum>
  <w:abstractNum w:abstractNumId="9" w15:restartNumberingAfterBreak="0">
    <w:nsid w:val="13777D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4064EE6"/>
    <w:multiLevelType w:val="multilevel"/>
    <w:tmpl w:val="2A3ED884"/>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44132C3"/>
    <w:multiLevelType w:val="hybridMultilevel"/>
    <w:tmpl w:val="E37213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9306A0"/>
    <w:multiLevelType w:val="hybridMultilevel"/>
    <w:tmpl w:val="8D208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646FD"/>
    <w:multiLevelType w:val="hybridMultilevel"/>
    <w:tmpl w:val="22BA96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AE2D5E"/>
    <w:multiLevelType w:val="hybridMultilevel"/>
    <w:tmpl w:val="3788BD34"/>
    <w:lvl w:ilvl="0" w:tplc="04E2B26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80A308F"/>
    <w:multiLevelType w:val="hybridMultilevel"/>
    <w:tmpl w:val="1F00C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91F53B8"/>
    <w:multiLevelType w:val="multilevel"/>
    <w:tmpl w:val="2A3ED884"/>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294BD1"/>
    <w:multiLevelType w:val="multilevel"/>
    <w:tmpl w:val="2A3ED884"/>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3E6EFC"/>
    <w:multiLevelType w:val="multilevel"/>
    <w:tmpl w:val="A612AA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B93D40"/>
    <w:multiLevelType w:val="multilevel"/>
    <w:tmpl w:val="0CC688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F690F3A"/>
    <w:multiLevelType w:val="multilevel"/>
    <w:tmpl w:val="0E866614"/>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FA6221E"/>
    <w:multiLevelType w:val="hybridMultilevel"/>
    <w:tmpl w:val="9DC89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41A0076"/>
    <w:multiLevelType w:val="multilevel"/>
    <w:tmpl w:val="EF9CF11C"/>
    <w:lvl w:ilvl="0">
      <w:start w:val="1"/>
      <w:numFmt w:val="decimal"/>
      <w:pStyle w:val="SOPHeading1"/>
      <w:lvlText w:val="%1."/>
      <w:lvlJc w:val="left"/>
      <w:pPr>
        <w:ind w:left="360" w:hanging="360"/>
      </w:pPr>
      <w:rPr>
        <w:b/>
      </w:rPr>
    </w:lvl>
    <w:lvl w:ilvl="1">
      <w:start w:val="1"/>
      <w:numFmt w:val="decimal"/>
      <w:pStyle w:val="SOPHeading2"/>
      <w:lvlText w:val="%1.%2."/>
      <w:lvlJc w:val="left"/>
      <w:pPr>
        <w:ind w:left="1152" w:hanging="432"/>
      </w:pPr>
      <w:rPr>
        <w:b/>
      </w:rPr>
    </w:lvl>
    <w:lvl w:ilvl="2">
      <w:start w:val="1"/>
      <w:numFmt w:val="decimal"/>
      <w:pStyle w:val="SOPHeader3"/>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764374"/>
    <w:multiLevelType w:val="hybridMultilevel"/>
    <w:tmpl w:val="021C4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CA3187"/>
    <w:multiLevelType w:val="multilevel"/>
    <w:tmpl w:val="0CC688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E7E245A"/>
    <w:multiLevelType w:val="multilevel"/>
    <w:tmpl w:val="0CC688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1BC0361"/>
    <w:multiLevelType w:val="multilevel"/>
    <w:tmpl w:val="83DADA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339252B"/>
    <w:multiLevelType w:val="multilevel"/>
    <w:tmpl w:val="0E866614"/>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5A51156"/>
    <w:multiLevelType w:val="multilevel"/>
    <w:tmpl w:val="0CC688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DFF6927"/>
    <w:multiLevelType w:val="hybridMultilevel"/>
    <w:tmpl w:val="4BE4D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1B3104"/>
    <w:multiLevelType w:val="hybridMultilevel"/>
    <w:tmpl w:val="7E9808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F65F43"/>
    <w:multiLevelType w:val="multilevel"/>
    <w:tmpl w:val="83DADA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33F2E"/>
    <w:multiLevelType w:val="multilevel"/>
    <w:tmpl w:val="0F2EABC4"/>
    <w:lvl w:ilvl="0">
      <w:start w:val="5"/>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CB00391"/>
    <w:multiLevelType w:val="multilevel"/>
    <w:tmpl w:val="2A3ED884"/>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D553F95"/>
    <w:multiLevelType w:val="multilevel"/>
    <w:tmpl w:val="6EA2A69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D6F3B8F"/>
    <w:multiLevelType w:val="multilevel"/>
    <w:tmpl w:val="83DADA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F145926"/>
    <w:multiLevelType w:val="multilevel"/>
    <w:tmpl w:val="83DADA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6604F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245B45"/>
    <w:multiLevelType w:val="multilevel"/>
    <w:tmpl w:val="99C0DA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D6D5074"/>
    <w:multiLevelType w:val="hybridMultilevel"/>
    <w:tmpl w:val="6F7C4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924881"/>
    <w:multiLevelType w:val="hybridMultilevel"/>
    <w:tmpl w:val="20C21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D9D757B"/>
    <w:multiLevelType w:val="hybridMultilevel"/>
    <w:tmpl w:val="655CE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157B3A"/>
    <w:multiLevelType w:val="multilevel"/>
    <w:tmpl w:val="2A3ED884"/>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BDF6220"/>
    <w:multiLevelType w:val="hybridMultilevel"/>
    <w:tmpl w:val="A8345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D520E98"/>
    <w:multiLevelType w:val="hybridMultilevel"/>
    <w:tmpl w:val="3D4E4606"/>
    <w:lvl w:ilvl="0" w:tplc="149E78D6">
      <w:start w:val="1"/>
      <w:numFmt w:val="decimal"/>
      <w:pStyle w:val="SOPNumbering"/>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E6F29EF"/>
    <w:multiLevelType w:val="multilevel"/>
    <w:tmpl w:val="FFFFFFFF"/>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5"/>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num w:numId="1" w16cid:durableId="1416437195">
    <w:abstractNumId w:val="8"/>
  </w:num>
  <w:num w:numId="2" w16cid:durableId="1094522000">
    <w:abstractNumId w:val="3"/>
  </w:num>
  <w:num w:numId="3" w16cid:durableId="638539310">
    <w:abstractNumId w:val="14"/>
  </w:num>
  <w:num w:numId="4" w16cid:durableId="1068263306">
    <w:abstractNumId w:val="1"/>
  </w:num>
  <w:num w:numId="5" w16cid:durableId="920256513">
    <w:abstractNumId w:val="32"/>
  </w:num>
  <w:num w:numId="6" w16cid:durableId="6952559">
    <w:abstractNumId w:val="44"/>
  </w:num>
  <w:num w:numId="7" w16cid:durableId="1484008164">
    <w:abstractNumId w:val="6"/>
  </w:num>
  <w:num w:numId="8" w16cid:durableId="1129979113">
    <w:abstractNumId w:val="30"/>
  </w:num>
  <w:num w:numId="9" w16cid:durableId="1252156979">
    <w:abstractNumId w:val="13"/>
  </w:num>
  <w:num w:numId="10" w16cid:durableId="1194808815">
    <w:abstractNumId w:val="22"/>
  </w:num>
  <w:num w:numId="11" w16cid:durableId="54745666">
    <w:abstractNumId w:val="37"/>
  </w:num>
  <w:num w:numId="12" w16cid:durableId="1133793478">
    <w:abstractNumId w:val="20"/>
  </w:num>
  <w:num w:numId="13" w16cid:durableId="100029670">
    <w:abstractNumId w:val="9"/>
  </w:num>
  <w:num w:numId="14" w16cid:durableId="169294172">
    <w:abstractNumId w:val="44"/>
    <w:lvlOverride w:ilvl="0">
      <w:startOverride w:val="1"/>
    </w:lvlOverride>
  </w:num>
  <w:num w:numId="15" w16cid:durableId="1432895950">
    <w:abstractNumId w:val="44"/>
    <w:lvlOverride w:ilvl="0">
      <w:startOverride w:val="1"/>
    </w:lvlOverride>
  </w:num>
  <w:num w:numId="16" w16cid:durableId="461577630">
    <w:abstractNumId w:val="44"/>
    <w:lvlOverride w:ilvl="0">
      <w:startOverride w:val="1"/>
    </w:lvlOverride>
  </w:num>
  <w:num w:numId="17" w16cid:durableId="608859672">
    <w:abstractNumId w:val="44"/>
    <w:lvlOverride w:ilvl="0">
      <w:startOverride w:val="1"/>
    </w:lvlOverride>
  </w:num>
  <w:num w:numId="18" w16cid:durableId="2107997924">
    <w:abstractNumId w:val="36"/>
  </w:num>
  <w:num w:numId="19" w16cid:durableId="1684669553">
    <w:abstractNumId w:val="31"/>
  </w:num>
  <w:num w:numId="20" w16cid:durableId="766534856">
    <w:abstractNumId w:val="35"/>
  </w:num>
  <w:num w:numId="21" w16cid:durableId="935556846">
    <w:abstractNumId w:val="26"/>
  </w:num>
  <w:num w:numId="22" w16cid:durableId="954678924">
    <w:abstractNumId w:val="4"/>
  </w:num>
  <w:num w:numId="23" w16cid:durableId="581718744">
    <w:abstractNumId w:val="17"/>
  </w:num>
  <w:num w:numId="24" w16cid:durableId="246035210">
    <w:abstractNumId w:val="27"/>
  </w:num>
  <w:num w:numId="25" w16cid:durableId="1109468094">
    <w:abstractNumId w:val="10"/>
  </w:num>
  <w:num w:numId="26" w16cid:durableId="1022321611">
    <w:abstractNumId w:val="42"/>
  </w:num>
  <w:num w:numId="27" w16cid:durableId="1506507536">
    <w:abstractNumId w:val="15"/>
  </w:num>
  <w:num w:numId="28" w16cid:durableId="1774746405">
    <w:abstractNumId w:val="5"/>
  </w:num>
  <w:num w:numId="29" w16cid:durableId="22100112">
    <w:abstractNumId w:val="39"/>
  </w:num>
  <w:num w:numId="30" w16cid:durableId="1260404702">
    <w:abstractNumId w:val="43"/>
  </w:num>
  <w:num w:numId="31" w16cid:durableId="19860963">
    <w:abstractNumId w:val="41"/>
  </w:num>
  <w:num w:numId="32" w16cid:durableId="1930506310">
    <w:abstractNumId w:val="40"/>
  </w:num>
  <w:num w:numId="33" w16cid:durableId="1888684379">
    <w:abstractNumId w:val="21"/>
  </w:num>
  <w:num w:numId="34" w16cid:durableId="1245918471">
    <w:abstractNumId w:val="23"/>
  </w:num>
  <w:num w:numId="35" w16cid:durableId="227041202">
    <w:abstractNumId w:val="11"/>
  </w:num>
  <w:num w:numId="36" w16cid:durableId="1629895741">
    <w:abstractNumId w:val="29"/>
  </w:num>
  <w:num w:numId="37" w16cid:durableId="18577690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713128">
    <w:abstractNumId w:val="44"/>
    <w:lvlOverride w:ilvl="0">
      <w:startOverride w:val="1"/>
    </w:lvlOverride>
    <w:lvlOverride w:ilvl="1"/>
    <w:lvlOverride w:ilvl="2"/>
    <w:lvlOverride w:ilvl="3"/>
    <w:lvlOverride w:ilvl="4"/>
    <w:lvlOverride w:ilvl="5"/>
    <w:lvlOverride w:ilvl="6"/>
    <w:lvlOverride w:ilvl="7"/>
    <w:lvlOverride w:ilvl="8"/>
  </w:num>
  <w:num w:numId="39" w16cid:durableId="1347511989">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49416480">
    <w:abstractNumId w:val="12"/>
  </w:num>
  <w:num w:numId="41" w16cid:durableId="119380687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71849252">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8487662">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0496819">
    <w:abstractNumId w:val="44"/>
    <w:lvlOverride w:ilvl="0">
      <w:startOverride w:val="1"/>
    </w:lvlOverride>
  </w:num>
  <w:num w:numId="45" w16cid:durableId="1937520179">
    <w:abstractNumId w:val="44"/>
    <w:lvlOverride w:ilvl="0">
      <w:startOverride w:val="1"/>
    </w:lvlOverride>
  </w:num>
  <w:num w:numId="46" w16cid:durableId="477304160">
    <w:abstractNumId w:val="44"/>
    <w:lvlOverride w:ilvl="0">
      <w:startOverride w:val="1"/>
    </w:lvlOverride>
  </w:num>
  <w:num w:numId="47" w16cid:durableId="1816557607">
    <w:abstractNumId w:val="44"/>
    <w:lvlOverride w:ilvl="0">
      <w:startOverride w:val="1"/>
    </w:lvlOverride>
  </w:num>
  <w:num w:numId="48" w16cid:durableId="2140759249">
    <w:abstractNumId w:val="0"/>
  </w:num>
  <w:num w:numId="49" w16cid:durableId="763116753">
    <w:abstractNumId w:val="34"/>
  </w:num>
  <w:num w:numId="50" w16cid:durableId="395786105">
    <w:abstractNumId w:val="38"/>
  </w:num>
  <w:num w:numId="51" w16cid:durableId="5950193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77675564">
    <w:abstractNumId w:val="18"/>
  </w:num>
  <w:num w:numId="53" w16cid:durableId="891506587">
    <w:abstractNumId w:val="24"/>
  </w:num>
  <w:num w:numId="54" w16cid:durableId="1360621101">
    <w:abstractNumId w:val="28"/>
  </w:num>
  <w:num w:numId="55" w16cid:durableId="1932928821">
    <w:abstractNumId w:val="19"/>
  </w:num>
  <w:num w:numId="56" w16cid:durableId="1229072203">
    <w:abstractNumId w:val="7"/>
  </w:num>
  <w:num w:numId="57" w16cid:durableId="1077477765">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AFC"/>
    <w:rsid w:val="00000D66"/>
    <w:rsid w:val="00003075"/>
    <w:rsid w:val="000055D3"/>
    <w:rsid w:val="0000663A"/>
    <w:rsid w:val="00012169"/>
    <w:rsid w:val="00012A52"/>
    <w:rsid w:val="00020991"/>
    <w:rsid w:val="000222B3"/>
    <w:rsid w:val="00027025"/>
    <w:rsid w:val="000303AD"/>
    <w:rsid w:val="00034C5E"/>
    <w:rsid w:val="00040228"/>
    <w:rsid w:val="00044963"/>
    <w:rsid w:val="000477E9"/>
    <w:rsid w:val="00052452"/>
    <w:rsid w:val="0005257B"/>
    <w:rsid w:val="00053F5B"/>
    <w:rsid w:val="000704F3"/>
    <w:rsid w:val="0007263C"/>
    <w:rsid w:val="000811CD"/>
    <w:rsid w:val="00082EBB"/>
    <w:rsid w:val="000830E5"/>
    <w:rsid w:val="0008334B"/>
    <w:rsid w:val="000945D0"/>
    <w:rsid w:val="000A6D31"/>
    <w:rsid w:val="000B043A"/>
    <w:rsid w:val="000C2161"/>
    <w:rsid w:val="000D6585"/>
    <w:rsid w:val="000F64CC"/>
    <w:rsid w:val="001077D4"/>
    <w:rsid w:val="00116874"/>
    <w:rsid w:val="00116DB6"/>
    <w:rsid w:val="0012472D"/>
    <w:rsid w:val="0015236B"/>
    <w:rsid w:val="00160E81"/>
    <w:rsid w:val="001705F6"/>
    <w:rsid w:val="001769CA"/>
    <w:rsid w:val="00190C99"/>
    <w:rsid w:val="00190D0E"/>
    <w:rsid w:val="001A039F"/>
    <w:rsid w:val="001C0FF2"/>
    <w:rsid w:val="001D0E14"/>
    <w:rsid w:val="001D1B6C"/>
    <w:rsid w:val="001D3D7F"/>
    <w:rsid w:val="001D55CB"/>
    <w:rsid w:val="001F54BD"/>
    <w:rsid w:val="001F6CE6"/>
    <w:rsid w:val="00201A3D"/>
    <w:rsid w:val="00206581"/>
    <w:rsid w:val="002116A0"/>
    <w:rsid w:val="00217F86"/>
    <w:rsid w:val="002570BE"/>
    <w:rsid w:val="00260844"/>
    <w:rsid w:val="00261252"/>
    <w:rsid w:val="00272C26"/>
    <w:rsid w:val="00286E1B"/>
    <w:rsid w:val="002918C2"/>
    <w:rsid w:val="002B0BA6"/>
    <w:rsid w:val="002B3B31"/>
    <w:rsid w:val="002C1F09"/>
    <w:rsid w:val="002C6B4E"/>
    <w:rsid w:val="002D7594"/>
    <w:rsid w:val="002F0AD4"/>
    <w:rsid w:val="002F4F46"/>
    <w:rsid w:val="00301D50"/>
    <w:rsid w:val="0031176E"/>
    <w:rsid w:val="0031488B"/>
    <w:rsid w:val="00323136"/>
    <w:rsid w:val="0033635F"/>
    <w:rsid w:val="0034107E"/>
    <w:rsid w:val="003421A9"/>
    <w:rsid w:val="00342905"/>
    <w:rsid w:val="00347B0F"/>
    <w:rsid w:val="003505C2"/>
    <w:rsid w:val="0035393A"/>
    <w:rsid w:val="00357073"/>
    <w:rsid w:val="00357B7F"/>
    <w:rsid w:val="00364C31"/>
    <w:rsid w:val="00365532"/>
    <w:rsid w:val="0037293F"/>
    <w:rsid w:val="003737D4"/>
    <w:rsid w:val="0039748A"/>
    <w:rsid w:val="003B4275"/>
    <w:rsid w:val="003C2732"/>
    <w:rsid w:val="003C522B"/>
    <w:rsid w:val="003D4498"/>
    <w:rsid w:val="003D71A1"/>
    <w:rsid w:val="003E7A38"/>
    <w:rsid w:val="00423339"/>
    <w:rsid w:val="004341DA"/>
    <w:rsid w:val="00440CAA"/>
    <w:rsid w:val="00462E4A"/>
    <w:rsid w:val="004729EC"/>
    <w:rsid w:val="00473DA4"/>
    <w:rsid w:val="00475C3E"/>
    <w:rsid w:val="00475F23"/>
    <w:rsid w:val="00490AA3"/>
    <w:rsid w:val="00493F4E"/>
    <w:rsid w:val="004A7DF5"/>
    <w:rsid w:val="004D3A70"/>
    <w:rsid w:val="004D5983"/>
    <w:rsid w:val="00502218"/>
    <w:rsid w:val="00511697"/>
    <w:rsid w:val="0051353A"/>
    <w:rsid w:val="00524C92"/>
    <w:rsid w:val="0056228E"/>
    <w:rsid w:val="00567E79"/>
    <w:rsid w:val="00573B7B"/>
    <w:rsid w:val="00574CCE"/>
    <w:rsid w:val="0058450C"/>
    <w:rsid w:val="0059076D"/>
    <w:rsid w:val="00590E7C"/>
    <w:rsid w:val="005928A7"/>
    <w:rsid w:val="00594A3E"/>
    <w:rsid w:val="005A22B2"/>
    <w:rsid w:val="005A3028"/>
    <w:rsid w:val="005A799D"/>
    <w:rsid w:val="005C432D"/>
    <w:rsid w:val="005D1B04"/>
    <w:rsid w:val="005E3DB4"/>
    <w:rsid w:val="00600E42"/>
    <w:rsid w:val="00611D0E"/>
    <w:rsid w:val="006159CE"/>
    <w:rsid w:val="00615AA0"/>
    <w:rsid w:val="0062146C"/>
    <w:rsid w:val="006222FA"/>
    <w:rsid w:val="00622354"/>
    <w:rsid w:val="0063773A"/>
    <w:rsid w:val="00644B57"/>
    <w:rsid w:val="0065127E"/>
    <w:rsid w:val="00672370"/>
    <w:rsid w:val="00672CB6"/>
    <w:rsid w:val="00693019"/>
    <w:rsid w:val="006961AC"/>
    <w:rsid w:val="00696F5F"/>
    <w:rsid w:val="006A0AB9"/>
    <w:rsid w:val="006B03DE"/>
    <w:rsid w:val="006B24F2"/>
    <w:rsid w:val="006B4C86"/>
    <w:rsid w:val="006C2B3D"/>
    <w:rsid w:val="006C303A"/>
    <w:rsid w:val="006C41BC"/>
    <w:rsid w:val="006D6C81"/>
    <w:rsid w:val="006F1D09"/>
    <w:rsid w:val="00704E1F"/>
    <w:rsid w:val="00706838"/>
    <w:rsid w:val="00706D4F"/>
    <w:rsid w:val="007109DF"/>
    <w:rsid w:val="007123D5"/>
    <w:rsid w:val="007128CB"/>
    <w:rsid w:val="0071598D"/>
    <w:rsid w:val="00734681"/>
    <w:rsid w:val="00734B6D"/>
    <w:rsid w:val="00741DBA"/>
    <w:rsid w:val="007434BA"/>
    <w:rsid w:val="00780937"/>
    <w:rsid w:val="0078163F"/>
    <w:rsid w:val="007A25CD"/>
    <w:rsid w:val="007A5570"/>
    <w:rsid w:val="007B12E8"/>
    <w:rsid w:val="007B291A"/>
    <w:rsid w:val="007B3227"/>
    <w:rsid w:val="007C3626"/>
    <w:rsid w:val="007D76A2"/>
    <w:rsid w:val="007E0DCA"/>
    <w:rsid w:val="007E1745"/>
    <w:rsid w:val="008022AE"/>
    <w:rsid w:val="00814F32"/>
    <w:rsid w:val="00821E4B"/>
    <w:rsid w:val="008234A8"/>
    <w:rsid w:val="00826B94"/>
    <w:rsid w:val="0083286B"/>
    <w:rsid w:val="00844B8E"/>
    <w:rsid w:val="00847075"/>
    <w:rsid w:val="00874106"/>
    <w:rsid w:val="00880C85"/>
    <w:rsid w:val="00883F3F"/>
    <w:rsid w:val="00885C11"/>
    <w:rsid w:val="008A311A"/>
    <w:rsid w:val="008B0B27"/>
    <w:rsid w:val="008B3213"/>
    <w:rsid w:val="008B4B7D"/>
    <w:rsid w:val="008D1798"/>
    <w:rsid w:val="008D50F1"/>
    <w:rsid w:val="008E6CE2"/>
    <w:rsid w:val="00905C3C"/>
    <w:rsid w:val="00906AAF"/>
    <w:rsid w:val="009075A8"/>
    <w:rsid w:val="00955275"/>
    <w:rsid w:val="00966781"/>
    <w:rsid w:val="009671D8"/>
    <w:rsid w:val="00970779"/>
    <w:rsid w:val="0097268E"/>
    <w:rsid w:val="00973798"/>
    <w:rsid w:val="00986293"/>
    <w:rsid w:val="00987510"/>
    <w:rsid w:val="0099049E"/>
    <w:rsid w:val="00991532"/>
    <w:rsid w:val="009A39D8"/>
    <w:rsid w:val="009A5CE7"/>
    <w:rsid w:val="009B1ECB"/>
    <w:rsid w:val="009B704F"/>
    <w:rsid w:val="009D1900"/>
    <w:rsid w:val="009D4146"/>
    <w:rsid w:val="009E6438"/>
    <w:rsid w:val="009F2937"/>
    <w:rsid w:val="009F6BAC"/>
    <w:rsid w:val="00A17ABD"/>
    <w:rsid w:val="00A249D2"/>
    <w:rsid w:val="00A31225"/>
    <w:rsid w:val="00A32A27"/>
    <w:rsid w:val="00A402F0"/>
    <w:rsid w:val="00A41844"/>
    <w:rsid w:val="00A4546E"/>
    <w:rsid w:val="00A47374"/>
    <w:rsid w:val="00A6203B"/>
    <w:rsid w:val="00A71AD6"/>
    <w:rsid w:val="00A77C84"/>
    <w:rsid w:val="00A81DEF"/>
    <w:rsid w:val="00A84FA1"/>
    <w:rsid w:val="00A90E0C"/>
    <w:rsid w:val="00A91768"/>
    <w:rsid w:val="00AD7A20"/>
    <w:rsid w:val="00AE0986"/>
    <w:rsid w:val="00AE2FE0"/>
    <w:rsid w:val="00AF095C"/>
    <w:rsid w:val="00AF10B8"/>
    <w:rsid w:val="00AF6614"/>
    <w:rsid w:val="00B07EEF"/>
    <w:rsid w:val="00B16AFC"/>
    <w:rsid w:val="00B23973"/>
    <w:rsid w:val="00B31A68"/>
    <w:rsid w:val="00B51F09"/>
    <w:rsid w:val="00B560BD"/>
    <w:rsid w:val="00B64064"/>
    <w:rsid w:val="00B65D30"/>
    <w:rsid w:val="00B77CDF"/>
    <w:rsid w:val="00B804E0"/>
    <w:rsid w:val="00B8126F"/>
    <w:rsid w:val="00B84A63"/>
    <w:rsid w:val="00B92CDD"/>
    <w:rsid w:val="00BA5616"/>
    <w:rsid w:val="00BC2359"/>
    <w:rsid w:val="00BC55B8"/>
    <w:rsid w:val="00BC60F2"/>
    <w:rsid w:val="00BD613C"/>
    <w:rsid w:val="00BE6D8C"/>
    <w:rsid w:val="00BF03F3"/>
    <w:rsid w:val="00BF1D9D"/>
    <w:rsid w:val="00BF20DA"/>
    <w:rsid w:val="00C02F74"/>
    <w:rsid w:val="00C05287"/>
    <w:rsid w:val="00C07A92"/>
    <w:rsid w:val="00C14865"/>
    <w:rsid w:val="00C211A6"/>
    <w:rsid w:val="00C2241C"/>
    <w:rsid w:val="00C3424B"/>
    <w:rsid w:val="00C41EBC"/>
    <w:rsid w:val="00C5210F"/>
    <w:rsid w:val="00C57D50"/>
    <w:rsid w:val="00C631C8"/>
    <w:rsid w:val="00C7653A"/>
    <w:rsid w:val="00C8504C"/>
    <w:rsid w:val="00C875A3"/>
    <w:rsid w:val="00C953D9"/>
    <w:rsid w:val="00CA6065"/>
    <w:rsid w:val="00CA6412"/>
    <w:rsid w:val="00CA680B"/>
    <w:rsid w:val="00CC4323"/>
    <w:rsid w:val="00CC4CC3"/>
    <w:rsid w:val="00CC5603"/>
    <w:rsid w:val="00CD08F3"/>
    <w:rsid w:val="00D23222"/>
    <w:rsid w:val="00D241F2"/>
    <w:rsid w:val="00D24CB6"/>
    <w:rsid w:val="00D341A5"/>
    <w:rsid w:val="00D504C3"/>
    <w:rsid w:val="00D535F6"/>
    <w:rsid w:val="00D62F76"/>
    <w:rsid w:val="00D6638E"/>
    <w:rsid w:val="00D66718"/>
    <w:rsid w:val="00D70F1F"/>
    <w:rsid w:val="00D85557"/>
    <w:rsid w:val="00D861D4"/>
    <w:rsid w:val="00D97E0F"/>
    <w:rsid w:val="00DA3605"/>
    <w:rsid w:val="00DB459B"/>
    <w:rsid w:val="00DB4A17"/>
    <w:rsid w:val="00DC2B00"/>
    <w:rsid w:val="00DD3423"/>
    <w:rsid w:val="00DD3C99"/>
    <w:rsid w:val="00DE3502"/>
    <w:rsid w:val="00DF40BE"/>
    <w:rsid w:val="00E07031"/>
    <w:rsid w:val="00E261E7"/>
    <w:rsid w:val="00E319C7"/>
    <w:rsid w:val="00E42E71"/>
    <w:rsid w:val="00E44A76"/>
    <w:rsid w:val="00E47E73"/>
    <w:rsid w:val="00E502C2"/>
    <w:rsid w:val="00E51A05"/>
    <w:rsid w:val="00E51ED6"/>
    <w:rsid w:val="00E608F4"/>
    <w:rsid w:val="00E6194F"/>
    <w:rsid w:val="00E61DEE"/>
    <w:rsid w:val="00E6659D"/>
    <w:rsid w:val="00E7389A"/>
    <w:rsid w:val="00E84606"/>
    <w:rsid w:val="00E95A9E"/>
    <w:rsid w:val="00E96E30"/>
    <w:rsid w:val="00EA6F2C"/>
    <w:rsid w:val="00EB281F"/>
    <w:rsid w:val="00EB3B42"/>
    <w:rsid w:val="00EB5DF1"/>
    <w:rsid w:val="00EC182C"/>
    <w:rsid w:val="00ED43AB"/>
    <w:rsid w:val="00ED454E"/>
    <w:rsid w:val="00ED7710"/>
    <w:rsid w:val="00EE17C5"/>
    <w:rsid w:val="00EE1DBC"/>
    <w:rsid w:val="00EF2DCA"/>
    <w:rsid w:val="00F01C5E"/>
    <w:rsid w:val="00F02060"/>
    <w:rsid w:val="00F14875"/>
    <w:rsid w:val="00F2301D"/>
    <w:rsid w:val="00F26248"/>
    <w:rsid w:val="00F264B0"/>
    <w:rsid w:val="00F36E58"/>
    <w:rsid w:val="00FA3E3B"/>
    <w:rsid w:val="00FB0BDD"/>
    <w:rsid w:val="00FB1A68"/>
    <w:rsid w:val="00FB50CC"/>
    <w:rsid w:val="00FC15D7"/>
    <w:rsid w:val="00FD56B4"/>
    <w:rsid w:val="00FE08A7"/>
    <w:rsid w:val="00FE54A2"/>
    <w:rsid w:val="00FE7A7B"/>
    <w:rsid w:val="00FF1193"/>
    <w:rsid w:val="00FF1EBF"/>
    <w:rsid w:val="00FF2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B0AAFC"/>
  <w15:docId w15:val="{8C392EDC-CC94-4D6C-BC87-515937E6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81"/>
    <w:pPr>
      <w:spacing w:after="200" w:line="276" w:lineRule="auto"/>
      <w:contextualSpacing/>
    </w:pPr>
    <w:rPr>
      <w:sz w:val="24"/>
    </w:rPr>
  </w:style>
  <w:style w:type="paragraph" w:styleId="Heading1">
    <w:name w:val="heading 1"/>
    <w:basedOn w:val="Normal"/>
    <w:next w:val="Normal"/>
    <w:link w:val="Heading1Char"/>
    <w:uiPriority w:val="99"/>
    <w:qFormat/>
    <w:rsid w:val="00B51F09"/>
    <w:pPr>
      <w:keepNext/>
      <w:tabs>
        <w:tab w:val="center" w:pos="720"/>
        <w:tab w:val="center" w:pos="9270"/>
      </w:tabs>
      <w:spacing w:before="240" w:after="240" w:line="240" w:lineRule="auto"/>
      <w:ind w:left="907" w:hanging="907"/>
      <w:jc w:val="both"/>
      <w:outlineLvl w:val="0"/>
    </w:pPr>
    <w:rPr>
      <w:rFonts w:ascii="Arial" w:eastAsia="Times New Roman" w:hAnsi="Arial"/>
      <w:b/>
      <w:bCs/>
      <w:caps/>
      <w:szCs w:val="24"/>
      <w:lang w:val="en-GB"/>
    </w:rPr>
  </w:style>
  <w:style w:type="paragraph" w:styleId="Heading2">
    <w:name w:val="heading 2"/>
    <w:basedOn w:val="Heading1"/>
    <w:next w:val="Normal"/>
    <w:link w:val="Heading2Char"/>
    <w:uiPriority w:val="99"/>
    <w:qFormat/>
    <w:rsid w:val="00B51F09"/>
    <w:pPr>
      <w:outlineLvl w:val="1"/>
    </w:pPr>
    <w:rPr>
      <w:bCs w:val="0"/>
      <w:iCs/>
      <w:caps w:val="0"/>
      <w:szCs w:val="28"/>
    </w:rPr>
  </w:style>
  <w:style w:type="paragraph" w:styleId="Heading3">
    <w:name w:val="heading 3"/>
    <w:basedOn w:val="Normal"/>
    <w:next w:val="Normal"/>
    <w:link w:val="Heading3Char"/>
    <w:uiPriority w:val="99"/>
    <w:qFormat/>
    <w:rsid w:val="00696F5F"/>
    <w:pPr>
      <w:keepNext/>
      <w:numPr>
        <w:ilvl w:val="2"/>
        <w:numId w:val="1"/>
      </w:numPr>
      <w:spacing w:before="240" w:after="240" w:line="240" w:lineRule="auto"/>
      <w:jc w:val="both"/>
      <w:outlineLvl w:val="2"/>
    </w:pPr>
    <w:rPr>
      <w:rFonts w:ascii="Arial" w:eastAsia="Times New Roman" w:hAnsi="Arial" w:cs="Arial"/>
      <w:b/>
      <w:bCs/>
      <w:szCs w:val="26"/>
      <w:lang w:val="en-GB"/>
    </w:rPr>
  </w:style>
  <w:style w:type="paragraph" w:styleId="Heading4">
    <w:name w:val="heading 4"/>
    <w:basedOn w:val="Normal"/>
    <w:next w:val="Normal"/>
    <w:link w:val="Heading4Char"/>
    <w:uiPriority w:val="99"/>
    <w:qFormat/>
    <w:rsid w:val="00696F5F"/>
    <w:pPr>
      <w:keepNext/>
      <w:numPr>
        <w:ilvl w:val="3"/>
        <w:numId w:val="1"/>
      </w:numPr>
      <w:spacing w:before="240" w:after="240" w:line="240" w:lineRule="auto"/>
      <w:jc w:val="both"/>
      <w:outlineLvl w:val="3"/>
    </w:pPr>
    <w:rPr>
      <w:rFonts w:ascii="Arial" w:eastAsia="Times New Roman" w:hAnsi="Arial"/>
      <w:b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1F09"/>
    <w:rPr>
      <w:rFonts w:ascii="Arial" w:eastAsia="Times New Roman" w:hAnsi="Arial"/>
      <w:b/>
      <w:bCs/>
      <w:caps/>
      <w:szCs w:val="24"/>
      <w:lang w:val="en-GB"/>
    </w:rPr>
  </w:style>
  <w:style w:type="character" w:customStyle="1" w:styleId="Heading2Char">
    <w:name w:val="Heading 2 Char"/>
    <w:basedOn w:val="DefaultParagraphFont"/>
    <w:link w:val="Heading2"/>
    <w:uiPriority w:val="99"/>
    <w:locked/>
    <w:rsid w:val="00B51F09"/>
    <w:rPr>
      <w:rFonts w:ascii="Arial" w:eastAsia="Times New Roman" w:hAnsi="Arial"/>
      <w:b/>
      <w:iCs/>
      <w:szCs w:val="28"/>
      <w:lang w:val="en-GB"/>
    </w:rPr>
  </w:style>
  <w:style w:type="character" w:customStyle="1" w:styleId="Heading3Char">
    <w:name w:val="Heading 3 Char"/>
    <w:basedOn w:val="DefaultParagraphFont"/>
    <w:link w:val="Heading3"/>
    <w:uiPriority w:val="99"/>
    <w:locked/>
    <w:rsid w:val="00696F5F"/>
    <w:rPr>
      <w:rFonts w:ascii="Arial" w:eastAsia="Times New Roman" w:hAnsi="Arial" w:cs="Arial"/>
      <w:b/>
      <w:bCs/>
      <w:szCs w:val="26"/>
      <w:lang w:val="en-GB"/>
    </w:rPr>
  </w:style>
  <w:style w:type="character" w:customStyle="1" w:styleId="Heading4Char">
    <w:name w:val="Heading 4 Char"/>
    <w:basedOn w:val="DefaultParagraphFont"/>
    <w:link w:val="Heading4"/>
    <w:uiPriority w:val="99"/>
    <w:locked/>
    <w:rsid w:val="00696F5F"/>
    <w:rPr>
      <w:rFonts w:ascii="Arial" w:eastAsia="Times New Roman" w:hAnsi="Arial"/>
      <w:bCs/>
      <w:szCs w:val="28"/>
      <w:lang w:val="en-GB"/>
    </w:rPr>
  </w:style>
  <w:style w:type="paragraph" w:styleId="Header">
    <w:name w:val="header"/>
    <w:basedOn w:val="Normal"/>
    <w:link w:val="HeaderChar"/>
    <w:uiPriority w:val="99"/>
    <w:rsid w:val="008A311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A311A"/>
    <w:rPr>
      <w:rFonts w:cs="Times New Roman"/>
    </w:rPr>
  </w:style>
  <w:style w:type="paragraph" w:styleId="Footer">
    <w:name w:val="footer"/>
    <w:basedOn w:val="Normal"/>
    <w:link w:val="FooterChar"/>
    <w:uiPriority w:val="99"/>
    <w:rsid w:val="008A311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A311A"/>
    <w:rPr>
      <w:rFonts w:cs="Times New Roman"/>
    </w:rPr>
  </w:style>
  <w:style w:type="paragraph" w:styleId="BalloonText">
    <w:name w:val="Balloon Text"/>
    <w:basedOn w:val="Normal"/>
    <w:link w:val="BalloonTextChar"/>
    <w:uiPriority w:val="99"/>
    <w:semiHidden/>
    <w:rsid w:val="008A3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311A"/>
    <w:rPr>
      <w:rFonts w:ascii="Tahoma" w:hAnsi="Tahoma" w:cs="Tahoma"/>
      <w:sz w:val="16"/>
      <w:szCs w:val="16"/>
    </w:rPr>
  </w:style>
  <w:style w:type="character" w:styleId="PageNumber">
    <w:name w:val="page number"/>
    <w:basedOn w:val="DefaultParagraphFont"/>
    <w:uiPriority w:val="99"/>
    <w:rsid w:val="008A311A"/>
    <w:rPr>
      <w:rFonts w:cs="Times New Roman"/>
    </w:rPr>
  </w:style>
  <w:style w:type="paragraph" w:styleId="ListParagraph">
    <w:name w:val="List Paragraph"/>
    <w:basedOn w:val="Normal"/>
    <w:uiPriority w:val="99"/>
    <w:qFormat/>
    <w:rsid w:val="008A311A"/>
    <w:pPr>
      <w:ind w:left="720"/>
    </w:pPr>
  </w:style>
  <w:style w:type="character" w:styleId="Hyperlink">
    <w:name w:val="Hyperlink"/>
    <w:basedOn w:val="DefaultParagraphFont"/>
    <w:uiPriority w:val="99"/>
    <w:rsid w:val="00696F5F"/>
    <w:rPr>
      <w:rFonts w:ascii="Arial" w:hAnsi="Arial" w:cs="Times New Roman"/>
      <w:color w:val="0000FF"/>
      <w:sz w:val="22"/>
      <w:u w:val="single"/>
    </w:rPr>
  </w:style>
  <w:style w:type="character" w:styleId="CommentReference">
    <w:name w:val="annotation reference"/>
    <w:basedOn w:val="DefaultParagraphFont"/>
    <w:uiPriority w:val="99"/>
    <w:semiHidden/>
    <w:rsid w:val="00696F5F"/>
    <w:rPr>
      <w:rFonts w:cs="Times New Roman"/>
      <w:sz w:val="16"/>
      <w:szCs w:val="16"/>
    </w:rPr>
  </w:style>
  <w:style w:type="paragraph" w:styleId="CommentText">
    <w:name w:val="annotation text"/>
    <w:basedOn w:val="Normal"/>
    <w:link w:val="CommentTextChar"/>
    <w:uiPriority w:val="99"/>
    <w:semiHidden/>
    <w:rsid w:val="00696F5F"/>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locked/>
    <w:rsid w:val="00696F5F"/>
    <w:rPr>
      <w:rFonts w:ascii="Times New Roman" w:hAnsi="Times New Roman" w:cs="Times New Roman"/>
      <w:sz w:val="20"/>
      <w:szCs w:val="20"/>
    </w:rPr>
  </w:style>
  <w:style w:type="table" w:styleId="TableGrid">
    <w:name w:val="Table Grid"/>
    <w:basedOn w:val="TableNormal"/>
    <w:uiPriority w:val="99"/>
    <w:rsid w:val="002B3B31"/>
    <w:pPr>
      <w:contextualSpacing/>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uiPriority w:val="99"/>
    <w:rsid w:val="00D24CB6"/>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uiPriority w:val="99"/>
    <w:semiHidden/>
    <w:rsid w:val="00EA6F2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AD7A20"/>
    <w:rPr>
      <w:rFonts w:ascii="Times New Roman" w:hAnsi="Times New Roman" w:cs="Times New Roman"/>
      <w:sz w:val="2"/>
    </w:rPr>
  </w:style>
  <w:style w:type="paragraph" w:customStyle="1" w:styleId="Attachmenttabletext">
    <w:name w:val="Attachment table text"/>
    <w:basedOn w:val="Normal"/>
    <w:rsid w:val="00574CCE"/>
    <w:pPr>
      <w:tabs>
        <w:tab w:val="left" w:pos="5797"/>
      </w:tabs>
      <w:spacing w:before="60" w:after="60" w:line="240" w:lineRule="auto"/>
    </w:pPr>
    <w:rPr>
      <w:rFonts w:ascii="Arial" w:eastAsia="Times New Roman" w:hAnsi="Arial"/>
      <w:bCs/>
      <w:snapToGrid w:val="0"/>
      <w:sz w:val="18"/>
      <w:szCs w:val="20"/>
    </w:rPr>
  </w:style>
  <w:style w:type="paragraph" w:customStyle="1" w:styleId="Attachmentsignatureline">
    <w:name w:val="Attachment signature line"/>
    <w:basedOn w:val="Attachmenttabletext"/>
    <w:rsid w:val="00574CCE"/>
    <w:pPr>
      <w:spacing w:before="0"/>
    </w:pPr>
    <w:rPr>
      <w:sz w:val="14"/>
    </w:rPr>
  </w:style>
  <w:style w:type="paragraph" w:customStyle="1" w:styleId="Normalwith1tab">
    <w:name w:val="Normal with 1 tab"/>
    <w:basedOn w:val="Normal"/>
    <w:rsid w:val="00966781"/>
    <w:pPr>
      <w:tabs>
        <w:tab w:val="left" w:pos="9360"/>
      </w:tabs>
      <w:suppressAutoHyphens/>
      <w:spacing w:after="120" w:line="240" w:lineRule="auto"/>
      <w:ind w:left="2433" w:hanging="2059"/>
    </w:pPr>
    <w:rPr>
      <w:rFonts w:ascii="Arial" w:eastAsia="Times New Roman" w:hAnsi="Arial"/>
      <w:bCs/>
      <w:snapToGrid w:val="0"/>
      <w:color w:val="000000"/>
      <w:sz w:val="19"/>
      <w:szCs w:val="20"/>
    </w:rPr>
  </w:style>
  <w:style w:type="paragraph" w:styleId="CommentSubject">
    <w:name w:val="annotation subject"/>
    <w:basedOn w:val="CommentText"/>
    <w:next w:val="CommentText"/>
    <w:link w:val="CommentSubjectChar"/>
    <w:uiPriority w:val="99"/>
    <w:semiHidden/>
    <w:unhideWhenUsed/>
    <w:locked/>
    <w:rsid w:val="0059076D"/>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59076D"/>
    <w:rPr>
      <w:rFonts w:ascii="Times New Roman" w:hAnsi="Times New Roman" w:cs="Times New Roman"/>
      <w:b/>
      <w:bCs/>
      <w:sz w:val="20"/>
      <w:szCs w:val="20"/>
    </w:rPr>
  </w:style>
  <w:style w:type="paragraph" w:styleId="Revision">
    <w:name w:val="Revision"/>
    <w:hidden/>
    <w:uiPriority w:val="99"/>
    <w:semiHidden/>
    <w:rsid w:val="00BF1D9D"/>
  </w:style>
  <w:style w:type="paragraph" w:customStyle="1" w:styleId="SOPHeading1">
    <w:name w:val="SOP_Heading_1"/>
    <w:basedOn w:val="Heading1"/>
    <w:link w:val="SOPHeading1Char"/>
    <w:qFormat/>
    <w:rsid w:val="00987510"/>
    <w:pPr>
      <w:numPr>
        <w:numId w:val="10"/>
      </w:numPr>
    </w:pPr>
    <w:rPr>
      <w:rFonts w:asciiTheme="minorHAnsi" w:hAnsiTheme="minorHAnsi"/>
    </w:rPr>
  </w:style>
  <w:style w:type="paragraph" w:customStyle="1" w:styleId="SOPBody">
    <w:name w:val="SOP_Body"/>
    <w:basedOn w:val="Default"/>
    <w:link w:val="SOPBodyChar"/>
    <w:qFormat/>
    <w:rsid w:val="00734681"/>
    <w:pPr>
      <w:contextualSpacing/>
    </w:pPr>
    <w:rPr>
      <w:rFonts w:asciiTheme="minorHAnsi" w:hAnsiTheme="minorHAnsi"/>
    </w:rPr>
  </w:style>
  <w:style w:type="character" w:customStyle="1" w:styleId="SOPHeading1Char">
    <w:name w:val="SOP_Heading_1 Char"/>
    <w:basedOn w:val="Heading1Char"/>
    <w:link w:val="SOPHeading1"/>
    <w:rsid w:val="00987510"/>
    <w:rPr>
      <w:rFonts w:asciiTheme="minorHAnsi" w:eastAsia="Times New Roman" w:hAnsiTheme="minorHAnsi"/>
      <w:b/>
      <w:bCs/>
      <w:caps/>
      <w:sz w:val="24"/>
      <w:szCs w:val="24"/>
      <w:lang w:val="en-GB"/>
    </w:rPr>
  </w:style>
  <w:style w:type="paragraph" w:customStyle="1" w:styleId="SOPHeading2">
    <w:name w:val="SOP_Heading_2"/>
    <w:basedOn w:val="SOPHeading1"/>
    <w:link w:val="SOPHeading2Char"/>
    <w:qFormat/>
    <w:rsid w:val="00A47374"/>
    <w:pPr>
      <w:numPr>
        <w:ilvl w:val="1"/>
      </w:numPr>
      <w:ind w:left="792"/>
    </w:pPr>
    <w:rPr>
      <w:caps w:val="0"/>
    </w:rPr>
  </w:style>
  <w:style w:type="character" w:customStyle="1" w:styleId="DefaultChar">
    <w:name w:val="Default Char"/>
    <w:basedOn w:val="DefaultParagraphFont"/>
    <w:link w:val="Default"/>
    <w:uiPriority w:val="99"/>
    <w:rsid w:val="003737D4"/>
    <w:rPr>
      <w:rFonts w:ascii="Arial" w:hAnsi="Arial" w:cs="Arial"/>
      <w:color w:val="000000"/>
      <w:sz w:val="24"/>
      <w:szCs w:val="24"/>
    </w:rPr>
  </w:style>
  <w:style w:type="character" w:customStyle="1" w:styleId="SOPBodyChar">
    <w:name w:val="SOP_Body Char"/>
    <w:basedOn w:val="DefaultChar"/>
    <w:link w:val="SOPBody"/>
    <w:rsid w:val="00734681"/>
    <w:rPr>
      <w:rFonts w:asciiTheme="minorHAnsi" w:hAnsiTheme="minorHAnsi" w:cs="Arial"/>
      <w:color w:val="000000"/>
      <w:sz w:val="24"/>
      <w:szCs w:val="24"/>
    </w:rPr>
  </w:style>
  <w:style w:type="character" w:customStyle="1" w:styleId="SOPHeading2Char">
    <w:name w:val="SOP_Heading_2 Char"/>
    <w:basedOn w:val="SOPHeading1Char"/>
    <w:link w:val="SOPHeading2"/>
    <w:rsid w:val="00A47374"/>
    <w:rPr>
      <w:rFonts w:asciiTheme="minorHAnsi" w:eastAsia="Times New Roman" w:hAnsiTheme="minorHAnsi"/>
      <w:b/>
      <w:bCs/>
      <w:caps w:val="0"/>
      <w:sz w:val="24"/>
      <w:szCs w:val="24"/>
      <w:lang w:val="en-GB"/>
    </w:rPr>
  </w:style>
  <w:style w:type="paragraph" w:customStyle="1" w:styleId="SOPNumbering">
    <w:name w:val="SOP_Numbering"/>
    <w:basedOn w:val="Default"/>
    <w:link w:val="SOPNumberingChar"/>
    <w:qFormat/>
    <w:rsid w:val="00672CB6"/>
    <w:pPr>
      <w:numPr>
        <w:numId w:val="6"/>
      </w:numPr>
      <w:spacing w:after="120"/>
    </w:pPr>
    <w:rPr>
      <w:rFonts w:asciiTheme="minorHAnsi" w:hAnsiTheme="minorHAnsi"/>
    </w:rPr>
  </w:style>
  <w:style w:type="character" w:customStyle="1" w:styleId="SOPNumberingChar">
    <w:name w:val="SOP_Numbering Char"/>
    <w:basedOn w:val="DefaultChar"/>
    <w:link w:val="SOPNumbering"/>
    <w:rsid w:val="00672CB6"/>
    <w:rPr>
      <w:rFonts w:asciiTheme="minorHAnsi" w:hAnsiTheme="minorHAnsi" w:cs="Arial"/>
      <w:color w:val="000000"/>
      <w:sz w:val="24"/>
      <w:szCs w:val="24"/>
    </w:rPr>
  </w:style>
  <w:style w:type="paragraph" w:customStyle="1" w:styleId="SOPHeader3">
    <w:name w:val="SOP_Header_3"/>
    <w:basedOn w:val="SOPHeading2"/>
    <w:link w:val="SOPHeader3Char"/>
    <w:qFormat/>
    <w:rsid w:val="007128CB"/>
    <w:pPr>
      <w:numPr>
        <w:ilvl w:val="2"/>
      </w:numPr>
      <w:tabs>
        <w:tab w:val="clear" w:pos="9270"/>
      </w:tabs>
    </w:pPr>
    <w:rPr>
      <w:b w:val="0"/>
    </w:rPr>
  </w:style>
  <w:style w:type="character" w:customStyle="1" w:styleId="SOPHeader3Char">
    <w:name w:val="SOP_Header_3 Char"/>
    <w:basedOn w:val="SOPHeading2Char"/>
    <w:link w:val="SOPHeader3"/>
    <w:rsid w:val="007128CB"/>
    <w:rPr>
      <w:rFonts w:asciiTheme="minorHAnsi" w:eastAsia="Times New Roman" w:hAnsiTheme="minorHAnsi"/>
      <w:b w:val="0"/>
      <w:bCs/>
      <w:caps w:val="0"/>
      <w:sz w:val="24"/>
      <w:szCs w:val="24"/>
      <w:lang w:val="en-GB"/>
    </w:rPr>
  </w:style>
  <w:style w:type="paragraph" w:customStyle="1" w:styleId="TableHeading">
    <w:name w:val="Table Heading"/>
    <w:basedOn w:val="Normal"/>
    <w:link w:val="TableHeadingChar"/>
    <w:qFormat/>
    <w:rsid w:val="00D70F1F"/>
    <w:pPr>
      <w:spacing w:after="0"/>
      <w:jc w:val="center"/>
    </w:pPr>
    <w:rPr>
      <w:b/>
      <w:bCs/>
      <w:szCs w:val="20"/>
    </w:rPr>
  </w:style>
  <w:style w:type="character" w:customStyle="1" w:styleId="TableHeadingChar">
    <w:name w:val="Table Heading Char"/>
    <w:basedOn w:val="DefaultParagraphFont"/>
    <w:link w:val="TableHeading"/>
    <w:rsid w:val="00D70F1F"/>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0053">
      <w:bodyDiv w:val="1"/>
      <w:marLeft w:val="0"/>
      <w:marRight w:val="0"/>
      <w:marTop w:val="0"/>
      <w:marBottom w:val="0"/>
      <w:divBdr>
        <w:top w:val="none" w:sz="0" w:space="0" w:color="auto"/>
        <w:left w:val="none" w:sz="0" w:space="0" w:color="auto"/>
        <w:bottom w:val="none" w:sz="0" w:space="0" w:color="auto"/>
        <w:right w:val="none" w:sz="0" w:space="0" w:color="auto"/>
      </w:divBdr>
    </w:div>
    <w:div w:id="182280131">
      <w:bodyDiv w:val="1"/>
      <w:marLeft w:val="0"/>
      <w:marRight w:val="0"/>
      <w:marTop w:val="0"/>
      <w:marBottom w:val="0"/>
      <w:divBdr>
        <w:top w:val="none" w:sz="0" w:space="0" w:color="auto"/>
        <w:left w:val="none" w:sz="0" w:space="0" w:color="auto"/>
        <w:bottom w:val="none" w:sz="0" w:space="0" w:color="auto"/>
        <w:right w:val="none" w:sz="0" w:space="0" w:color="auto"/>
      </w:divBdr>
    </w:div>
    <w:div w:id="191378530">
      <w:bodyDiv w:val="1"/>
      <w:marLeft w:val="0"/>
      <w:marRight w:val="0"/>
      <w:marTop w:val="0"/>
      <w:marBottom w:val="0"/>
      <w:divBdr>
        <w:top w:val="none" w:sz="0" w:space="0" w:color="auto"/>
        <w:left w:val="none" w:sz="0" w:space="0" w:color="auto"/>
        <w:bottom w:val="none" w:sz="0" w:space="0" w:color="auto"/>
        <w:right w:val="none" w:sz="0" w:space="0" w:color="auto"/>
      </w:divBdr>
    </w:div>
    <w:div w:id="198978425">
      <w:bodyDiv w:val="1"/>
      <w:marLeft w:val="0"/>
      <w:marRight w:val="0"/>
      <w:marTop w:val="0"/>
      <w:marBottom w:val="0"/>
      <w:divBdr>
        <w:top w:val="none" w:sz="0" w:space="0" w:color="auto"/>
        <w:left w:val="none" w:sz="0" w:space="0" w:color="auto"/>
        <w:bottom w:val="none" w:sz="0" w:space="0" w:color="auto"/>
        <w:right w:val="none" w:sz="0" w:space="0" w:color="auto"/>
      </w:divBdr>
    </w:div>
    <w:div w:id="376899609">
      <w:bodyDiv w:val="1"/>
      <w:marLeft w:val="0"/>
      <w:marRight w:val="0"/>
      <w:marTop w:val="0"/>
      <w:marBottom w:val="0"/>
      <w:divBdr>
        <w:top w:val="none" w:sz="0" w:space="0" w:color="auto"/>
        <w:left w:val="none" w:sz="0" w:space="0" w:color="auto"/>
        <w:bottom w:val="none" w:sz="0" w:space="0" w:color="auto"/>
        <w:right w:val="none" w:sz="0" w:space="0" w:color="auto"/>
      </w:divBdr>
    </w:div>
    <w:div w:id="381173220">
      <w:bodyDiv w:val="1"/>
      <w:marLeft w:val="0"/>
      <w:marRight w:val="0"/>
      <w:marTop w:val="0"/>
      <w:marBottom w:val="0"/>
      <w:divBdr>
        <w:top w:val="none" w:sz="0" w:space="0" w:color="auto"/>
        <w:left w:val="none" w:sz="0" w:space="0" w:color="auto"/>
        <w:bottom w:val="none" w:sz="0" w:space="0" w:color="auto"/>
        <w:right w:val="none" w:sz="0" w:space="0" w:color="auto"/>
      </w:divBdr>
    </w:div>
    <w:div w:id="409039912">
      <w:bodyDiv w:val="1"/>
      <w:marLeft w:val="0"/>
      <w:marRight w:val="0"/>
      <w:marTop w:val="0"/>
      <w:marBottom w:val="0"/>
      <w:divBdr>
        <w:top w:val="none" w:sz="0" w:space="0" w:color="auto"/>
        <w:left w:val="none" w:sz="0" w:space="0" w:color="auto"/>
        <w:bottom w:val="none" w:sz="0" w:space="0" w:color="auto"/>
        <w:right w:val="none" w:sz="0" w:space="0" w:color="auto"/>
      </w:divBdr>
    </w:div>
    <w:div w:id="538665407">
      <w:bodyDiv w:val="1"/>
      <w:marLeft w:val="0"/>
      <w:marRight w:val="0"/>
      <w:marTop w:val="0"/>
      <w:marBottom w:val="0"/>
      <w:divBdr>
        <w:top w:val="none" w:sz="0" w:space="0" w:color="auto"/>
        <w:left w:val="none" w:sz="0" w:space="0" w:color="auto"/>
        <w:bottom w:val="none" w:sz="0" w:space="0" w:color="auto"/>
        <w:right w:val="none" w:sz="0" w:space="0" w:color="auto"/>
      </w:divBdr>
    </w:div>
    <w:div w:id="658659077">
      <w:bodyDiv w:val="1"/>
      <w:marLeft w:val="0"/>
      <w:marRight w:val="0"/>
      <w:marTop w:val="0"/>
      <w:marBottom w:val="0"/>
      <w:divBdr>
        <w:top w:val="none" w:sz="0" w:space="0" w:color="auto"/>
        <w:left w:val="none" w:sz="0" w:space="0" w:color="auto"/>
        <w:bottom w:val="none" w:sz="0" w:space="0" w:color="auto"/>
        <w:right w:val="none" w:sz="0" w:space="0" w:color="auto"/>
      </w:divBdr>
    </w:div>
    <w:div w:id="677851110">
      <w:bodyDiv w:val="1"/>
      <w:marLeft w:val="0"/>
      <w:marRight w:val="0"/>
      <w:marTop w:val="0"/>
      <w:marBottom w:val="0"/>
      <w:divBdr>
        <w:top w:val="none" w:sz="0" w:space="0" w:color="auto"/>
        <w:left w:val="none" w:sz="0" w:space="0" w:color="auto"/>
        <w:bottom w:val="none" w:sz="0" w:space="0" w:color="auto"/>
        <w:right w:val="none" w:sz="0" w:space="0" w:color="auto"/>
      </w:divBdr>
    </w:div>
    <w:div w:id="824668019">
      <w:bodyDiv w:val="1"/>
      <w:marLeft w:val="0"/>
      <w:marRight w:val="0"/>
      <w:marTop w:val="0"/>
      <w:marBottom w:val="0"/>
      <w:divBdr>
        <w:top w:val="none" w:sz="0" w:space="0" w:color="auto"/>
        <w:left w:val="none" w:sz="0" w:space="0" w:color="auto"/>
        <w:bottom w:val="none" w:sz="0" w:space="0" w:color="auto"/>
        <w:right w:val="none" w:sz="0" w:space="0" w:color="auto"/>
      </w:divBdr>
    </w:div>
    <w:div w:id="1104766488">
      <w:bodyDiv w:val="1"/>
      <w:marLeft w:val="0"/>
      <w:marRight w:val="0"/>
      <w:marTop w:val="0"/>
      <w:marBottom w:val="0"/>
      <w:divBdr>
        <w:top w:val="none" w:sz="0" w:space="0" w:color="auto"/>
        <w:left w:val="none" w:sz="0" w:space="0" w:color="auto"/>
        <w:bottom w:val="none" w:sz="0" w:space="0" w:color="auto"/>
        <w:right w:val="none" w:sz="0" w:space="0" w:color="auto"/>
      </w:divBdr>
    </w:div>
    <w:div w:id="1120025825">
      <w:bodyDiv w:val="1"/>
      <w:marLeft w:val="0"/>
      <w:marRight w:val="0"/>
      <w:marTop w:val="0"/>
      <w:marBottom w:val="0"/>
      <w:divBdr>
        <w:top w:val="none" w:sz="0" w:space="0" w:color="auto"/>
        <w:left w:val="none" w:sz="0" w:space="0" w:color="auto"/>
        <w:bottom w:val="none" w:sz="0" w:space="0" w:color="auto"/>
        <w:right w:val="none" w:sz="0" w:space="0" w:color="auto"/>
      </w:divBdr>
    </w:div>
    <w:div w:id="1140807967">
      <w:bodyDiv w:val="1"/>
      <w:marLeft w:val="0"/>
      <w:marRight w:val="0"/>
      <w:marTop w:val="0"/>
      <w:marBottom w:val="0"/>
      <w:divBdr>
        <w:top w:val="none" w:sz="0" w:space="0" w:color="auto"/>
        <w:left w:val="none" w:sz="0" w:space="0" w:color="auto"/>
        <w:bottom w:val="none" w:sz="0" w:space="0" w:color="auto"/>
        <w:right w:val="none" w:sz="0" w:space="0" w:color="auto"/>
      </w:divBdr>
    </w:div>
    <w:div w:id="1683239526">
      <w:bodyDiv w:val="1"/>
      <w:marLeft w:val="0"/>
      <w:marRight w:val="0"/>
      <w:marTop w:val="0"/>
      <w:marBottom w:val="0"/>
      <w:divBdr>
        <w:top w:val="none" w:sz="0" w:space="0" w:color="auto"/>
        <w:left w:val="none" w:sz="0" w:space="0" w:color="auto"/>
        <w:bottom w:val="none" w:sz="0" w:space="0" w:color="auto"/>
        <w:right w:val="none" w:sz="0" w:space="0" w:color="auto"/>
      </w:divBdr>
    </w:div>
    <w:div w:id="1872259559">
      <w:bodyDiv w:val="1"/>
      <w:marLeft w:val="0"/>
      <w:marRight w:val="0"/>
      <w:marTop w:val="0"/>
      <w:marBottom w:val="0"/>
      <w:divBdr>
        <w:top w:val="none" w:sz="0" w:space="0" w:color="auto"/>
        <w:left w:val="none" w:sz="0" w:space="0" w:color="auto"/>
        <w:bottom w:val="none" w:sz="0" w:space="0" w:color="auto"/>
        <w:right w:val="none" w:sz="0" w:space="0" w:color="auto"/>
      </w:divBdr>
    </w:div>
    <w:div w:id="1953004429">
      <w:bodyDiv w:val="1"/>
      <w:marLeft w:val="0"/>
      <w:marRight w:val="0"/>
      <w:marTop w:val="0"/>
      <w:marBottom w:val="0"/>
      <w:divBdr>
        <w:top w:val="none" w:sz="0" w:space="0" w:color="auto"/>
        <w:left w:val="none" w:sz="0" w:space="0" w:color="auto"/>
        <w:bottom w:val="none" w:sz="0" w:space="0" w:color="auto"/>
        <w:right w:val="none" w:sz="0" w:space="0" w:color="auto"/>
      </w:divBdr>
    </w:div>
    <w:div w:id="1958490009">
      <w:bodyDiv w:val="1"/>
      <w:marLeft w:val="0"/>
      <w:marRight w:val="0"/>
      <w:marTop w:val="0"/>
      <w:marBottom w:val="0"/>
      <w:divBdr>
        <w:top w:val="none" w:sz="0" w:space="0" w:color="auto"/>
        <w:left w:val="none" w:sz="0" w:space="0" w:color="auto"/>
        <w:bottom w:val="none" w:sz="0" w:space="0" w:color="auto"/>
        <w:right w:val="none" w:sz="0" w:space="0" w:color="auto"/>
      </w:divBdr>
    </w:div>
    <w:div w:id="1976980773">
      <w:bodyDiv w:val="1"/>
      <w:marLeft w:val="0"/>
      <w:marRight w:val="0"/>
      <w:marTop w:val="0"/>
      <w:marBottom w:val="0"/>
      <w:divBdr>
        <w:top w:val="none" w:sz="0" w:space="0" w:color="auto"/>
        <w:left w:val="none" w:sz="0" w:space="0" w:color="auto"/>
        <w:bottom w:val="none" w:sz="0" w:space="0" w:color="auto"/>
        <w:right w:val="none" w:sz="0" w:space="0" w:color="auto"/>
      </w:divBdr>
    </w:div>
    <w:div w:id="2031027273">
      <w:bodyDiv w:val="1"/>
      <w:marLeft w:val="0"/>
      <w:marRight w:val="0"/>
      <w:marTop w:val="0"/>
      <w:marBottom w:val="0"/>
      <w:divBdr>
        <w:top w:val="none" w:sz="0" w:space="0" w:color="auto"/>
        <w:left w:val="none" w:sz="0" w:space="0" w:color="auto"/>
        <w:bottom w:val="none" w:sz="0" w:space="0" w:color="auto"/>
        <w:right w:val="none" w:sz="0" w:space="0" w:color="auto"/>
      </w:divBdr>
    </w:div>
    <w:div w:id="2081517445">
      <w:bodyDiv w:val="1"/>
      <w:marLeft w:val="0"/>
      <w:marRight w:val="0"/>
      <w:marTop w:val="0"/>
      <w:marBottom w:val="0"/>
      <w:divBdr>
        <w:top w:val="none" w:sz="0" w:space="0" w:color="auto"/>
        <w:left w:val="none" w:sz="0" w:space="0" w:color="auto"/>
        <w:bottom w:val="none" w:sz="0" w:space="0" w:color="auto"/>
        <w:right w:val="none" w:sz="0" w:space="0" w:color="auto"/>
      </w:divBdr>
    </w:div>
    <w:div w:id="210468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AA18A-1111-4254-B35C-E450CBC54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1</vt:lpstr>
    </vt:vector>
  </TitlesOfParts>
  <Company>Microsoft</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Sharon Reinhard</dc:creator>
  <cp:lastModifiedBy>Denise Lacey</cp:lastModifiedBy>
  <cp:revision>5</cp:revision>
  <cp:lastPrinted>2016-01-04T12:38:00Z</cp:lastPrinted>
  <dcterms:created xsi:type="dcterms:W3CDTF">2025-09-25T18:46:00Z</dcterms:created>
  <dcterms:modified xsi:type="dcterms:W3CDTF">2025-09-25T19:28:00Z</dcterms:modified>
</cp:coreProperties>
</file>