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DCC2" w14:textId="77777777" w:rsidR="002E37AB" w:rsidRPr="007B596E" w:rsidRDefault="002E37AB" w:rsidP="00BD18F7">
      <w:pPr>
        <w:ind w:left="-426" w:right="-188"/>
        <w:jc w:val="center"/>
        <w:rPr>
          <w:rFonts w:cs="Arial"/>
          <w:b/>
          <w:bCs/>
          <w:sz w:val="28"/>
          <w:szCs w:val="28"/>
        </w:rPr>
      </w:pPr>
      <w:bookmarkStart w:id="0" w:name="_GoBack"/>
      <w:bookmarkEnd w:id="0"/>
      <w:r w:rsidRPr="007B596E">
        <w:rPr>
          <w:rFonts w:cs="Arial"/>
          <w:b/>
          <w:bCs/>
          <w:noProof/>
          <w:sz w:val="28"/>
          <w:szCs w:val="28"/>
          <w:lang w:eastAsia="en-GB"/>
        </w:rPr>
        <w:drawing>
          <wp:inline distT="0" distB="0" distL="0" distR="0" wp14:anchorId="1EA906F7" wp14:editId="557CE37B">
            <wp:extent cx="1966823" cy="131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264" cy="1333752"/>
                    </a:xfrm>
                    <a:prstGeom prst="rect">
                      <a:avLst/>
                    </a:prstGeom>
                  </pic:spPr>
                </pic:pic>
              </a:graphicData>
            </a:graphic>
          </wp:inline>
        </w:drawing>
      </w:r>
    </w:p>
    <w:p w14:paraId="1E57CFA0" w14:textId="77777777" w:rsidR="00D54D9E" w:rsidRPr="007B596E" w:rsidRDefault="002E37AB" w:rsidP="00BD18F7">
      <w:pPr>
        <w:pStyle w:val="Title"/>
        <w:ind w:left="-426" w:right="-188"/>
        <w:rPr>
          <w:sz w:val="28"/>
          <w:szCs w:val="28"/>
        </w:rPr>
      </w:pPr>
      <w:r w:rsidRPr="007B596E">
        <w:rPr>
          <w:sz w:val="28"/>
          <w:szCs w:val="28"/>
        </w:rPr>
        <w:t xml:space="preserve">Response to </w:t>
      </w:r>
      <w:r w:rsidR="00D54D9E" w:rsidRPr="007B596E">
        <w:rPr>
          <w:sz w:val="28"/>
          <w:szCs w:val="28"/>
        </w:rPr>
        <w:t xml:space="preserve">the Equality and Human Rights Committee </w:t>
      </w:r>
    </w:p>
    <w:p w14:paraId="29C4FC1A" w14:textId="77777777" w:rsidR="00D54D9E" w:rsidRPr="007B596E" w:rsidRDefault="00FE7CE3" w:rsidP="00BD18F7">
      <w:pPr>
        <w:pStyle w:val="Title"/>
        <w:ind w:left="-426" w:right="-188"/>
        <w:rPr>
          <w:sz w:val="28"/>
          <w:szCs w:val="28"/>
        </w:rPr>
      </w:pPr>
      <w:r w:rsidRPr="007B596E">
        <w:rPr>
          <w:sz w:val="28"/>
          <w:szCs w:val="28"/>
        </w:rPr>
        <w:t xml:space="preserve">Draft </w:t>
      </w:r>
      <w:r w:rsidR="00D54D9E" w:rsidRPr="007B596E">
        <w:rPr>
          <w:sz w:val="28"/>
          <w:szCs w:val="28"/>
        </w:rPr>
        <w:t xml:space="preserve">Budget </w:t>
      </w:r>
      <w:r w:rsidRPr="007B596E">
        <w:rPr>
          <w:sz w:val="28"/>
          <w:szCs w:val="28"/>
        </w:rPr>
        <w:t>Scrutiny 2020-21 Consultation</w:t>
      </w:r>
    </w:p>
    <w:p w14:paraId="05083629" w14:textId="77777777" w:rsidR="00D54D9E" w:rsidRPr="007B596E" w:rsidRDefault="00D54D9E" w:rsidP="00BD18F7">
      <w:pPr>
        <w:pStyle w:val="Title"/>
        <w:ind w:left="-426" w:right="-188"/>
        <w:rPr>
          <w:sz w:val="28"/>
          <w:szCs w:val="28"/>
        </w:rPr>
      </w:pPr>
      <w:r w:rsidRPr="007B596E">
        <w:rPr>
          <w:sz w:val="28"/>
          <w:szCs w:val="28"/>
        </w:rPr>
        <w:t>August 2019</w:t>
      </w:r>
    </w:p>
    <w:p w14:paraId="271265AA" w14:textId="77777777" w:rsidR="00D54D9E" w:rsidRPr="007B596E" w:rsidRDefault="00D54D9E" w:rsidP="00BD18F7">
      <w:pPr>
        <w:ind w:left="-426" w:right="-188"/>
        <w:rPr>
          <w:sz w:val="28"/>
          <w:szCs w:val="28"/>
        </w:rPr>
      </w:pPr>
    </w:p>
    <w:p w14:paraId="07D2E907" w14:textId="77777777" w:rsidR="002E37AB" w:rsidRPr="007B596E" w:rsidRDefault="002E37AB" w:rsidP="00BD18F7">
      <w:pPr>
        <w:pBdr>
          <w:top w:val="single" w:sz="4" w:space="1" w:color="000000"/>
          <w:bottom w:val="single" w:sz="4" w:space="1" w:color="000000"/>
        </w:pBdr>
        <w:tabs>
          <w:tab w:val="num" w:pos="0"/>
        </w:tabs>
        <w:ind w:left="-426" w:right="-188"/>
        <w:jc w:val="both"/>
        <w:rPr>
          <w:rFonts w:cs="Arial"/>
          <w:sz w:val="28"/>
          <w:szCs w:val="28"/>
        </w:rPr>
      </w:pPr>
      <w:r w:rsidRPr="007B596E">
        <w:rPr>
          <w:rFonts w:cs="Arial"/>
          <w:sz w:val="28"/>
          <w:szCs w:val="28"/>
        </w:rPr>
        <w:t xml:space="preserve">The Scottish Human Rights Commission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14:paraId="414262D9" w14:textId="77777777" w:rsidR="00C64763" w:rsidRPr="007B596E" w:rsidRDefault="00C64763" w:rsidP="00BD18F7">
      <w:pPr>
        <w:pStyle w:val="Title"/>
        <w:ind w:left="-426" w:right="-188"/>
        <w:rPr>
          <w:sz w:val="28"/>
          <w:szCs w:val="28"/>
        </w:rPr>
      </w:pPr>
    </w:p>
    <w:p w14:paraId="2AD6E63E" w14:textId="77777777" w:rsidR="00D909F9" w:rsidRPr="007B596E" w:rsidRDefault="00D909F9" w:rsidP="00BD18F7">
      <w:pPr>
        <w:pStyle w:val="Heading11"/>
        <w:ind w:left="-426" w:right="-188"/>
        <w:rPr>
          <w:sz w:val="28"/>
          <w:szCs w:val="28"/>
          <w:u w:val="single"/>
        </w:rPr>
      </w:pPr>
      <w:r w:rsidRPr="007B596E">
        <w:rPr>
          <w:sz w:val="28"/>
          <w:szCs w:val="28"/>
          <w:u w:val="single"/>
        </w:rPr>
        <w:t>Introduction</w:t>
      </w:r>
    </w:p>
    <w:p w14:paraId="114B8FF9" w14:textId="77777777" w:rsidR="00884C96" w:rsidRPr="007B596E" w:rsidRDefault="00FE7CE3" w:rsidP="00BD18F7">
      <w:pPr>
        <w:ind w:left="-426" w:right="-188"/>
        <w:rPr>
          <w:sz w:val="28"/>
          <w:szCs w:val="28"/>
        </w:rPr>
      </w:pPr>
      <w:r w:rsidRPr="007B596E">
        <w:rPr>
          <w:sz w:val="28"/>
          <w:szCs w:val="28"/>
        </w:rPr>
        <w:t>With an increased focus in recent years on the need to better connect budget scrutiny with national outcomes, t</w:t>
      </w:r>
      <w:r w:rsidR="00676894" w:rsidRPr="007B596E">
        <w:rPr>
          <w:sz w:val="28"/>
          <w:szCs w:val="28"/>
        </w:rPr>
        <w:t>he Commission welcomes</w:t>
      </w:r>
      <w:r w:rsidR="00936097" w:rsidRPr="007B596E">
        <w:rPr>
          <w:sz w:val="28"/>
          <w:szCs w:val="28"/>
        </w:rPr>
        <w:t xml:space="preserve"> both</w:t>
      </w:r>
      <w:r w:rsidR="00676894" w:rsidRPr="007B596E">
        <w:rPr>
          <w:sz w:val="28"/>
          <w:szCs w:val="28"/>
        </w:rPr>
        <w:t xml:space="preserve"> t</w:t>
      </w:r>
      <w:r w:rsidR="00D54D9E" w:rsidRPr="007B596E">
        <w:rPr>
          <w:sz w:val="28"/>
          <w:szCs w:val="28"/>
        </w:rPr>
        <w:t xml:space="preserve">he </w:t>
      </w:r>
      <w:r w:rsidRPr="007B596E">
        <w:rPr>
          <w:sz w:val="28"/>
          <w:szCs w:val="28"/>
        </w:rPr>
        <w:t>Committee’s focus on the delivery of national equalities and human rights priorities as part of its scrutiny of the Scottish Government’s Budget for 2</w:t>
      </w:r>
      <w:r w:rsidR="009D2BE8" w:rsidRPr="007B596E">
        <w:rPr>
          <w:sz w:val="28"/>
          <w:szCs w:val="28"/>
        </w:rPr>
        <w:t xml:space="preserve">020-21 and the </w:t>
      </w:r>
      <w:r w:rsidR="00D54D9E" w:rsidRPr="007B596E">
        <w:rPr>
          <w:sz w:val="28"/>
          <w:szCs w:val="28"/>
        </w:rPr>
        <w:t xml:space="preserve">opportunity to respond </w:t>
      </w:r>
      <w:r w:rsidR="00936097" w:rsidRPr="007B596E">
        <w:rPr>
          <w:sz w:val="28"/>
          <w:szCs w:val="28"/>
        </w:rPr>
        <w:t>as part of</w:t>
      </w:r>
      <w:r w:rsidR="009D2BE8" w:rsidRPr="007B596E">
        <w:rPr>
          <w:sz w:val="28"/>
          <w:szCs w:val="28"/>
        </w:rPr>
        <w:t xml:space="preserve"> its draft budget scrutiny. </w:t>
      </w:r>
      <w:r w:rsidR="00884C96" w:rsidRPr="007B596E">
        <w:rPr>
          <w:sz w:val="28"/>
          <w:szCs w:val="28"/>
        </w:rPr>
        <w:t xml:space="preserve">This submission first sets out </w:t>
      </w:r>
      <w:r w:rsidRPr="007B596E">
        <w:rPr>
          <w:sz w:val="28"/>
          <w:szCs w:val="28"/>
        </w:rPr>
        <w:t xml:space="preserve">some general points about human rights based </w:t>
      </w:r>
      <w:r w:rsidR="00CF7D7E" w:rsidRPr="007B596E">
        <w:rPr>
          <w:sz w:val="28"/>
          <w:szCs w:val="28"/>
        </w:rPr>
        <w:t>budgeting</w:t>
      </w:r>
      <w:r w:rsidR="00884C96" w:rsidRPr="007B596E">
        <w:rPr>
          <w:sz w:val="28"/>
          <w:szCs w:val="28"/>
        </w:rPr>
        <w:t xml:space="preserve">, before responding to specific consultation questions. </w:t>
      </w:r>
    </w:p>
    <w:p w14:paraId="1ADF06D2" w14:textId="77777777" w:rsidR="0009788E" w:rsidRPr="007B596E" w:rsidRDefault="0009788E" w:rsidP="00BD18F7">
      <w:pPr>
        <w:ind w:left="-426" w:right="-188"/>
        <w:rPr>
          <w:rFonts w:cstheme="minorBidi"/>
          <w:sz w:val="28"/>
          <w:szCs w:val="28"/>
          <w:lang w:val="en-US"/>
        </w:rPr>
      </w:pPr>
    </w:p>
    <w:p w14:paraId="79156513" w14:textId="77777777" w:rsidR="0009788E" w:rsidRPr="007B596E" w:rsidRDefault="001B4181" w:rsidP="00BD18F7">
      <w:pPr>
        <w:ind w:left="-426" w:right="-188"/>
        <w:rPr>
          <w:rStyle w:val="Strong"/>
          <w:sz w:val="28"/>
          <w:szCs w:val="28"/>
          <w:u w:val="single"/>
        </w:rPr>
      </w:pPr>
      <w:r w:rsidRPr="007B596E">
        <w:rPr>
          <w:rStyle w:val="Strong"/>
          <w:sz w:val="28"/>
          <w:szCs w:val="28"/>
          <w:u w:val="single"/>
        </w:rPr>
        <w:t>Human rights based budgeting</w:t>
      </w:r>
    </w:p>
    <w:p w14:paraId="035687A5" w14:textId="77777777" w:rsidR="007B596E" w:rsidRDefault="00C54669" w:rsidP="00BD18F7">
      <w:pPr>
        <w:ind w:left="-426" w:right="-188"/>
        <w:rPr>
          <w:sz w:val="28"/>
          <w:szCs w:val="28"/>
        </w:rPr>
      </w:pPr>
      <w:r w:rsidRPr="007B596E">
        <w:rPr>
          <w:sz w:val="28"/>
          <w:szCs w:val="28"/>
        </w:rPr>
        <w:t xml:space="preserve">“Budgets are a key sign of a government's values.  So, if human rights are not in there, what’s being said is that they are not a value worth counting”. </w:t>
      </w:r>
    </w:p>
    <w:p w14:paraId="44D39259" w14:textId="40A48A32" w:rsidR="00C54669" w:rsidRPr="007B596E" w:rsidRDefault="00C54669" w:rsidP="00BD18F7">
      <w:pPr>
        <w:ind w:left="-426" w:right="-188"/>
        <w:rPr>
          <w:sz w:val="28"/>
          <w:szCs w:val="28"/>
        </w:rPr>
      </w:pPr>
      <w:r w:rsidRPr="007B596E">
        <w:rPr>
          <w:sz w:val="28"/>
          <w:szCs w:val="28"/>
        </w:rPr>
        <w:t xml:space="preserve">Prof. Aoife Nolan. </w:t>
      </w:r>
    </w:p>
    <w:p w14:paraId="03A23155" w14:textId="77777777" w:rsidR="003E3D93" w:rsidRPr="007B596E" w:rsidRDefault="003E3D93" w:rsidP="00BD18F7">
      <w:pPr>
        <w:ind w:left="-426" w:right="-188"/>
        <w:rPr>
          <w:sz w:val="28"/>
          <w:szCs w:val="28"/>
        </w:rPr>
      </w:pPr>
    </w:p>
    <w:p w14:paraId="004B4AEC" w14:textId="77777777" w:rsidR="0009788E" w:rsidRPr="007B596E" w:rsidRDefault="0009788E" w:rsidP="00BD18F7">
      <w:pPr>
        <w:ind w:left="-426" w:right="-188"/>
        <w:rPr>
          <w:sz w:val="28"/>
          <w:szCs w:val="28"/>
        </w:rPr>
      </w:pPr>
      <w:r w:rsidRPr="007B596E">
        <w:rPr>
          <w:sz w:val="28"/>
          <w:szCs w:val="28"/>
        </w:rPr>
        <w:t xml:space="preserve">Human rights budgeting enhances the social impact of economic policy by ensuring that budgetary decisions benefit those most in need. It improves transparency and accountability, by linking budgetary decisions more directly to the human rights outcomes the government has prioritised. </w:t>
      </w:r>
      <w:r w:rsidR="00F94A73" w:rsidRPr="007B596E">
        <w:rPr>
          <w:sz w:val="28"/>
          <w:szCs w:val="28"/>
        </w:rPr>
        <w:t xml:space="preserve">It provides the opportunity for government to work in cooperation with civil society to more effectively  implement policies </w:t>
      </w:r>
      <w:r w:rsidR="0032676C" w:rsidRPr="007B596E">
        <w:rPr>
          <w:sz w:val="28"/>
          <w:szCs w:val="28"/>
        </w:rPr>
        <w:t xml:space="preserve">by, for example, </w:t>
      </w:r>
      <w:r w:rsidR="00F94A73" w:rsidRPr="007B596E">
        <w:rPr>
          <w:sz w:val="28"/>
          <w:szCs w:val="28"/>
        </w:rPr>
        <w:t>strengthen</w:t>
      </w:r>
      <w:r w:rsidR="0032676C" w:rsidRPr="007B596E">
        <w:rPr>
          <w:sz w:val="28"/>
          <w:szCs w:val="28"/>
        </w:rPr>
        <w:t>ing</w:t>
      </w:r>
      <w:r w:rsidR="00F94A73" w:rsidRPr="007B596E">
        <w:rPr>
          <w:sz w:val="28"/>
          <w:szCs w:val="28"/>
        </w:rPr>
        <w:t xml:space="preserve"> the monitoring and evaluation of programmes and plans. </w:t>
      </w:r>
      <w:r w:rsidRPr="007B596E">
        <w:rPr>
          <w:sz w:val="28"/>
          <w:szCs w:val="28"/>
        </w:rPr>
        <w:t>This, in turn, deepens citizen participation in democratic processes. It can also be used to</w:t>
      </w:r>
      <w:r w:rsidR="00F94A73" w:rsidRPr="007B596E">
        <w:rPr>
          <w:sz w:val="28"/>
          <w:szCs w:val="28"/>
        </w:rPr>
        <w:t xml:space="preserve"> progress  government’s compliance</w:t>
      </w:r>
      <w:r w:rsidRPr="007B596E">
        <w:rPr>
          <w:sz w:val="28"/>
          <w:szCs w:val="28"/>
        </w:rPr>
        <w:t xml:space="preserve"> with its national and international human rights commitments.</w:t>
      </w:r>
    </w:p>
    <w:p w14:paraId="6385E652" w14:textId="77777777" w:rsidR="001B4181" w:rsidRPr="007B596E" w:rsidRDefault="001B4181" w:rsidP="00BD18F7">
      <w:pPr>
        <w:ind w:left="-426" w:right="-188"/>
        <w:rPr>
          <w:rStyle w:val="Strong"/>
          <w:b w:val="0"/>
          <w:sz w:val="28"/>
          <w:szCs w:val="28"/>
        </w:rPr>
      </w:pPr>
    </w:p>
    <w:p w14:paraId="22E1C689" w14:textId="77777777" w:rsidR="001B4181" w:rsidRPr="007B596E" w:rsidRDefault="001B4181" w:rsidP="00BD18F7">
      <w:pPr>
        <w:ind w:left="-426" w:right="-188"/>
        <w:rPr>
          <w:rFonts w:eastAsiaTheme="minorEastAsia"/>
          <w:sz w:val="28"/>
          <w:szCs w:val="28"/>
        </w:rPr>
      </w:pPr>
      <w:r w:rsidRPr="007B596E">
        <w:rPr>
          <w:rStyle w:val="Strong"/>
          <w:b w:val="0"/>
          <w:sz w:val="28"/>
          <w:szCs w:val="28"/>
        </w:rPr>
        <w:t>H</w:t>
      </w:r>
      <w:r w:rsidR="006F2D77" w:rsidRPr="007B596E">
        <w:rPr>
          <w:rStyle w:val="Strong"/>
          <w:b w:val="0"/>
          <w:sz w:val="28"/>
          <w:szCs w:val="28"/>
        </w:rPr>
        <w:t xml:space="preserve">uman rights budgeting needs to be embedded into a broader rights-based policy process. </w:t>
      </w:r>
      <w:r w:rsidRPr="007B596E">
        <w:rPr>
          <w:rFonts w:eastAsiaTheme="minorEastAsia"/>
          <w:sz w:val="28"/>
          <w:szCs w:val="28"/>
        </w:rPr>
        <w:t xml:space="preserve">Before the development of the budget comes the development of laws, polices and plans that are also shaped by human rights standards.  The budget should then be created to directly realise these laws, policies and plans. </w:t>
      </w:r>
    </w:p>
    <w:p w14:paraId="4A8A4977" w14:textId="77777777" w:rsidR="00141FE3" w:rsidRPr="007B596E" w:rsidRDefault="00141FE3" w:rsidP="00BD18F7">
      <w:pPr>
        <w:ind w:left="-426" w:right="-188"/>
        <w:rPr>
          <w:rFonts w:eastAsia="Century Gothic"/>
          <w:sz w:val="28"/>
          <w:szCs w:val="28"/>
        </w:rPr>
      </w:pPr>
    </w:p>
    <w:p w14:paraId="36312FF3" w14:textId="77777777" w:rsidR="006F2D77" w:rsidRPr="007B596E" w:rsidRDefault="006F2D77" w:rsidP="00BD18F7">
      <w:pPr>
        <w:ind w:left="-426" w:right="-188"/>
        <w:rPr>
          <w:rStyle w:val="Strong"/>
          <w:b w:val="0"/>
          <w:sz w:val="28"/>
          <w:szCs w:val="28"/>
        </w:rPr>
      </w:pPr>
      <w:r w:rsidRPr="007B596E">
        <w:rPr>
          <w:rStyle w:val="Strong"/>
          <w:b w:val="0"/>
          <w:sz w:val="28"/>
          <w:szCs w:val="28"/>
        </w:rPr>
        <w:t xml:space="preserve">This involves: </w:t>
      </w:r>
    </w:p>
    <w:p w14:paraId="18094F54" w14:textId="77777777" w:rsidR="006F2D77" w:rsidRPr="007B596E" w:rsidRDefault="006F2D77" w:rsidP="00F72E95">
      <w:pPr>
        <w:pStyle w:val="bullet"/>
        <w:rPr>
          <w:rStyle w:val="Strong"/>
          <w:b w:val="0"/>
          <w:bCs w:val="0"/>
          <w:sz w:val="28"/>
          <w:szCs w:val="28"/>
        </w:rPr>
      </w:pPr>
      <w:r w:rsidRPr="007B596E">
        <w:rPr>
          <w:rStyle w:val="Strong"/>
          <w:b w:val="0"/>
          <w:bCs w:val="0"/>
          <w:sz w:val="28"/>
          <w:szCs w:val="28"/>
        </w:rPr>
        <w:t xml:space="preserve">examining a country’s human rights international human rights obligations and commitments; </w:t>
      </w:r>
    </w:p>
    <w:p w14:paraId="3834F905" w14:textId="77777777" w:rsidR="006F2D77" w:rsidRPr="007B596E" w:rsidRDefault="006F2D77" w:rsidP="00F72E95">
      <w:pPr>
        <w:pStyle w:val="bullet"/>
        <w:rPr>
          <w:rStyle w:val="Strong"/>
          <w:b w:val="0"/>
          <w:bCs w:val="0"/>
          <w:sz w:val="28"/>
          <w:szCs w:val="28"/>
        </w:rPr>
      </w:pPr>
      <w:r w:rsidRPr="007B596E">
        <w:rPr>
          <w:rStyle w:val="Strong"/>
          <w:b w:val="0"/>
          <w:bCs w:val="0"/>
          <w:sz w:val="28"/>
          <w:szCs w:val="28"/>
        </w:rPr>
        <w:t xml:space="preserve">analysing the human rights concerns facing different groups within and across different social sectors (e.g. housing, health, social care, education etc); </w:t>
      </w:r>
    </w:p>
    <w:p w14:paraId="634214CC" w14:textId="77777777" w:rsidR="006F2D77" w:rsidRPr="007B596E" w:rsidRDefault="006F2D77" w:rsidP="00F72E95">
      <w:pPr>
        <w:pStyle w:val="bullet"/>
        <w:rPr>
          <w:rStyle w:val="Strong"/>
          <w:b w:val="0"/>
          <w:bCs w:val="0"/>
          <w:sz w:val="28"/>
          <w:szCs w:val="28"/>
        </w:rPr>
      </w:pPr>
      <w:r w:rsidRPr="007B596E">
        <w:rPr>
          <w:rStyle w:val="Strong"/>
          <w:b w:val="0"/>
          <w:bCs w:val="0"/>
          <w:sz w:val="28"/>
          <w:szCs w:val="28"/>
        </w:rPr>
        <w:t xml:space="preserve">designing policies that respond to those concerns; </w:t>
      </w:r>
    </w:p>
    <w:p w14:paraId="7924CA18" w14:textId="77777777" w:rsidR="00141FE3" w:rsidRPr="007B596E" w:rsidRDefault="00141FE3" w:rsidP="00F72E95">
      <w:pPr>
        <w:pStyle w:val="bullet"/>
        <w:rPr>
          <w:rStyle w:val="Strong"/>
          <w:b w:val="0"/>
          <w:bCs w:val="0"/>
          <w:sz w:val="28"/>
          <w:szCs w:val="28"/>
        </w:rPr>
      </w:pPr>
      <w:r w:rsidRPr="007B596E">
        <w:rPr>
          <w:rStyle w:val="Strong"/>
          <w:b w:val="0"/>
          <w:bCs w:val="0"/>
          <w:sz w:val="28"/>
          <w:szCs w:val="28"/>
        </w:rPr>
        <w:t>generati</w:t>
      </w:r>
      <w:r w:rsidR="00B235EE" w:rsidRPr="007B596E">
        <w:rPr>
          <w:rStyle w:val="Strong"/>
          <w:b w:val="0"/>
          <w:bCs w:val="0"/>
          <w:sz w:val="28"/>
          <w:szCs w:val="28"/>
        </w:rPr>
        <w:t>ng</w:t>
      </w:r>
      <w:r w:rsidRPr="007B596E">
        <w:rPr>
          <w:rStyle w:val="Strong"/>
          <w:b w:val="0"/>
          <w:bCs w:val="0"/>
          <w:sz w:val="28"/>
          <w:szCs w:val="28"/>
        </w:rPr>
        <w:t xml:space="preserve"> adequate resource to fu</w:t>
      </w:r>
      <w:r w:rsidR="003A407A" w:rsidRPr="007B596E">
        <w:rPr>
          <w:rStyle w:val="Strong"/>
          <w:b w:val="0"/>
          <w:bCs w:val="0"/>
          <w:sz w:val="28"/>
          <w:szCs w:val="28"/>
        </w:rPr>
        <w:t>nd those policies;</w:t>
      </w:r>
    </w:p>
    <w:p w14:paraId="136A01D1" w14:textId="77777777" w:rsidR="006F2D77" w:rsidRPr="007B596E" w:rsidRDefault="006F2D77" w:rsidP="00F72E95">
      <w:pPr>
        <w:pStyle w:val="bullet"/>
        <w:rPr>
          <w:rStyle w:val="Strong"/>
          <w:b w:val="0"/>
          <w:bCs w:val="0"/>
          <w:sz w:val="28"/>
          <w:szCs w:val="28"/>
        </w:rPr>
      </w:pPr>
      <w:r w:rsidRPr="007B596E">
        <w:rPr>
          <w:rStyle w:val="Strong"/>
          <w:b w:val="0"/>
          <w:bCs w:val="0"/>
          <w:sz w:val="28"/>
          <w:szCs w:val="28"/>
        </w:rPr>
        <w:t xml:space="preserve">allocating adequate budget to implement those policies; </w:t>
      </w:r>
    </w:p>
    <w:p w14:paraId="64D47595" w14:textId="77777777" w:rsidR="006F2D77" w:rsidRPr="007B596E" w:rsidRDefault="006F2D77" w:rsidP="00F72E95">
      <w:pPr>
        <w:pStyle w:val="bullet"/>
        <w:rPr>
          <w:rStyle w:val="Strong"/>
          <w:b w:val="0"/>
          <w:bCs w:val="0"/>
          <w:sz w:val="28"/>
          <w:szCs w:val="28"/>
        </w:rPr>
      </w:pPr>
      <w:r w:rsidRPr="007B596E">
        <w:rPr>
          <w:rStyle w:val="Strong"/>
          <w:b w:val="0"/>
          <w:bCs w:val="0"/>
          <w:sz w:val="28"/>
          <w:szCs w:val="28"/>
        </w:rPr>
        <w:t xml:space="preserve">monitoring of whether the money was spent as planned, what was delivered and to whom; and </w:t>
      </w:r>
    </w:p>
    <w:p w14:paraId="45AFB9FB" w14:textId="77777777" w:rsidR="006F2D77" w:rsidRPr="007B596E" w:rsidRDefault="006F2D77" w:rsidP="00F72E95">
      <w:pPr>
        <w:pStyle w:val="bullet"/>
        <w:rPr>
          <w:rStyle w:val="Strong"/>
          <w:b w:val="0"/>
          <w:bCs w:val="0"/>
          <w:sz w:val="28"/>
          <w:szCs w:val="28"/>
        </w:rPr>
      </w:pPr>
      <w:r w:rsidRPr="007B596E">
        <w:rPr>
          <w:rStyle w:val="Strong"/>
          <w:b w:val="0"/>
          <w:bCs w:val="0"/>
          <w:sz w:val="28"/>
          <w:szCs w:val="28"/>
        </w:rPr>
        <w:t xml:space="preserve">evaluating whether the policy was implemented and what impact it had. </w:t>
      </w:r>
    </w:p>
    <w:p w14:paraId="017EBEC2" w14:textId="77777777" w:rsidR="001B4181" w:rsidRPr="007B596E" w:rsidRDefault="001B4181" w:rsidP="00BD18F7">
      <w:pPr>
        <w:ind w:left="-426" w:right="-188"/>
        <w:rPr>
          <w:sz w:val="28"/>
          <w:szCs w:val="28"/>
        </w:rPr>
      </w:pPr>
    </w:p>
    <w:p w14:paraId="7668D384" w14:textId="77777777" w:rsidR="009A570B" w:rsidRPr="007B596E" w:rsidRDefault="001B4181" w:rsidP="00BD18F7">
      <w:pPr>
        <w:ind w:left="-426" w:right="-188"/>
        <w:rPr>
          <w:sz w:val="28"/>
          <w:szCs w:val="28"/>
        </w:rPr>
      </w:pPr>
      <w:r w:rsidRPr="007B596E">
        <w:rPr>
          <w:sz w:val="28"/>
          <w:szCs w:val="28"/>
        </w:rPr>
        <w:t>At present the Scottish government does not take a human rights based approach to i</w:t>
      </w:r>
      <w:r w:rsidR="009A570B" w:rsidRPr="007B596E">
        <w:rPr>
          <w:sz w:val="28"/>
          <w:szCs w:val="28"/>
        </w:rPr>
        <w:t>t</w:t>
      </w:r>
      <w:r w:rsidRPr="007B596E">
        <w:rPr>
          <w:sz w:val="28"/>
          <w:szCs w:val="28"/>
        </w:rPr>
        <w:t xml:space="preserve">s budgeting or </w:t>
      </w:r>
      <w:r w:rsidR="00BD18F7" w:rsidRPr="007B596E">
        <w:rPr>
          <w:sz w:val="28"/>
          <w:szCs w:val="28"/>
        </w:rPr>
        <w:t xml:space="preserve">its more general </w:t>
      </w:r>
      <w:r w:rsidRPr="007B596E">
        <w:rPr>
          <w:sz w:val="28"/>
          <w:szCs w:val="28"/>
        </w:rPr>
        <w:t>policy development process</w:t>
      </w:r>
      <w:r w:rsidR="007D70CA" w:rsidRPr="007B596E">
        <w:rPr>
          <w:sz w:val="28"/>
          <w:szCs w:val="28"/>
        </w:rPr>
        <w:t>es</w:t>
      </w:r>
      <w:r w:rsidRPr="007B596E">
        <w:rPr>
          <w:sz w:val="28"/>
          <w:szCs w:val="28"/>
        </w:rPr>
        <w:t xml:space="preserve"> and the budget is not routinely scrutinised through a rights lens.  Developing such processes</w:t>
      </w:r>
      <w:r w:rsidR="00D32606" w:rsidRPr="007B596E">
        <w:rPr>
          <w:sz w:val="28"/>
          <w:szCs w:val="28"/>
        </w:rPr>
        <w:t xml:space="preserve"> will help future administrations to progressively realise human rights.  </w:t>
      </w:r>
    </w:p>
    <w:p w14:paraId="2E877441" w14:textId="77777777" w:rsidR="009A570B" w:rsidRPr="007B596E" w:rsidRDefault="009A570B" w:rsidP="00BD18F7">
      <w:pPr>
        <w:ind w:left="-426" w:right="-188"/>
        <w:rPr>
          <w:sz w:val="28"/>
          <w:szCs w:val="28"/>
        </w:rPr>
      </w:pPr>
    </w:p>
    <w:p w14:paraId="1D83A606" w14:textId="77777777" w:rsidR="00D32606" w:rsidRPr="007B596E" w:rsidRDefault="00D32606" w:rsidP="00BD18F7">
      <w:pPr>
        <w:ind w:left="-426" w:right="-188"/>
        <w:rPr>
          <w:sz w:val="28"/>
          <w:szCs w:val="28"/>
        </w:rPr>
      </w:pPr>
      <w:r w:rsidRPr="007B596E">
        <w:rPr>
          <w:sz w:val="28"/>
          <w:szCs w:val="28"/>
        </w:rPr>
        <w:t>Good rights based laws and po</w:t>
      </w:r>
      <w:r w:rsidRPr="007B596E">
        <w:rPr>
          <w:rFonts w:eastAsiaTheme="minorEastAsia"/>
          <w:sz w:val="28"/>
          <w:szCs w:val="28"/>
        </w:rPr>
        <w:t xml:space="preserve">licies can also still result in unacceptable experiences of rights holders if they are not properly resourced. Human rights budget work can </w:t>
      </w:r>
      <w:r w:rsidR="00BD18F7" w:rsidRPr="007B596E">
        <w:rPr>
          <w:rFonts w:eastAsiaTheme="minorEastAsia"/>
          <w:sz w:val="28"/>
          <w:szCs w:val="28"/>
        </w:rPr>
        <w:t>help identify where this is the case</w:t>
      </w:r>
      <w:r w:rsidRPr="007B596E">
        <w:rPr>
          <w:rFonts w:eastAsiaTheme="minorEastAsia"/>
          <w:sz w:val="28"/>
          <w:szCs w:val="28"/>
        </w:rPr>
        <w:t xml:space="preserve">.  </w:t>
      </w:r>
      <w:r w:rsidRPr="007B596E">
        <w:rPr>
          <w:sz w:val="28"/>
          <w:szCs w:val="28"/>
        </w:rPr>
        <w:t xml:space="preserve">Taking human rights standards into account when developing the budget is not a magic bullet. It can, however, help us to ask the right questions to support effective, transparent, fair and accountable use of national resources.  </w:t>
      </w:r>
    </w:p>
    <w:p w14:paraId="5E8507CC" w14:textId="77777777" w:rsidR="00C54669" w:rsidRPr="007B596E" w:rsidRDefault="00C54669" w:rsidP="00BD18F7">
      <w:pPr>
        <w:ind w:left="-426" w:right="-188"/>
        <w:rPr>
          <w:sz w:val="28"/>
          <w:szCs w:val="28"/>
        </w:rPr>
      </w:pPr>
    </w:p>
    <w:p w14:paraId="30891239" w14:textId="77777777" w:rsidR="00C54669" w:rsidRPr="007B596E" w:rsidRDefault="00C54669" w:rsidP="00160AAF">
      <w:pPr>
        <w:pStyle w:val="bullet2"/>
        <w:rPr>
          <w:sz w:val="28"/>
          <w:szCs w:val="28"/>
        </w:rPr>
      </w:pPr>
      <w:r w:rsidRPr="007B596E">
        <w:rPr>
          <w:sz w:val="28"/>
          <w:szCs w:val="28"/>
        </w:rPr>
        <w:t xml:space="preserve">The government has expressed its intention to be a leader in human rights.  </w:t>
      </w:r>
      <w:r w:rsidR="005E7A4C" w:rsidRPr="007B596E">
        <w:rPr>
          <w:sz w:val="28"/>
          <w:szCs w:val="28"/>
        </w:rPr>
        <w:t>I</w:t>
      </w:r>
      <w:r w:rsidR="0032676C" w:rsidRPr="007B596E">
        <w:rPr>
          <w:sz w:val="28"/>
          <w:szCs w:val="28"/>
        </w:rPr>
        <w:t>t</w:t>
      </w:r>
      <w:r w:rsidR="005E7A4C" w:rsidRPr="007B596E">
        <w:rPr>
          <w:sz w:val="28"/>
          <w:szCs w:val="28"/>
        </w:rPr>
        <w:t xml:space="preserve"> </w:t>
      </w:r>
      <w:r w:rsidR="0032676C" w:rsidRPr="007B596E">
        <w:rPr>
          <w:sz w:val="28"/>
          <w:szCs w:val="28"/>
        </w:rPr>
        <w:t>would</w:t>
      </w:r>
      <w:r w:rsidR="005E7A4C" w:rsidRPr="007B596E">
        <w:rPr>
          <w:sz w:val="28"/>
          <w:szCs w:val="28"/>
        </w:rPr>
        <w:t xml:space="preserve"> be helpful for the </w:t>
      </w:r>
      <w:r w:rsidR="00FE7ACB" w:rsidRPr="007B596E">
        <w:rPr>
          <w:sz w:val="28"/>
          <w:szCs w:val="28"/>
        </w:rPr>
        <w:t>government to set out in full</w:t>
      </w:r>
      <w:r w:rsidR="003A407A" w:rsidRPr="007B596E">
        <w:rPr>
          <w:sz w:val="28"/>
          <w:szCs w:val="28"/>
        </w:rPr>
        <w:t xml:space="preserve">, </w:t>
      </w:r>
      <w:r w:rsidR="00FE7ACB" w:rsidRPr="007B596E">
        <w:rPr>
          <w:sz w:val="28"/>
          <w:szCs w:val="28"/>
        </w:rPr>
        <w:t xml:space="preserve">how it will take this ambition forward by embedding </w:t>
      </w:r>
      <w:r w:rsidRPr="007B596E">
        <w:rPr>
          <w:sz w:val="28"/>
          <w:szCs w:val="28"/>
        </w:rPr>
        <w:t>a human rights based approach to the development of law, policy, and resourced action</w:t>
      </w:r>
      <w:r w:rsidR="00D2035C" w:rsidRPr="007B596E">
        <w:rPr>
          <w:sz w:val="28"/>
          <w:szCs w:val="28"/>
        </w:rPr>
        <w:t>.</w:t>
      </w:r>
    </w:p>
    <w:p w14:paraId="158CEAE1" w14:textId="77777777" w:rsidR="001B4181" w:rsidRPr="007B596E" w:rsidRDefault="001B4181" w:rsidP="00BD18F7">
      <w:pPr>
        <w:ind w:left="-426" w:right="-188"/>
        <w:rPr>
          <w:sz w:val="28"/>
          <w:szCs w:val="28"/>
        </w:rPr>
      </w:pPr>
    </w:p>
    <w:p w14:paraId="265AE8E5" w14:textId="77777777" w:rsidR="007B596E" w:rsidRDefault="007B596E">
      <w:pPr>
        <w:autoSpaceDE/>
        <w:autoSpaceDN/>
        <w:adjustRightInd/>
        <w:rPr>
          <w:b/>
          <w:sz w:val="28"/>
          <w:szCs w:val="28"/>
          <w:u w:val="single"/>
        </w:rPr>
      </w:pPr>
      <w:r>
        <w:rPr>
          <w:sz w:val="28"/>
          <w:szCs w:val="28"/>
          <w:u w:val="single"/>
        </w:rPr>
        <w:br w:type="page"/>
      </w:r>
    </w:p>
    <w:p w14:paraId="5A1B68DE" w14:textId="5E1352C3" w:rsidR="008F4914" w:rsidRPr="007B596E" w:rsidRDefault="008F4914" w:rsidP="00BD18F7">
      <w:pPr>
        <w:pStyle w:val="Heading11"/>
        <w:ind w:left="-426" w:right="-188"/>
        <w:rPr>
          <w:sz w:val="28"/>
          <w:szCs w:val="28"/>
          <w:u w:val="single"/>
        </w:rPr>
      </w:pPr>
      <w:r w:rsidRPr="007B596E">
        <w:rPr>
          <w:sz w:val="28"/>
          <w:szCs w:val="28"/>
          <w:u w:val="single"/>
        </w:rPr>
        <w:lastRenderedPageBreak/>
        <w:t>Consultation Questions</w:t>
      </w:r>
    </w:p>
    <w:p w14:paraId="6892F027" w14:textId="77777777" w:rsidR="00100117" w:rsidRPr="007B596E" w:rsidRDefault="008F4914" w:rsidP="00BD18F7">
      <w:pPr>
        <w:ind w:left="-426" w:right="-188"/>
        <w:rPr>
          <w:sz w:val="28"/>
          <w:szCs w:val="28"/>
        </w:rPr>
      </w:pPr>
      <w:r w:rsidRPr="007B596E">
        <w:rPr>
          <w:b/>
          <w:bCs/>
          <w:sz w:val="28"/>
          <w:szCs w:val="28"/>
        </w:rPr>
        <w:t xml:space="preserve">Question 1: </w:t>
      </w:r>
      <w:r w:rsidR="00100117" w:rsidRPr="007B596E">
        <w:rPr>
          <w:sz w:val="28"/>
          <w:szCs w:val="28"/>
        </w:rPr>
        <w:t xml:space="preserve">What are the key public policy areas where individuals and protected groups are struggling to access their rights? </w:t>
      </w:r>
    </w:p>
    <w:p w14:paraId="1A86208D" w14:textId="47E52858" w:rsidR="00041F67" w:rsidRPr="007B596E" w:rsidRDefault="008F4914" w:rsidP="00041F67">
      <w:pPr>
        <w:pStyle w:val="questionheading"/>
        <w:rPr>
          <w:b w:val="0"/>
          <w:sz w:val="28"/>
          <w:szCs w:val="28"/>
        </w:rPr>
      </w:pPr>
      <w:r w:rsidRPr="007B596E">
        <w:rPr>
          <w:sz w:val="28"/>
          <w:szCs w:val="28"/>
        </w:rPr>
        <w:t xml:space="preserve">Question 2: </w:t>
      </w:r>
      <w:r w:rsidR="00100117" w:rsidRPr="007B596E">
        <w:rPr>
          <w:b w:val="0"/>
          <w:sz w:val="28"/>
          <w:szCs w:val="28"/>
        </w:rPr>
        <w:t>Which groups of people are most likely to be affected and why?</w:t>
      </w:r>
    </w:p>
    <w:p w14:paraId="7BBA249D" w14:textId="77777777" w:rsidR="0059613D" w:rsidRPr="007B596E" w:rsidRDefault="00573702" w:rsidP="00041F67">
      <w:pPr>
        <w:ind w:left="-426" w:right="-188"/>
        <w:rPr>
          <w:color w:val="000000" w:themeColor="text1"/>
          <w:sz w:val="28"/>
          <w:szCs w:val="28"/>
        </w:rPr>
      </w:pPr>
      <w:r w:rsidRPr="007B596E">
        <w:rPr>
          <w:color w:val="000000" w:themeColor="text1"/>
          <w:sz w:val="28"/>
          <w:szCs w:val="28"/>
        </w:rPr>
        <w:t xml:space="preserve">During 2017, over 1,000 people took part in a National Participation Process around Scotland to inform the future of Scotland’s National Action Plan for Human Rights (SNAP).  </w:t>
      </w:r>
      <w:r w:rsidR="0059613D" w:rsidRPr="007B596E">
        <w:rPr>
          <w:color w:val="000000" w:themeColor="text1"/>
          <w:sz w:val="28"/>
          <w:szCs w:val="28"/>
        </w:rPr>
        <w:t>Twenty-five</w:t>
      </w:r>
      <w:r w:rsidRPr="007B596E">
        <w:rPr>
          <w:color w:val="000000" w:themeColor="text1"/>
          <w:sz w:val="28"/>
          <w:szCs w:val="28"/>
        </w:rPr>
        <w:t xml:space="preserve"> human rights themes emerged from this work</w:t>
      </w:r>
      <w:r w:rsidR="0059613D" w:rsidRPr="007B596E">
        <w:rPr>
          <w:color w:val="000000" w:themeColor="text1"/>
          <w:sz w:val="28"/>
          <w:szCs w:val="28"/>
        </w:rPr>
        <w:t>, including a mixture of key rights and policy areas, as well as specific groups of people whose rights are least respected in practice</w:t>
      </w:r>
      <w:r w:rsidRPr="007B596E">
        <w:rPr>
          <w:color w:val="000000" w:themeColor="text1"/>
          <w:sz w:val="28"/>
          <w:szCs w:val="28"/>
        </w:rPr>
        <w:t xml:space="preserve">. </w:t>
      </w:r>
    </w:p>
    <w:p w14:paraId="3D5BBD05" w14:textId="77777777" w:rsidR="0059613D" w:rsidRPr="007B596E" w:rsidRDefault="0059613D" w:rsidP="00041F67">
      <w:pPr>
        <w:ind w:left="-426" w:right="-188"/>
        <w:rPr>
          <w:color w:val="000000" w:themeColor="text1"/>
          <w:sz w:val="28"/>
          <w:szCs w:val="28"/>
        </w:rPr>
      </w:pPr>
    </w:p>
    <w:p w14:paraId="382B4C5A" w14:textId="4B1329CD" w:rsidR="00C54669" w:rsidRPr="007B596E" w:rsidRDefault="0059613D" w:rsidP="00AE6AEF">
      <w:pPr>
        <w:ind w:left="-426"/>
        <w:rPr>
          <w:sz w:val="28"/>
          <w:szCs w:val="28"/>
        </w:rPr>
      </w:pPr>
      <w:r w:rsidRPr="007B596E">
        <w:rPr>
          <w:color w:val="000000" w:themeColor="text1"/>
          <w:sz w:val="28"/>
          <w:szCs w:val="28"/>
        </w:rPr>
        <w:t>Since July 2018</w:t>
      </w:r>
      <w:r w:rsidR="00573702" w:rsidRPr="007B596E">
        <w:rPr>
          <w:color w:val="000000" w:themeColor="text1"/>
          <w:sz w:val="28"/>
          <w:szCs w:val="28"/>
        </w:rPr>
        <w:t xml:space="preserve">, a Development Working Group of around twenty people and organisations from across civil society and the public sector has been </w:t>
      </w:r>
      <w:r w:rsidRPr="007B596E">
        <w:rPr>
          <w:color w:val="000000" w:themeColor="text1"/>
          <w:sz w:val="28"/>
          <w:szCs w:val="28"/>
        </w:rPr>
        <w:t>building on this to</w:t>
      </w:r>
      <w:r w:rsidR="00573702" w:rsidRPr="007B596E">
        <w:rPr>
          <w:color w:val="000000" w:themeColor="text1"/>
          <w:sz w:val="28"/>
          <w:szCs w:val="28"/>
        </w:rPr>
        <w:t xml:space="preserve"> develop a second phase of SNAP (SNAP 2). </w:t>
      </w:r>
      <w:r w:rsidRPr="007B596E">
        <w:rPr>
          <w:color w:val="000000" w:themeColor="text1"/>
          <w:sz w:val="28"/>
          <w:szCs w:val="28"/>
        </w:rPr>
        <w:t xml:space="preserve">Using </w:t>
      </w:r>
      <w:r w:rsidR="00573702" w:rsidRPr="007B596E">
        <w:rPr>
          <w:color w:val="000000" w:themeColor="text1"/>
          <w:sz w:val="28"/>
          <w:szCs w:val="28"/>
        </w:rPr>
        <w:t>the findings of the Nat</w:t>
      </w:r>
      <w:r w:rsidRPr="007B596E">
        <w:rPr>
          <w:color w:val="000000" w:themeColor="text1"/>
          <w:sz w:val="28"/>
          <w:szCs w:val="28"/>
        </w:rPr>
        <w:t xml:space="preserve">ional Participation Process, </w:t>
      </w:r>
      <w:r w:rsidR="00573702" w:rsidRPr="007B596E">
        <w:rPr>
          <w:color w:val="000000" w:themeColor="text1"/>
          <w:sz w:val="28"/>
          <w:szCs w:val="28"/>
        </w:rPr>
        <w:t>a variety of other evidence</w:t>
      </w:r>
      <w:r w:rsidRPr="007B596E">
        <w:rPr>
          <w:color w:val="000000" w:themeColor="text1"/>
          <w:sz w:val="28"/>
          <w:szCs w:val="28"/>
        </w:rPr>
        <w:t xml:space="preserve"> sources</w:t>
      </w:r>
      <w:r w:rsidRPr="007B596E">
        <w:rPr>
          <w:color w:val="000000" w:themeColor="text1"/>
          <w:sz w:val="28"/>
          <w:szCs w:val="28"/>
          <w:vertAlign w:val="superscript"/>
        </w:rPr>
        <w:footnoteReference w:id="1"/>
      </w:r>
      <w:r w:rsidR="00573702" w:rsidRPr="007B596E">
        <w:rPr>
          <w:color w:val="000000" w:themeColor="text1"/>
          <w:sz w:val="28"/>
          <w:szCs w:val="28"/>
        </w:rPr>
        <w:t xml:space="preserve">, </w:t>
      </w:r>
      <w:r w:rsidRPr="007B596E">
        <w:rPr>
          <w:color w:val="000000" w:themeColor="text1"/>
          <w:sz w:val="28"/>
          <w:szCs w:val="28"/>
        </w:rPr>
        <w:t xml:space="preserve">and a set of 11 criteria, </w:t>
      </w:r>
      <w:r w:rsidR="00573702" w:rsidRPr="007B596E">
        <w:rPr>
          <w:color w:val="000000" w:themeColor="text1"/>
          <w:sz w:val="28"/>
          <w:szCs w:val="28"/>
        </w:rPr>
        <w:t xml:space="preserve">the </w:t>
      </w:r>
      <w:r w:rsidRPr="007B596E">
        <w:rPr>
          <w:color w:val="000000" w:themeColor="text1"/>
          <w:sz w:val="28"/>
          <w:szCs w:val="28"/>
        </w:rPr>
        <w:t>DWG</w:t>
      </w:r>
      <w:r w:rsidR="00041F67" w:rsidRPr="007B596E">
        <w:rPr>
          <w:color w:val="000000" w:themeColor="text1"/>
          <w:sz w:val="28"/>
          <w:szCs w:val="28"/>
        </w:rPr>
        <w:t xml:space="preserve"> has</w:t>
      </w:r>
      <w:r w:rsidR="00573702" w:rsidRPr="007B596E">
        <w:rPr>
          <w:color w:val="000000" w:themeColor="text1"/>
          <w:sz w:val="28"/>
          <w:szCs w:val="28"/>
        </w:rPr>
        <w:t xml:space="preserve"> </w:t>
      </w:r>
      <w:r w:rsidRPr="007B596E">
        <w:rPr>
          <w:color w:val="000000" w:themeColor="text1"/>
          <w:sz w:val="28"/>
          <w:szCs w:val="28"/>
        </w:rPr>
        <w:t>identified key issues requiring action under each of the 25 themes</w:t>
      </w:r>
      <w:r w:rsidR="00041F67" w:rsidRPr="007B596E">
        <w:rPr>
          <w:color w:val="000000" w:themeColor="text1"/>
          <w:sz w:val="28"/>
          <w:szCs w:val="28"/>
        </w:rPr>
        <w:t>,</w:t>
      </w:r>
      <w:r w:rsidRPr="007B596E">
        <w:rPr>
          <w:color w:val="000000" w:themeColor="text1"/>
          <w:sz w:val="28"/>
          <w:szCs w:val="28"/>
        </w:rPr>
        <w:t xml:space="preserve"> and agreed a draft set of 62 potential actions. Many of these are aligned to national and local government policy priorities.  Potential actions have been further scoped in terms of: activity type; timescale; resources required; potential impact and feasibility; and connection to long-term SNAP outcomes. </w:t>
      </w:r>
      <w:r w:rsidR="00041F67" w:rsidRPr="007B596E">
        <w:rPr>
          <w:color w:val="000000" w:themeColor="text1"/>
          <w:sz w:val="28"/>
          <w:szCs w:val="28"/>
        </w:rPr>
        <w:t xml:space="preserve">A draft proposal for SNAP 2, including detail of all suggested potential actions, will be published in September 2019. </w:t>
      </w:r>
      <w:r w:rsidRPr="007B596E">
        <w:rPr>
          <w:color w:val="000000" w:themeColor="text1"/>
          <w:sz w:val="28"/>
          <w:szCs w:val="28"/>
        </w:rPr>
        <w:t xml:space="preserve">A wider engagement and consultation exercise will </w:t>
      </w:r>
      <w:r w:rsidR="00041F67" w:rsidRPr="007B596E">
        <w:rPr>
          <w:color w:val="000000" w:themeColor="text1"/>
          <w:sz w:val="28"/>
          <w:szCs w:val="28"/>
        </w:rPr>
        <w:t xml:space="preserve">then </w:t>
      </w:r>
      <w:r w:rsidRPr="007B596E">
        <w:rPr>
          <w:color w:val="000000" w:themeColor="text1"/>
          <w:sz w:val="28"/>
          <w:szCs w:val="28"/>
        </w:rPr>
        <w:t xml:space="preserve">take place </w:t>
      </w:r>
      <w:r w:rsidR="00041F67" w:rsidRPr="007B596E">
        <w:rPr>
          <w:color w:val="000000" w:themeColor="text1"/>
          <w:sz w:val="28"/>
          <w:szCs w:val="28"/>
        </w:rPr>
        <w:t>throughout</w:t>
      </w:r>
      <w:r w:rsidRPr="007B596E">
        <w:rPr>
          <w:color w:val="000000" w:themeColor="text1"/>
          <w:sz w:val="28"/>
          <w:szCs w:val="28"/>
        </w:rPr>
        <w:t xml:space="preserve"> </w:t>
      </w:r>
      <w:r w:rsidR="00041F67" w:rsidRPr="007B596E">
        <w:rPr>
          <w:color w:val="000000" w:themeColor="text1"/>
          <w:sz w:val="28"/>
          <w:szCs w:val="28"/>
        </w:rPr>
        <w:t xml:space="preserve">autumn </w:t>
      </w:r>
      <w:r w:rsidRPr="007B596E">
        <w:rPr>
          <w:color w:val="000000" w:themeColor="text1"/>
          <w:sz w:val="28"/>
          <w:szCs w:val="28"/>
        </w:rPr>
        <w:t>to sense-check, modify and refine the draft actions.</w:t>
      </w:r>
      <w:r w:rsidR="00041F67" w:rsidRPr="007B596E">
        <w:rPr>
          <w:color w:val="000000" w:themeColor="text1"/>
          <w:sz w:val="28"/>
          <w:szCs w:val="28"/>
        </w:rPr>
        <w:t xml:space="preserve"> We invite the Committee to explore the draft proposal for SNAP 2 in full when published, and to engage in the process of finalising SNAP 2.</w:t>
      </w:r>
      <w:r w:rsidR="003A407A" w:rsidRPr="007B596E">
        <w:rPr>
          <w:rStyle w:val="FootnoteReference"/>
          <w:color w:val="000000" w:themeColor="text1"/>
          <w:sz w:val="28"/>
          <w:szCs w:val="28"/>
        </w:rPr>
        <w:footnoteReference w:id="2"/>
      </w:r>
    </w:p>
    <w:p w14:paraId="701CD9A8" w14:textId="77777777" w:rsidR="003A407A" w:rsidRPr="007B596E" w:rsidRDefault="003A407A" w:rsidP="00BD18F7">
      <w:pPr>
        <w:ind w:left="-426" w:right="-188"/>
        <w:rPr>
          <w:sz w:val="28"/>
          <w:szCs w:val="28"/>
        </w:rPr>
      </w:pPr>
    </w:p>
    <w:p w14:paraId="1DD6EE61" w14:textId="2551627A" w:rsidR="007649C7" w:rsidRPr="007B596E" w:rsidRDefault="00FE7ACB" w:rsidP="00160AAF">
      <w:pPr>
        <w:pStyle w:val="bullet2"/>
        <w:rPr>
          <w:sz w:val="28"/>
          <w:szCs w:val="28"/>
        </w:rPr>
      </w:pPr>
      <w:r w:rsidRPr="007B596E">
        <w:rPr>
          <w:sz w:val="28"/>
          <w:szCs w:val="28"/>
        </w:rPr>
        <w:t>There is a significant opportunity</w:t>
      </w:r>
      <w:r w:rsidR="00F94A73" w:rsidRPr="007B596E">
        <w:rPr>
          <w:sz w:val="28"/>
          <w:szCs w:val="28"/>
        </w:rPr>
        <w:t xml:space="preserve"> for the extensive and collective </w:t>
      </w:r>
      <w:r w:rsidRPr="007B596E">
        <w:rPr>
          <w:sz w:val="28"/>
          <w:szCs w:val="28"/>
        </w:rPr>
        <w:t>analysis undertaken by the</w:t>
      </w:r>
      <w:r w:rsidR="00F94A73" w:rsidRPr="007B596E">
        <w:rPr>
          <w:sz w:val="28"/>
          <w:szCs w:val="28"/>
        </w:rPr>
        <w:t xml:space="preserve"> group to inform </w:t>
      </w:r>
      <w:r w:rsidRPr="007B596E">
        <w:rPr>
          <w:sz w:val="28"/>
          <w:szCs w:val="28"/>
        </w:rPr>
        <w:t>public</w:t>
      </w:r>
      <w:r w:rsidR="00F94A73" w:rsidRPr="007B596E">
        <w:rPr>
          <w:sz w:val="28"/>
          <w:szCs w:val="28"/>
        </w:rPr>
        <w:t xml:space="preserve"> policy across </w:t>
      </w:r>
      <w:r w:rsidR="00087151" w:rsidRPr="007B596E">
        <w:rPr>
          <w:sz w:val="28"/>
          <w:szCs w:val="28"/>
        </w:rPr>
        <w:t>government and parliament going forward</w:t>
      </w:r>
      <w:r w:rsidR="00F94A73" w:rsidRPr="007B596E">
        <w:rPr>
          <w:sz w:val="28"/>
          <w:szCs w:val="28"/>
        </w:rPr>
        <w:t xml:space="preserve">. </w:t>
      </w:r>
      <w:r w:rsidRPr="007B596E">
        <w:rPr>
          <w:sz w:val="28"/>
          <w:szCs w:val="28"/>
        </w:rPr>
        <w:t xml:space="preserve"> It is recommended that government</w:t>
      </w:r>
      <w:r w:rsidR="005A3F5B" w:rsidRPr="007B596E">
        <w:rPr>
          <w:sz w:val="28"/>
          <w:szCs w:val="28"/>
        </w:rPr>
        <w:t xml:space="preserve"> and Parliament</w:t>
      </w:r>
      <w:r w:rsidRPr="007B596E">
        <w:rPr>
          <w:sz w:val="28"/>
          <w:szCs w:val="28"/>
        </w:rPr>
        <w:t xml:space="preserve"> engage significantly in SNAP going forward and draw on its potential</w:t>
      </w:r>
      <w:r w:rsidR="00160AAF" w:rsidRPr="007B596E">
        <w:rPr>
          <w:sz w:val="28"/>
          <w:szCs w:val="28"/>
        </w:rPr>
        <w:t>,</w:t>
      </w:r>
      <w:r w:rsidRPr="007B596E">
        <w:rPr>
          <w:sz w:val="28"/>
          <w:szCs w:val="28"/>
        </w:rPr>
        <w:t xml:space="preserve"> to more fully </w:t>
      </w:r>
      <w:r w:rsidR="005E7A4C" w:rsidRPr="007B596E">
        <w:rPr>
          <w:sz w:val="28"/>
          <w:szCs w:val="28"/>
        </w:rPr>
        <w:t>understand where</w:t>
      </w:r>
      <w:r w:rsidR="007649C7" w:rsidRPr="007B596E">
        <w:rPr>
          <w:sz w:val="28"/>
          <w:szCs w:val="28"/>
        </w:rPr>
        <w:t xml:space="preserve"> individuals and protected groups are struggling to access their rights and which groups of people are most likely to be affected and why</w:t>
      </w:r>
      <w:r w:rsidR="00160AAF" w:rsidRPr="007B596E">
        <w:rPr>
          <w:sz w:val="28"/>
          <w:szCs w:val="28"/>
        </w:rPr>
        <w:t>.</w:t>
      </w:r>
    </w:p>
    <w:p w14:paraId="5983CBE4" w14:textId="77777777" w:rsidR="008F4914" w:rsidRPr="007B596E" w:rsidRDefault="008F4914" w:rsidP="00BD18F7">
      <w:pPr>
        <w:ind w:left="-426" w:right="-188"/>
        <w:rPr>
          <w:sz w:val="28"/>
          <w:szCs w:val="28"/>
        </w:rPr>
      </w:pPr>
    </w:p>
    <w:p w14:paraId="00266E9A" w14:textId="77777777" w:rsidR="007B596E" w:rsidRDefault="007B596E">
      <w:pPr>
        <w:autoSpaceDE/>
        <w:autoSpaceDN/>
        <w:adjustRightInd/>
        <w:rPr>
          <w:b/>
          <w:sz w:val="28"/>
          <w:szCs w:val="28"/>
        </w:rPr>
      </w:pPr>
      <w:r>
        <w:rPr>
          <w:b/>
          <w:sz w:val="28"/>
          <w:szCs w:val="28"/>
        </w:rPr>
        <w:br w:type="page"/>
      </w:r>
    </w:p>
    <w:p w14:paraId="3031BCB3" w14:textId="093CE4E9" w:rsidR="00100117" w:rsidRPr="007B596E" w:rsidRDefault="008F4914" w:rsidP="007B596E">
      <w:pPr>
        <w:pStyle w:val="questionheading"/>
        <w:rPr>
          <w:sz w:val="28"/>
          <w:szCs w:val="28"/>
        </w:rPr>
      </w:pPr>
      <w:r w:rsidRPr="007B596E">
        <w:rPr>
          <w:sz w:val="28"/>
          <w:szCs w:val="28"/>
        </w:rPr>
        <w:lastRenderedPageBreak/>
        <w:t xml:space="preserve">Question 4: </w:t>
      </w:r>
      <w:r w:rsidR="00100117" w:rsidRPr="007B596E">
        <w:rPr>
          <w:b w:val="0"/>
          <w:sz w:val="28"/>
          <w:szCs w:val="28"/>
        </w:rPr>
        <w:t>Is the level of public sector funding provided enough to deliver national priorities and better outcomes for people and communities, please provide evidence?</w:t>
      </w:r>
      <w:r w:rsidR="00100117" w:rsidRPr="007B596E">
        <w:rPr>
          <w:sz w:val="28"/>
          <w:szCs w:val="28"/>
        </w:rPr>
        <w:t xml:space="preserve"> </w:t>
      </w:r>
    </w:p>
    <w:p w14:paraId="2E5CF54E" w14:textId="77777777" w:rsidR="003A7CBA" w:rsidRPr="007B596E" w:rsidRDefault="003A7CBA" w:rsidP="003A7CBA">
      <w:pPr>
        <w:ind w:left="-426" w:right="-188"/>
        <w:rPr>
          <w:b/>
          <w:bCs/>
          <w:sz w:val="28"/>
          <w:szCs w:val="28"/>
        </w:rPr>
      </w:pPr>
      <w:r w:rsidRPr="007B596E">
        <w:rPr>
          <w:b/>
          <w:bCs/>
          <w:sz w:val="28"/>
          <w:szCs w:val="28"/>
        </w:rPr>
        <w:t>Human rights as a national priority</w:t>
      </w:r>
    </w:p>
    <w:p w14:paraId="69209CFC" w14:textId="77777777" w:rsidR="009013C8" w:rsidRPr="007B596E" w:rsidRDefault="0095591E" w:rsidP="003A7CBA">
      <w:pPr>
        <w:ind w:left="-426" w:right="-188"/>
        <w:rPr>
          <w:bCs/>
          <w:sz w:val="28"/>
          <w:szCs w:val="28"/>
        </w:rPr>
      </w:pPr>
      <w:r w:rsidRPr="007B596E">
        <w:rPr>
          <w:bCs/>
          <w:sz w:val="28"/>
          <w:szCs w:val="28"/>
        </w:rPr>
        <w:t xml:space="preserve">The Commission considers that the full realisation of human rights is a matter of national priority. </w:t>
      </w:r>
      <w:r w:rsidR="003A7CBA" w:rsidRPr="007B596E">
        <w:rPr>
          <w:bCs/>
          <w:sz w:val="28"/>
          <w:szCs w:val="28"/>
        </w:rPr>
        <w:t xml:space="preserve">Scotland’s National Outcome on Human Rights is drawn directly from the international human rights obligation – </w:t>
      </w:r>
      <w:r w:rsidR="003A7CBA" w:rsidRPr="007B596E">
        <w:rPr>
          <w:bCs/>
          <w:i/>
          <w:sz w:val="28"/>
          <w:szCs w:val="28"/>
        </w:rPr>
        <w:t xml:space="preserve">to respect, protect and fulfil human rights. </w:t>
      </w:r>
      <w:r w:rsidR="003A7CBA" w:rsidRPr="007B596E">
        <w:rPr>
          <w:bCs/>
          <w:sz w:val="28"/>
          <w:szCs w:val="28"/>
        </w:rPr>
        <w:t xml:space="preserve">This, coupled with the recommendations from the First Minister’s Advisory Group on Human Rights and the findings from EHRiC’s Inquiry on human rights show </w:t>
      </w:r>
      <w:r w:rsidR="003A407A" w:rsidRPr="007B596E">
        <w:rPr>
          <w:bCs/>
          <w:sz w:val="28"/>
          <w:szCs w:val="28"/>
        </w:rPr>
        <w:t xml:space="preserve">that </w:t>
      </w:r>
      <w:r w:rsidR="003A7CBA" w:rsidRPr="007B596E">
        <w:rPr>
          <w:bCs/>
          <w:sz w:val="28"/>
          <w:szCs w:val="28"/>
        </w:rPr>
        <w:t>on paper</w:t>
      </w:r>
      <w:r w:rsidR="003A407A" w:rsidRPr="007B596E">
        <w:rPr>
          <w:bCs/>
          <w:sz w:val="28"/>
          <w:szCs w:val="28"/>
        </w:rPr>
        <w:t>,</w:t>
      </w:r>
      <w:r w:rsidR="003A7CBA" w:rsidRPr="007B596E">
        <w:rPr>
          <w:bCs/>
          <w:sz w:val="28"/>
          <w:szCs w:val="28"/>
        </w:rPr>
        <w:t xml:space="preserve"> there is a strong commitment </w:t>
      </w:r>
      <w:r w:rsidR="00A8533E" w:rsidRPr="007B596E">
        <w:rPr>
          <w:bCs/>
          <w:sz w:val="28"/>
          <w:szCs w:val="28"/>
        </w:rPr>
        <w:t xml:space="preserve">from government and across Parliament, </w:t>
      </w:r>
      <w:r w:rsidR="003A7CBA" w:rsidRPr="007B596E">
        <w:rPr>
          <w:bCs/>
          <w:sz w:val="28"/>
          <w:szCs w:val="28"/>
        </w:rPr>
        <w:t xml:space="preserve">to deliver on Scotland’s international human rights obligations. This has to be matched with adequate resourcing if this is to be realised in practice, which is a key </w:t>
      </w:r>
      <w:r w:rsidR="003A407A" w:rsidRPr="007B596E">
        <w:rPr>
          <w:bCs/>
          <w:sz w:val="28"/>
          <w:szCs w:val="28"/>
        </w:rPr>
        <w:t xml:space="preserve">aspect </w:t>
      </w:r>
      <w:r w:rsidR="003A7CBA" w:rsidRPr="007B596E">
        <w:rPr>
          <w:bCs/>
          <w:sz w:val="28"/>
          <w:szCs w:val="28"/>
        </w:rPr>
        <w:t>of the ‘</w:t>
      </w:r>
      <w:r w:rsidR="003A7CBA" w:rsidRPr="007B596E">
        <w:rPr>
          <w:bCs/>
          <w:i/>
          <w:sz w:val="28"/>
          <w:szCs w:val="28"/>
        </w:rPr>
        <w:t>fulfil’</w:t>
      </w:r>
      <w:r w:rsidR="003A7CBA" w:rsidRPr="007B596E">
        <w:rPr>
          <w:bCs/>
          <w:sz w:val="28"/>
          <w:szCs w:val="28"/>
        </w:rPr>
        <w:t xml:space="preserve"> element of the National Outcome and international commitment. </w:t>
      </w:r>
    </w:p>
    <w:p w14:paraId="23336004" w14:textId="77777777" w:rsidR="009013C8" w:rsidRPr="007B596E" w:rsidRDefault="009013C8" w:rsidP="003A7CBA">
      <w:pPr>
        <w:ind w:left="-426" w:right="-188"/>
        <w:rPr>
          <w:bCs/>
          <w:sz w:val="28"/>
          <w:szCs w:val="28"/>
        </w:rPr>
      </w:pPr>
    </w:p>
    <w:p w14:paraId="04F74596" w14:textId="77777777" w:rsidR="009013C8" w:rsidRPr="007B596E" w:rsidRDefault="009013C8" w:rsidP="003A7CBA">
      <w:pPr>
        <w:ind w:left="-426" w:right="-188"/>
        <w:rPr>
          <w:bCs/>
          <w:sz w:val="28"/>
          <w:szCs w:val="28"/>
        </w:rPr>
      </w:pPr>
      <w:r w:rsidRPr="007B596E">
        <w:rPr>
          <w:bCs/>
          <w:sz w:val="28"/>
          <w:szCs w:val="28"/>
        </w:rPr>
        <w:t>There are a number of human rights structures, both short and long term, required in order to advance the ambition of human rights as a national priority.</w:t>
      </w:r>
    </w:p>
    <w:p w14:paraId="1D352D96" w14:textId="77777777" w:rsidR="009013C8" w:rsidRPr="007B596E" w:rsidRDefault="009013C8" w:rsidP="003A7CBA">
      <w:pPr>
        <w:ind w:left="-426" w:right="-188"/>
        <w:rPr>
          <w:bCs/>
          <w:sz w:val="28"/>
          <w:szCs w:val="28"/>
        </w:rPr>
      </w:pPr>
    </w:p>
    <w:p w14:paraId="1C229FC6" w14:textId="77777777" w:rsidR="00160AAF" w:rsidRPr="007B596E" w:rsidRDefault="009013C8" w:rsidP="003A7CBA">
      <w:pPr>
        <w:ind w:left="-426" w:right="-188"/>
        <w:rPr>
          <w:b/>
          <w:bCs/>
          <w:sz w:val="28"/>
          <w:szCs w:val="28"/>
        </w:rPr>
      </w:pPr>
      <w:r w:rsidRPr="007B596E">
        <w:rPr>
          <w:b/>
          <w:bCs/>
          <w:sz w:val="28"/>
          <w:szCs w:val="28"/>
        </w:rPr>
        <w:t xml:space="preserve">Taskforce for Human Rights Leadership  </w:t>
      </w:r>
    </w:p>
    <w:p w14:paraId="77581EF5" w14:textId="77777777" w:rsidR="003A7CBA" w:rsidRPr="007B596E" w:rsidRDefault="009013C8" w:rsidP="003A7CBA">
      <w:pPr>
        <w:ind w:left="-426" w:right="-188"/>
        <w:rPr>
          <w:bCs/>
          <w:sz w:val="28"/>
          <w:szCs w:val="28"/>
        </w:rPr>
      </w:pPr>
      <w:r w:rsidRPr="007B596E">
        <w:rPr>
          <w:bCs/>
          <w:sz w:val="28"/>
          <w:szCs w:val="28"/>
        </w:rPr>
        <w:t>An illustrative example</w:t>
      </w:r>
      <w:r w:rsidR="00A8533E" w:rsidRPr="007B596E">
        <w:rPr>
          <w:bCs/>
          <w:sz w:val="28"/>
          <w:szCs w:val="28"/>
        </w:rPr>
        <w:t xml:space="preserve"> of where we do not see a coherence between policy commitment and human rights delivery </w:t>
      </w:r>
      <w:r w:rsidRPr="007B596E">
        <w:rPr>
          <w:bCs/>
          <w:sz w:val="28"/>
          <w:szCs w:val="28"/>
        </w:rPr>
        <w:t xml:space="preserve">was in the lack of specific allocated funding for the commitment to take forward a Taskforce for Human Rights </w:t>
      </w:r>
      <w:r w:rsidR="00B33CD7" w:rsidRPr="007B596E">
        <w:rPr>
          <w:bCs/>
          <w:sz w:val="28"/>
          <w:szCs w:val="28"/>
        </w:rPr>
        <w:t>Leadership</w:t>
      </w:r>
      <w:r w:rsidRPr="007B596E">
        <w:rPr>
          <w:bCs/>
          <w:sz w:val="28"/>
          <w:szCs w:val="28"/>
        </w:rPr>
        <w:t xml:space="preserve">, despite </w:t>
      </w:r>
      <w:r w:rsidR="00F464BF" w:rsidRPr="007B596E">
        <w:rPr>
          <w:bCs/>
          <w:sz w:val="28"/>
          <w:szCs w:val="28"/>
        </w:rPr>
        <w:t xml:space="preserve">the fact </w:t>
      </w:r>
      <w:r w:rsidRPr="007B596E">
        <w:rPr>
          <w:bCs/>
          <w:sz w:val="28"/>
          <w:szCs w:val="28"/>
        </w:rPr>
        <w:t xml:space="preserve">that budget documentation made mention of it. </w:t>
      </w:r>
    </w:p>
    <w:p w14:paraId="0AA88768" w14:textId="77777777" w:rsidR="009013C8" w:rsidRPr="007B596E" w:rsidRDefault="009013C8" w:rsidP="003A7CBA">
      <w:pPr>
        <w:ind w:left="-426" w:right="-188"/>
        <w:rPr>
          <w:bCs/>
          <w:sz w:val="28"/>
          <w:szCs w:val="28"/>
        </w:rPr>
      </w:pPr>
    </w:p>
    <w:p w14:paraId="7E5F518E" w14:textId="77777777" w:rsidR="009013C8" w:rsidRPr="007B596E" w:rsidRDefault="009013C8" w:rsidP="003A7CBA">
      <w:pPr>
        <w:ind w:left="-426" w:right="-188"/>
        <w:rPr>
          <w:b/>
          <w:bCs/>
          <w:sz w:val="28"/>
          <w:szCs w:val="28"/>
        </w:rPr>
      </w:pPr>
      <w:r w:rsidRPr="007B596E">
        <w:rPr>
          <w:b/>
          <w:bCs/>
          <w:sz w:val="28"/>
          <w:szCs w:val="28"/>
        </w:rPr>
        <w:t xml:space="preserve">A National Action Plan for Human Rights </w:t>
      </w:r>
    </w:p>
    <w:p w14:paraId="29C8BE4E" w14:textId="77777777" w:rsidR="003A7CBA" w:rsidRPr="007B596E" w:rsidRDefault="00046336" w:rsidP="00046336">
      <w:pPr>
        <w:ind w:left="-426"/>
        <w:rPr>
          <w:bCs/>
          <w:sz w:val="28"/>
          <w:szCs w:val="28"/>
        </w:rPr>
      </w:pPr>
      <w:r w:rsidRPr="007B596E">
        <w:rPr>
          <w:bCs/>
          <w:sz w:val="28"/>
          <w:szCs w:val="28"/>
        </w:rPr>
        <w:t>Since t</w:t>
      </w:r>
      <w:r w:rsidR="003A7CBA" w:rsidRPr="007B596E">
        <w:rPr>
          <w:bCs/>
          <w:sz w:val="28"/>
          <w:szCs w:val="28"/>
        </w:rPr>
        <w:t>he Vienna Declaration</w:t>
      </w:r>
      <w:r w:rsidRPr="007B596E">
        <w:rPr>
          <w:bCs/>
          <w:sz w:val="28"/>
          <w:szCs w:val="28"/>
        </w:rPr>
        <w:t xml:space="preserve"> in 1993, </w:t>
      </w:r>
      <w:r w:rsidRPr="007B596E">
        <w:rPr>
          <w:sz w:val="28"/>
          <w:szCs w:val="28"/>
          <w:lang w:val="en-US"/>
        </w:rPr>
        <w:t xml:space="preserve">the UN has encouraged and supported countries to develop National Action Plans for human rights, stressing their importance in identifying gaps in human rights protection, clarifying the responsibilities of States, and establishing monitoring systems so that progress made in promoting and fulfilling human rights protection can be measured over time.  </w:t>
      </w:r>
      <w:r w:rsidRPr="007B596E">
        <w:rPr>
          <w:sz w:val="28"/>
          <w:szCs w:val="28"/>
        </w:rPr>
        <w:t xml:space="preserve">The Council of Europe in 2009 also </w:t>
      </w:r>
      <w:hyperlink r:id="rId9" w:history="1">
        <w:r w:rsidRPr="007B596E">
          <w:rPr>
            <w:sz w:val="28"/>
            <w:szCs w:val="28"/>
          </w:rPr>
          <w:t>recommended</w:t>
        </w:r>
      </w:hyperlink>
      <w:r w:rsidRPr="007B596E">
        <w:rPr>
          <w:rStyle w:val="FootnoteReference"/>
          <w:sz w:val="28"/>
          <w:szCs w:val="28"/>
        </w:rPr>
        <w:footnoteReference w:id="3"/>
      </w:r>
      <w:r w:rsidRPr="007B596E">
        <w:rPr>
          <w:sz w:val="28"/>
          <w:szCs w:val="28"/>
        </w:rPr>
        <w:t xml:space="preserve"> that Action Plans be used to systematically implement human rights at the national level.</w:t>
      </w:r>
    </w:p>
    <w:p w14:paraId="15398AC8" w14:textId="77777777" w:rsidR="003A7CBA" w:rsidRPr="007B596E" w:rsidRDefault="003A7CBA" w:rsidP="003A7CBA">
      <w:pPr>
        <w:ind w:left="-426" w:right="-188"/>
        <w:rPr>
          <w:bCs/>
          <w:sz w:val="28"/>
          <w:szCs w:val="28"/>
        </w:rPr>
      </w:pPr>
    </w:p>
    <w:p w14:paraId="5B8DE954" w14:textId="2D83F9F9" w:rsidR="00A929C6" w:rsidRPr="007B596E" w:rsidRDefault="00046336" w:rsidP="00A929C6">
      <w:pPr>
        <w:ind w:left="-426"/>
        <w:rPr>
          <w:sz w:val="28"/>
          <w:szCs w:val="28"/>
        </w:rPr>
      </w:pPr>
      <w:r w:rsidRPr="007B596E">
        <w:rPr>
          <w:bCs/>
          <w:sz w:val="28"/>
          <w:szCs w:val="28"/>
        </w:rPr>
        <w:t>Scotland’s first National Action Plan for Human Rights</w:t>
      </w:r>
      <w:r w:rsidR="00A929C6" w:rsidRPr="007B596E">
        <w:rPr>
          <w:bCs/>
          <w:sz w:val="28"/>
          <w:szCs w:val="28"/>
        </w:rPr>
        <w:t>, launched in 2013,</w:t>
      </w:r>
      <w:r w:rsidRPr="007B596E">
        <w:rPr>
          <w:bCs/>
          <w:sz w:val="28"/>
          <w:szCs w:val="28"/>
        </w:rPr>
        <w:t xml:space="preserve"> was </w:t>
      </w:r>
      <w:r w:rsidR="00A929C6" w:rsidRPr="007B596E">
        <w:rPr>
          <w:sz w:val="28"/>
          <w:szCs w:val="28"/>
          <w:lang w:val="en-US"/>
        </w:rPr>
        <w:t xml:space="preserve">evidence-based and </w:t>
      </w:r>
      <w:r w:rsidRPr="007B596E">
        <w:rPr>
          <w:bCs/>
          <w:sz w:val="28"/>
          <w:szCs w:val="28"/>
        </w:rPr>
        <w:t xml:space="preserve">developed </w:t>
      </w:r>
      <w:r w:rsidR="00A929C6" w:rsidRPr="007B596E">
        <w:rPr>
          <w:bCs/>
          <w:sz w:val="28"/>
          <w:szCs w:val="28"/>
        </w:rPr>
        <w:t>and implemented with participative support from</w:t>
      </w:r>
      <w:r w:rsidRPr="007B596E">
        <w:rPr>
          <w:sz w:val="28"/>
          <w:szCs w:val="28"/>
          <w:lang w:val="en-US"/>
        </w:rPr>
        <w:t xml:space="preserve"> the public and private sectors, civil society and people with lived </w:t>
      </w:r>
      <w:r w:rsidRPr="007B596E">
        <w:rPr>
          <w:sz w:val="28"/>
          <w:szCs w:val="28"/>
        </w:rPr>
        <w:t xml:space="preserve">experience of human rights violations. </w:t>
      </w:r>
      <w:r w:rsidR="00E2278A" w:rsidRPr="007B596E">
        <w:rPr>
          <w:sz w:val="28"/>
          <w:szCs w:val="28"/>
        </w:rPr>
        <w:t xml:space="preserve">The independent evaluation of SNAP concluded that whilst SNAP had improved outcomes for people and communities in specific </w:t>
      </w:r>
      <w:r w:rsidR="00E2278A" w:rsidRPr="007B596E">
        <w:rPr>
          <w:sz w:val="28"/>
          <w:szCs w:val="28"/>
        </w:rPr>
        <w:lastRenderedPageBreak/>
        <w:t>instances, as well as garnering strong cross-sectoral support, it did not have adequate resource to implement all of its commitments.</w:t>
      </w:r>
      <w:r w:rsidR="00E2278A" w:rsidRPr="007B596E">
        <w:rPr>
          <w:rStyle w:val="FootnoteReference"/>
          <w:sz w:val="28"/>
          <w:szCs w:val="28"/>
        </w:rPr>
        <w:footnoteReference w:id="4"/>
      </w:r>
      <w:r w:rsidR="00E2278A" w:rsidRPr="007B596E">
        <w:rPr>
          <w:sz w:val="28"/>
          <w:szCs w:val="28"/>
        </w:rPr>
        <w:t xml:space="preserve"> </w:t>
      </w:r>
    </w:p>
    <w:p w14:paraId="6E3D3113" w14:textId="77777777" w:rsidR="00A929C6" w:rsidRPr="007B596E" w:rsidRDefault="00A929C6" w:rsidP="00A929C6">
      <w:pPr>
        <w:ind w:left="-426"/>
        <w:rPr>
          <w:sz w:val="28"/>
          <w:szCs w:val="28"/>
        </w:rPr>
      </w:pPr>
    </w:p>
    <w:p w14:paraId="3C90A5E1" w14:textId="77777777" w:rsidR="00A929C6" w:rsidRPr="007B596E" w:rsidRDefault="00A929C6" w:rsidP="00A929C6">
      <w:pPr>
        <w:ind w:left="-426"/>
        <w:rPr>
          <w:sz w:val="28"/>
          <w:szCs w:val="28"/>
        </w:rPr>
      </w:pPr>
      <w:r w:rsidRPr="007B596E">
        <w:rPr>
          <w:sz w:val="28"/>
          <w:szCs w:val="28"/>
        </w:rPr>
        <w:t>The evaluation noted specifically that:</w:t>
      </w:r>
    </w:p>
    <w:p w14:paraId="14388BDF" w14:textId="77777777" w:rsidR="00A929C6" w:rsidRPr="007B596E" w:rsidRDefault="00A929C6" w:rsidP="00A929C6">
      <w:pPr>
        <w:pStyle w:val="bullet"/>
        <w:rPr>
          <w:sz w:val="28"/>
          <w:szCs w:val="28"/>
        </w:rPr>
      </w:pPr>
      <w:r w:rsidRPr="007B596E">
        <w:rPr>
          <w:sz w:val="28"/>
          <w:szCs w:val="28"/>
        </w:rPr>
        <w:t xml:space="preserve">SNAP is under-resourced by the State compared with National Action Plans globally. State investment could address many of the issues outlined here. </w:t>
      </w:r>
    </w:p>
    <w:p w14:paraId="585AA966" w14:textId="77777777" w:rsidR="00A929C6" w:rsidRPr="007B596E" w:rsidRDefault="00A929C6" w:rsidP="00A929C6">
      <w:pPr>
        <w:pStyle w:val="bullet"/>
        <w:rPr>
          <w:sz w:val="28"/>
          <w:szCs w:val="28"/>
        </w:rPr>
      </w:pPr>
      <w:r w:rsidRPr="007B596E">
        <w:rPr>
          <w:sz w:val="28"/>
          <w:szCs w:val="28"/>
        </w:rPr>
        <w:t xml:space="preserve">For a National Action Plan to have significant traction in Scotland, the most senior members of the Scottish Government should </w:t>
      </w:r>
      <w:r w:rsidR="00EE2125" w:rsidRPr="007B596E">
        <w:rPr>
          <w:sz w:val="28"/>
          <w:szCs w:val="28"/>
        </w:rPr>
        <w:t xml:space="preserve">be </w:t>
      </w:r>
      <w:r w:rsidRPr="007B596E">
        <w:rPr>
          <w:sz w:val="28"/>
          <w:szCs w:val="28"/>
        </w:rPr>
        <w:t xml:space="preserve">committed and empowered to support and resource actions. </w:t>
      </w:r>
    </w:p>
    <w:p w14:paraId="2921A185" w14:textId="77777777" w:rsidR="00EE2125" w:rsidRPr="007B596E" w:rsidRDefault="00A929C6" w:rsidP="00EE2125">
      <w:pPr>
        <w:pStyle w:val="bullet"/>
        <w:rPr>
          <w:sz w:val="28"/>
          <w:szCs w:val="28"/>
        </w:rPr>
      </w:pPr>
      <w:r w:rsidRPr="007B596E">
        <w:rPr>
          <w:sz w:val="28"/>
          <w:szCs w:val="28"/>
        </w:rPr>
        <w:t xml:space="preserve">Growing support from the First Minister and the Scottish Parliament generally for </w:t>
      </w:r>
      <w:r w:rsidR="000D4C94" w:rsidRPr="007B596E">
        <w:rPr>
          <w:sz w:val="28"/>
          <w:szCs w:val="28"/>
        </w:rPr>
        <w:t>h</w:t>
      </w:r>
      <w:r w:rsidRPr="007B596E">
        <w:rPr>
          <w:sz w:val="28"/>
          <w:szCs w:val="28"/>
        </w:rPr>
        <w:t xml:space="preserve">uman </w:t>
      </w:r>
      <w:r w:rsidR="000D4C94" w:rsidRPr="007B596E">
        <w:rPr>
          <w:sz w:val="28"/>
          <w:szCs w:val="28"/>
        </w:rPr>
        <w:t>r</w:t>
      </w:r>
      <w:r w:rsidRPr="007B596E">
        <w:rPr>
          <w:sz w:val="28"/>
          <w:szCs w:val="28"/>
        </w:rPr>
        <w:t xml:space="preserve">ights has been notable in recent years. This must continue and be reflected in the support made available to SNAP to put commitments into practice. </w:t>
      </w:r>
    </w:p>
    <w:p w14:paraId="0A3E41A3" w14:textId="77777777" w:rsidR="00A929C6" w:rsidRPr="007B596E" w:rsidRDefault="00A929C6" w:rsidP="00EE2125">
      <w:pPr>
        <w:pStyle w:val="bullet"/>
        <w:rPr>
          <w:sz w:val="28"/>
          <w:szCs w:val="28"/>
        </w:rPr>
      </w:pPr>
      <w:r w:rsidRPr="007B596E">
        <w:rPr>
          <w:sz w:val="28"/>
          <w:szCs w:val="28"/>
        </w:rPr>
        <w:t xml:space="preserve">Further connections should be drawn between SNAP and the National Performance Framework. In particular, indicators for the human rights outcome should reference SNAP. </w:t>
      </w:r>
    </w:p>
    <w:p w14:paraId="1168C749" w14:textId="77777777" w:rsidR="003A7CBA" w:rsidRPr="007B596E" w:rsidRDefault="003A7CBA" w:rsidP="00BD18F7">
      <w:pPr>
        <w:ind w:left="-426" w:right="-188"/>
        <w:rPr>
          <w:bCs/>
          <w:sz w:val="28"/>
          <w:szCs w:val="28"/>
        </w:rPr>
      </w:pPr>
    </w:p>
    <w:p w14:paraId="7BB1F06A" w14:textId="77777777" w:rsidR="00EE2125" w:rsidRPr="007B596E" w:rsidRDefault="00EE2125" w:rsidP="00160AAF">
      <w:pPr>
        <w:pStyle w:val="bullet2"/>
        <w:rPr>
          <w:sz w:val="28"/>
          <w:szCs w:val="28"/>
        </w:rPr>
      </w:pPr>
      <w:r w:rsidRPr="007B596E">
        <w:rPr>
          <w:sz w:val="28"/>
          <w:szCs w:val="28"/>
        </w:rPr>
        <w:t>If the Scottish Government is to fully realise its human rights</w:t>
      </w:r>
      <w:r w:rsidR="005E7A4C" w:rsidRPr="007B596E">
        <w:rPr>
          <w:sz w:val="28"/>
          <w:szCs w:val="28"/>
        </w:rPr>
        <w:t xml:space="preserve"> </w:t>
      </w:r>
      <w:r w:rsidR="000D4C94" w:rsidRPr="007B596E">
        <w:rPr>
          <w:sz w:val="28"/>
          <w:szCs w:val="28"/>
        </w:rPr>
        <w:t>ambition</w:t>
      </w:r>
      <w:r w:rsidR="003A796D" w:rsidRPr="007B596E">
        <w:rPr>
          <w:sz w:val="28"/>
          <w:szCs w:val="28"/>
        </w:rPr>
        <w:t>,</w:t>
      </w:r>
      <w:r w:rsidR="001E468C" w:rsidRPr="007B596E">
        <w:rPr>
          <w:sz w:val="28"/>
          <w:szCs w:val="28"/>
        </w:rPr>
        <w:t xml:space="preserve"> </w:t>
      </w:r>
      <w:r w:rsidR="0091436B" w:rsidRPr="007B596E">
        <w:rPr>
          <w:sz w:val="28"/>
          <w:szCs w:val="28"/>
        </w:rPr>
        <w:t xml:space="preserve">consideration should be given as to how </w:t>
      </w:r>
      <w:r w:rsidR="001E468C" w:rsidRPr="007B596E">
        <w:rPr>
          <w:sz w:val="28"/>
          <w:szCs w:val="28"/>
        </w:rPr>
        <w:t xml:space="preserve"> SNAP </w:t>
      </w:r>
      <w:r w:rsidR="0091436B" w:rsidRPr="007B596E">
        <w:rPr>
          <w:sz w:val="28"/>
          <w:szCs w:val="28"/>
        </w:rPr>
        <w:t xml:space="preserve">can be resourced </w:t>
      </w:r>
      <w:r w:rsidR="001E468C" w:rsidRPr="007B596E">
        <w:rPr>
          <w:sz w:val="28"/>
          <w:szCs w:val="28"/>
        </w:rPr>
        <w:t xml:space="preserve">over </w:t>
      </w:r>
      <w:r w:rsidR="004B3080" w:rsidRPr="007B596E">
        <w:rPr>
          <w:sz w:val="28"/>
          <w:szCs w:val="28"/>
        </w:rPr>
        <w:t>its</w:t>
      </w:r>
      <w:r w:rsidR="001E468C" w:rsidRPr="007B596E">
        <w:rPr>
          <w:sz w:val="28"/>
          <w:szCs w:val="28"/>
        </w:rPr>
        <w:t xml:space="preserve"> next cycle.</w:t>
      </w:r>
    </w:p>
    <w:p w14:paraId="74611BD9" w14:textId="77777777" w:rsidR="00EE2125" w:rsidRPr="007B596E" w:rsidRDefault="00EE2125" w:rsidP="00EE2125">
      <w:pPr>
        <w:autoSpaceDE/>
        <w:autoSpaceDN/>
        <w:adjustRightInd/>
        <w:ind w:left="-426"/>
        <w:rPr>
          <w:sz w:val="28"/>
          <w:szCs w:val="28"/>
        </w:rPr>
      </w:pPr>
    </w:p>
    <w:p w14:paraId="4C765216" w14:textId="77777777" w:rsidR="009013C8" w:rsidRPr="007B596E" w:rsidRDefault="009013C8" w:rsidP="00EE2125">
      <w:pPr>
        <w:autoSpaceDE/>
        <w:autoSpaceDN/>
        <w:adjustRightInd/>
        <w:ind w:left="-426"/>
        <w:rPr>
          <w:b/>
          <w:sz w:val="28"/>
          <w:szCs w:val="28"/>
        </w:rPr>
      </w:pPr>
      <w:r w:rsidRPr="007B596E">
        <w:rPr>
          <w:b/>
          <w:sz w:val="28"/>
          <w:szCs w:val="28"/>
        </w:rPr>
        <w:t xml:space="preserve">National Human Rights Institution </w:t>
      </w:r>
    </w:p>
    <w:p w14:paraId="7237F260" w14:textId="291CED46" w:rsidR="00384583" w:rsidRPr="007B596E" w:rsidRDefault="000D4C94" w:rsidP="00B33CD7">
      <w:pPr>
        <w:ind w:left="-426"/>
        <w:rPr>
          <w:sz w:val="28"/>
          <w:szCs w:val="28"/>
        </w:rPr>
      </w:pPr>
      <w:r w:rsidRPr="007B596E">
        <w:rPr>
          <w:sz w:val="28"/>
          <w:szCs w:val="28"/>
        </w:rPr>
        <w:t xml:space="preserve">It is also worth noting that </w:t>
      </w:r>
      <w:r w:rsidR="00EE75EE" w:rsidRPr="007B596E">
        <w:rPr>
          <w:sz w:val="28"/>
          <w:szCs w:val="28"/>
        </w:rPr>
        <w:t>the importance of</w:t>
      </w:r>
      <w:r w:rsidR="00384583" w:rsidRPr="007B596E">
        <w:rPr>
          <w:sz w:val="28"/>
          <w:szCs w:val="28"/>
        </w:rPr>
        <w:t xml:space="preserve"> independent and </w:t>
      </w:r>
      <w:r w:rsidR="003A796D" w:rsidRPr="007B596E">
        <w:rPr>
          <w:sz w:val="28"/>
          <w:szCs w:val="28"/>
        </w:rPr>
        <w:t xml:space="preserve">adequately </w:t>
      </w:r>
      <w:r w:rsidR="00384583" w:rsidRPr="007B596E">
        <w:rPr>
          <w:sz w:val="28"/>
          <w:szCs w:val="28"/>
        </w:rPr>
        <w:t xml:space="preserve">resourced </w:t>
      </w:r>
      <w:r w:rsidR="00EE75EE" w:rsidRPr="007B596E">
        <w:rPr>
          <w:sz w:val="28"/>
          <w:szCs w:val="28"/>
        </w:rPr>
        <w:t>national huma</w:t>
      </w:r>
      <w:r w:rsidR="00384583" w:rsidRPr="007B596E">
        <w:rPr>
          <w:sz w:val="28"/>
          <w:szCs w:val="28"/>
        </w:rPr>
        <w:t>n rights institutions</w:t>
      </w:r>
      <w:r w:rsidR="0008615F" w:rsidRPr="007B596E">
        <w:rPr>
          <w:sz w:val="28"/>
          <w:szCs w:val="28"/>
        </w:rPr>
        <w:t xml:space="preserve"> (NHRIs)</w:t>
      </w:r>
      <w:r w:rsidR="00384583" w:rsidRPr="007B596E">
        <w:rPr>
          <w:sz w:val="28"/>
          <w:szCs w:val="28"/>
        </w:rPr>
        <w:t xml:space="preserve"> </w:t>
      </w:r>
      <w:r w:rsidR="00EE75EE" w:rsidRPr="007B596E">
        <w:rPr>
          <w:sz w:val="28"/>
          <w:szCs w:val="28"/>
        </w:rPr>
        <w:t xml:space="preserve">has been reaffirmed </w:t>
      </w:r>
      <w:r w:rsidR="00384583" w:rsidRPr="007B596E">
        <w:rPr>
          <w:sz w:val="28"/>
          <w:szCs w:val="28"/>
        </w:rPr>
        <w:t xml:space="preserve">by the UN General Assembly and the Human Rights Council in various resolutions.   The Paris Principles, which are broadly accepted as the test of an institution’s legitimacy and credibility require adequate funding for an NHRI to be accredited. </w:t>
      </w:r>
    </w:p>
    <w:p w14:paraId="675A4BA7" w14:textId="77777777" w:rsidR="00384583" w:rsidRPr="007B596E" w:rsidRDefault="00384583" w:rsidP="00B33CD7">
      <w:pPr>
        <w:ind w:left="-426"/>
        <w:rPr>
          <w:sz w:val="28"/>
          <w:szCs w:val="28"/>
        </w:rPr>
      </w:pPr>
    </w:p>
    <w:p w14:paraId="0E152C66" w14:textId="464E19B4" w:rsidR="00384583" w:rsidRDefault="00384583" w:rsidP="00B33CD7">
      <w:pPr>
        <w:ind w:left="-426"/>
        <w:rPr>
          <w:sz w:val="28"/>
          <w:szCs w:val="28"/>
        </w:rPr>
      </w:pPr>
      <w:r w:rsidRPr="007B596E">
        <w:rPr>
          <w:sz w:val="28"/>
          <w:szCs w:val="28"/>
        </w:rPr>
        <w:t>The Scottish Human Right</w:t>
      </w:r>
      <w:r w:rsidR="0008615F" w:rsidRPr="007B596E">
        <w:rPr>
          <w:sz w:val="28"/>
          <w:szCs w:val="28"/>
        </w:rPr>
        <w:t>s</w:t>
      </w:r>
      <w:r w:rsidRPr="007B596E">
        <w:rPr>
          <w:sz w:val="28"/>
          <w:szCs w:val="28"/>
        </w:rPr>
        <w:t xml:space="preserve"> Commission is funded through the Scottish Parliament and is accredited with A status under the Paris Principles. However </w:t>
      </w:r>
      <w:r w:rsidR="0008615F" w:rsidRPr="007B596E">
        <w:rPr>
          <w:sz w:val="28"/>
          <w:szCs w:val="28"/>
        </w:rPr>
        <w:t>it was noted by the accreditation committee both in 2010 and 2015 that the Commission “faces limitation in terms of its staffing and allocation of resources</w:t>
      </w:r>
      <w:r w:rsidR="00F464BF" w:rsidRPr="007B596E">
        <w:rPr>
          <w:sz w:val="28"/>
          <w:szCs w:val="28"/>
        </w:rPr>
        <w:t>”</w:t>
      </w:r>
      <w:r w:rsidR="0008615F" w:rsidRPr="007B596E">
        <w:rPr>
          <w:sz w:val="28"/>
          <w:szCs w:val="28"/>
        </w:rPr>
        <w:t xml:space="preserve">. </w:t>
      </w:r>
      <w:r w:rsidRPr="007B596E">
        <w:rPr>
          <w:sz w:val="28"/>
          <w:szCs w:val="28"/>
        </w:rPr>
        <w:t>The First Minster</w:t>
      </w:r>
      <w:r w:rsidR="00F464BF" w:rsidRPr="007B596E">
        <w:rPr>
          <w:sz w:val="28"/>
          <w:szCs w:val="28"/>
        </w:rPr>
        <w:t>’</w:t>
      </w:r>
      <w:r w:rsidRPr="007B596E">
        <w:rPr>
          <w:sz w:val="28"/>
          <w:szCs w:val="28"/>
        </w:rPr>
        <w:t xml:space="preserve">s Advisory Group and the EHRiC Committee Inquiry Report Getting Rights Right both </w:t>
      </w:r>
      <w:r w:rsidR="0008615F" w:rsidRPr="007B596E">
        <w:rPr>
          <w:sz w:val="28"/>
          <w:szCs w:val="28"/>
        </w:rPr>
        <w:t xml:space="preserve">acknowledged </w:t>
      </w:r>
      <w:r w:rsidRPr="007B596E">
        <w:rPr>
          <w:sz w:val="28"/>
          <w:szCs w:val="28"/>
        </w:rPr>
        <w:t xml:space="preserve">that SHRC requires more resources to advance their mandate in the current context.  </w:t>
      </w:r>
    </w:p>
    <w:p w14:paraId="3D3CE78E" w14:textId="77777777" w:rsidR="007B596E" w:rsidRPr="007B596E" w:rsidRDefault="007B596E" w:rsidP="00B33CD7">
      <w:pPr>
        <w:ind w:left="-426"/>
        <w:rPr>
          <w:sz w:val="28"/>
          <w:szCs w:val="28"/>
        </w:rPr>
      </w:pPr>
    </w:p>
    <w:p w14:paraId="1FFA6924" w14:textId="77777777" w:rsidR="00384583" w:rsidRPr="007B596E" w:rsidRDefault="0008615F" w:rsidP="00160AAF">
      <w:pPr>
        <w:pStyle w:val="bullet2"/>
        <w:rPr>
          <w:rFonts w:ascii="Segoe UI" w:hAnsi="Segoe UI" w:cs="Segoe UI"/>
          <w:color w:val="444444"/>
          <w:sz w:val="28"/>
          <w:szCs w:val="28"/>
          <w:lang w:eastAsia="en-GB"/>
        </w:rPr>
      </w:pPr>
      <w:r w:rsidRPr="007B596E">
        <w:rPr>
          <w:sz w:val="28"/>
          <w:szCs w:val="28"/>
        </w:rPr>
        <w:t xml:space="preserve">The Commission requests that government and Parliament give careful consideration to the need to further resources for SHRC in light of the current context. </w:t>
      </w:r>
      <w:r w:rsidR="00384583" w:rsidRPr="007B596E">
        <w:rPr>
          <w:rFonts w:ascii="Segoe UI" w:hAnsi="Segoe UI" w:cs="Segoe UI"/>
          <w:color w:val="444444"/>
          <w:sz w:val="28"/>
          <w:szCs w:val="28"/>
          <w:lang w:eastAsia="en-GB"/>
        </w:rPr>
        <w:t> </w:t>
      </w:r>
    </w:p>
    <w:p w14:paraId="64A04C03" w14:textId="77777777" w:rsidR="009013C8" w:rsidRPr="007B596E" w:rsidRDefault="009013C8" w:rsidP="00EE2125">
      <w:pPr>
        <w:autoSpaceDE/>
        <w:autoSpaceDN/>
        <w:adjustRightInd/>
        <w:ind w:left="-426"/>
        <w:rPr>
          <w:sz w:val="28"/>
          <w:szCs w:val="28"/>
        </w:rPr>
      </w:pPr>
    </w:p>
    <w:p w14:paraId="7491094C" w14:textId="77777777" w:rsidR="00EE2125" w:rsidRPr="007B596E" w:rsidRDefault="00EE2125" w:rsidP="00EE2125">
      <w:pPr>
        <w:pStyle w:val="Heading11"/>
        <w:ind w:left="-426" w:right="-188"/>
        <w:rPr>
          <w:sz w:val="28"/>
          <w:szCs w:val="28"/>
        </w:rPr>
      </w:pPr>
      <w:r w:rsidRPr="007B596E">
        <w:rPr>
          <w:sz w:val="28"/>
          <w:szCs w:val="28"/>
        </w:rPr>
        <w:t xml:space="preserve">Transparent, comparable and accessible data </w:t>
      </w:r>
    </w:p>
    <w:p w14:paraId="7B1E8C43" w14:textId="562EE0DB" w:rsidR="00D32606" w:rsidRPr="007B596E" w:rsidRDefault="00FD611D" w:rsidP="00BD18F7">
      <w:pPr>
        <w:ind w:left="-426" w:right="-188"/>
        <w:rPr>
          <w:sz w:val="28"/>
          <w:szCs w:val="28"/>
        </w:rPr>
      </w:pPr>
      <w:r w:rsidRPr="007B596E">
        <w:rPr>
          <w:bCs/>
          <w:sz w:val="28"/>
          <w:szCs w:val="28"/>
        </w:rPr>
        <w:t>Project work carried out by the Commission has found that d</w:t>
      </w:r>
      <w:r w:rsidR="00DF1330" w:rsidRPr="007B596E">
        <w:rPr>
          <w:bCs/>
          <w:sz w:val="28"/>
          <w:szCs w:val="28"/>
        </w:rPr>
        <w:t>etermining</w:t>
      </w:r>
      <w:r w:rsidR="00194867" w:rsidRPr="007B596E">
        <w:rPr>
          <w:sz w:val="28"/>
          <w:szCs w:val="28"/>
        </w:rPr>
        <w:t xml:space="preserve"> </w:t>
      </w:r>
      <w:r w:rsidR="00DF1330" w:rsidRPr="007B596E">
        <w:rPr>
          <w:bCs/>
          <w:sz w:val="28"/>
          <w:szCs w:val="28"/>
        </w:rPr>
        <w:t xml:space="preserve">whether the level of public sector funding is sufficient to </w:t>
      </w:r>
      <w:r w:rsidR="00DF1330" w:rsidRPr="007B596E">
        <w:rPr>
          <w:sz w:val="28"/>
          <w:szCs w:val="28"/>
        </w:rPr>
        <w:t>deliver national priorities and better outcomes for people and communities</w:t>
      </w:r>
      <w:r w:rsidR="00EE2125" w:rsidRPr="007B596E">
        <w:rPr>
          <w:sz w:val="28"/>
          <w:szCs w:val="28"/>
        </w:rPr>
        <w:t xml:space="preserve">, </w:t>
      </w:r>
      <w:r w:rsidR="00DF1330" w:rsidRPr="007B596E">
        <w:rPr>
          <w:sz w:val="28"/>
          <w:szCs w:val="28"/>
        </w:rPr>
        <w:t>is difficult</w:t>
      </w:r>
      <w:r w:rsidR="00D32606" w:rsidRPr="007B596E">
        <w:rPr>
          <w:sz w:val="28"/>
          <w:szCs w:val="28"/>
        </w:rPr>
        <w:t xml:space="preserve"> for two main reasons:</w:t>
      </w:r>
    </w:p>
    <w:p w14:paraId="5DF7D6A8" w14:textId="77777777" w:rsidR="00D32606" w:rsidRPr="007B596E" w:rsidRDefault="00D32606" w:rsidP="00BD18F7">
      <w:pPr>
        <w:pStyle w:val="bullet"/>
        <w:rPr>
          <w:sz w:val="28"/>
          <w:szCs w:val="28"/>
        </w:rPr>
      </w:pPr>
      <w:r w:rsidRPr="007B596E">
        <w:rPr>
          <w:sz w:val="28"/>
          <w:szCs w:val="28"/>
        </w:rPr>
        <w:t>the</w:t>
      </w:r>
      <w:r w:rsidR="00DF1330" w:rsidRPr="007B596E">
        <w:rPr>
          <w:sz w:val="28"/>
          <w:szCs w:val="28"/>
        </w:rPr>
        <w:t xml:space="preserve"> difficulty in accessing transparent, comparable and accessible </w:t>
      </w:r>
      <w:r w:rsidRPr="007B596E">
        <w:rPr>
          <w:sz w:val="28"/>
          <w:szCs w:val="28"/>
        </w:rPr>
        <w:t xml:space="preserve">data on </w:t>
      </w:r>
      <w:r w:rsidR="00F27E88" w:rsidRPr="007B596E">
        <w:rPr>
          <w:sz w:val="28"/>
          <w:szCs w:val="28"/>
        </w:rPr>
        <w:t>resource allocation</w:t>
      </w:r>
      <w:r w:rsidRPr="007B596E">
        <w:rPr>
          <w:sz w:val="28"/>
          <w:szCs w:val="28"/>
        </w:rPr>
        <w:t xml:space="preserve"> and related expenditure; </w:t>
      </w:r>
    </w:p>
    <w:p w14:paraId="07F2CFAA" w14:textId="77777777" w:rsidR="00D32606" w:rsidRPr="007B596E" w:rsidRDefault="00D32606" w:rsidP="00BD18F7">
      <w:pPr>
        <w:pStyle w:val="bullet"/>
        <w:rPr>
          <w:sz w:val="28"/>
          <w:szCs w:val="28"/>
        </w:rPr>
      </w:pPr>
      <w:r w:rsidRPr="007B596E">
        <w:rPr>
          <w:sz w:val="28"/>
          <w:szCs w:val="28"/>
        </w:rPr>
        <w:t>the lack of connectivity between and read across from the national outcomes and the budget</w:t>
      </w:r>
      <w:r w:rsidR="00DF1330" w:rsidRPr="007B596E">
        <w:rPr>
          <w:sz w:val="28"/>
          <w:szCs w:val="28"/>
        </w:rPr>
        <w:t xml:space="preserve">.  </w:t>
      </w:r>
    </w:p>
    <w:p w14:paraId="09155E10" w14:textId="77777777" w:rsidR="00D32606" w:rsidRPr="007B596E" w:rsidRDefault="00D32606" w:rsidP="00BD18F7">
      <w:pPr>
        <w:ind w:left="-426" w:right="-188"/>
        <w:rPr>
          <w:sz w:val="28"/>
          <w:szCs w:val="28"/>
        </w:rPr>
      </w:pPr>
    </w:p>
    <w:p w14:paraId="13C65339" w14:textId="77777777" w:rsidR="003A796D" w:rsidRPr="007B596E" w:rsidRDefault="00D32606" w:rsidP="00BD18F7">
      <w:pPr>
        <w:ind w:left="-426" w:right="-188"/>
        <w:rPr>
          <w:sz w:val="28"/>
          <w:szCs w:val="28"/>
        </w:rPr>
      </w:pPr>
      <w:r w:rsidRPr="007B596E">
        <w:rPr>
          <w:sz w:val="28"/>
          <w:szCs w:val="28"/>
        </w:rPr>
        <w:t>B</w:t>
      </w:r>
      <w:r w:rsidR="00DF1330" w:rsidRPr="007B596E">
        <w:rPr>
          <w:sz w:val="28"/>
          <w:szCs w:val="28"/>
        </w:rPr>
        <w:t xml:space="preserve">udget tools </w:t>
      </w:r>
      <w:r w:rsidRPr="007B596E">
        <w:rPr>
          <w:sz w:val="28"/>
          <w:szCs w:val="28"/>
        </w:rPr>
        <w:t xml:space="preserve">are </w:t>
      </w:r>
      <w:r w:rsidR="00DF1330" w:rsidRPr="007B596E">
        <w:rPr>
          <w:sz w:val="28"/>
          <w:szCs w:val="28"/>
        </w:rPr>
        <w:t>available</w:t>
      </w:r>
      <w:r w:rsidR="008249A5" w:rsidRPr="007B596E">
        <w:rPr>
          <w:sz w:val="28"/>
          <w:szCs w:val="28"/>
        </w:rPr>
        <w:t xml:space="preserve"> on</w:t>
      </w:r>
      <w:r w:rsidR="00DF1330" w:rsidRPr="007B596E">
        <w:rPr>
          <w:sz w:val="28"/>
          <w:szCs w:val="28"/>
        </w:rPr>
        <w:t xml:space="preserve"> the Scottish Parliament website</w:t>
      </w:r>
      <w:r w:rsidRPr="007B596E">
        <w:rPr>
          <w:sz w:val="28"/>
          <w:szCs w:val="28"/>
        </w:rPr>
        <w:t xml:space="preserve"> which </w:t>
      </w:r>
      <w:r w:rsidR="00EA4309" w:rsidRPr="007B596E">
        <w:rPr>
          <w:sz w:val="28"/>
          <w:szCs w:val="28"/>
        </w:rPr>
        <w:t xml:space="preserve">currently provide the most </w:t>
      </w:r>
      <w:r w:rsidR="00DF1330" w:rsidRPr="007B596E">
        <w:rPr>
          <w:sz w:val="28"/>
          <w:szCs w:val="28"/>
        </w:rPr>
        <w:t xml:space="preserve">accessible and comparable data </w:t>
      </w:r>
      <w:r w:rsidR="00714C46" w:rsidRPr="007B596E">
        <w:rPr>
          <w:sz w:val="28"/>
          <w:szCs w:val="28"/>
        </w:rPr>
        <w:t>tool</w:t>
      </w:r>
      <w:r w:rsidRPr="007B596E">
        <w:rPr>
          <w:sz w:val="28"/>
          <w:szCs w:val="28"/>
        </w:rPr>
        <w:t xml:space="preserve">.  </w:t>
      </w:r>
      <w:r w:rsidR="00EA4309" w:rsidRPr="007B596E">
        <w:rPr>
          <w:sz w:val="28"/>
          <w:szCs w:val="28"/>
        </w:rPr>
        <w:t>They have</w:t>
      </w:r>
      <w:r w:rsidRPr="007B596E">
        <w:rPr>
          <w:sz w:val="28"/>
          <w:szCs w:val="28"/>
        </w:rPr>
        <w:t>, however</w:t>
      </w:r>
      <w:r w:rsidR="00EA4309" w:rsidRPr="007B596E">
        <w:rPr>
          <w:sz w:val="28"/>
          <w:szCs w:val="28"/>
        </w:rPr>
        <w:t>,</w:t>
      </w:r>
      <w:r w:rsidRPr="007B596E">
        <w:rPr>
          <w:sz w:val="28"/>
          <w:szCs w:val="28"/>
        </w:rPr>
        <w:t xml:space="preserve"> got a number of a</w:t>
      </w:r>
      <w:r w:rsidR="00714C46" w:rsidRPr="007B596E">
        <w:rPr>
          <w:sz w:val="28"/>
          <w:szCs w:val="28"/>
        </w:rPr>
        <w:t xml:space="preserve"> limitations:</w:t>
      </w:r>
      <w:r w:rsidR="00DF1330" w:rsidRPr="007B596E">
        <w:rPr>
          <w:sz w:val="28"/>
          <w:szCs w:val="28"/>
        </w:rPr>
        <w:t xml:space="preserve"> </w:t>
      </w:r>
    </w:p>
    <w:p w14:paraId="3A736928" w14:textId="77777777" w:rsidR="00DF1330" w:rsidRPr="007B596E" w:rsidRDefault="00DF1330" w:rsidP="00BD18F7">
      <w:pPr>
        <w:ind w:left="-426" w:right="-188"/>
        <w:rPr>
          <w:sz w:val="28"/>
          <w:szCs w:val="28"/>
        </w:rPr>
      </w:pPr>
      <w:r w:rsidRPr="007B596E">
        <w:rPr>
          <w:sz w:val="28"/>
          <w:szCs w:val="28"/>
        </w:rPr>
        <w:t xml:space="preserve"> </w:t>
      </w:r>
    </w:p>
    <w:p w14:paraId="7895E6E3" w14:textId="77777777" w:rsidR="000D3F3F" w:rsidRPr="007B596E" w:rsidRDefault="00DF1330" w:rsidP="00BD18F7">
      <w:pPr>
        <w:pStyle w:val="bullet"/>
        <w:rPr>
          <w:sz w:val="28"/>
          <w:szCs w:val="28"/>
        </w:rPr>
      </w:pPr>
      <w:r w:rsidRPr="007B596E">
        <w:rPr>
          <w:sz w:val="28"/>
          <w:szCs w:val="28"/>
        </w:rPr>
        <w:t>I</w:t>
      </w:r>
      <w:r w:rsidR="00671302" w:rsidRPr="007B596E">
        <w:rPr>
          <w:sz w:val="28"/>
          <w:szCs w:val="28"/>
        </w:rPr>
        <w:t>n the downloadable datasets from the budget tools - i</w:t>
      </w:r>
      <w:r w:rsidRPr="007B596E">
        <w:rPr>
          <w:sz w:val="28"/>
          <w:szCs w:val="28"/>
        </w:rPr>
        <w:t xml:space="preserve">t is only </w:t>
      </w:r>
      <w:r w:rsidR="008249A5" w:rsidRPr="007B596E">
        <w:rPr>
          <w:sz w:val="28"/>
          <w:szCs w:val="28"/>
        </w:rPr>
        <w:t xml:space="preserve">ever </w:t>
      </w:r>
      <w:r w:rsidRPr="007B596E">
        <w:rPr>
          <w:sz w:val="28"/>
          <w:szCs w:val="28"/>
        </w:rPr>
        <w:t xml:space="preserve">possible to </w:t>
      </w:r>
      <w:r w:rsidR="008249A5" w:rsidRPr="007B596E">
        <w:rPr>
          <w:b/>
          <w:sz w:val="28"/>
          <w:szCs w:val="28"/>
        </w:rPr>
        <w:t xml:space="preserve">compare two concurrent </w:t>
      </w:r>
      <w:r w:rsidRPr="007B596E">
        <w:rPr>
          <w:b/>
          <w:sz w:val="28"/>
          <w:szCs w:val="28"/>
        </w:rPr>
        <w:t>financial years</w:t>
      </w:r>
      <w:r w:rsidRPr="007B596E">
        <w:rPr>
          <w:sz w:val="28"/>
          <w:szCs w:val="28"/>
        </w:rPr>
        <w:t>.</w:t>
      </w:r>
      <w:r w:rsidR="009A570B" w:rsidRPr="007B596E">
        <w:rPr>
          <w:sz w:val="28"/>
          <w:szCs w:val="28"/>
        </w:rPr>
        <w:t xml:space="preserve"> </w:t>
      </w:r>
      <w:r w:rsidRPr="007B596E">
        <w:rPr>
          <w:sz w:val="28"/>
          <w:szCs w:val="28"/>
        </w:rPr>
        <w:t>This can conceal problems – for many lines there may show no change with little descriptive explanation</w:t>
      </w:r>
      <w:r w:rsidR="00714C46" w:rsidRPr="007B596E">
        <w:rPr>
          <w:sz w:val="28"/>
          <w:szCs w:val="28"/>
        </w:rPr>
        <w:t xml:space="preserve"> as to why.  However</w:t>
      </w:r>
      <w:r w:rsidRPr="007B596E">
        <w:rPr>
          <w:sz w:val="28"/>
          <w:szCs w:val="28"/>
        </w:rPr>
        <w:t xml:space="preserve">, </w:t>
      </w:r>
      <w:r w:rsidR="00A3123F" w:rsidRPr="007B596E">
        <w:rPr>
          <w:sz w:val="28"/>
          <w:szCs w:val="28"/>
        </w:rPr>
        <w:t xml:space="preserve">no change is </w:t>
      </w:r>
      <w:r w:rsidR="00A3123F" w:rsidRPr="007B596E">
        <w:rPr>
          <w:b/>
          <w:sz w:val="28"/>
          <w:szCs w:val="28"/>
        </w:rPr>
        <w:t>always</w:t>
      </w:r>
      <w:r w:rsidR="00A3123F" w:rsidRPr="007B596E">
        <w:rPr>
          <w:sz w:val="28"/>
          <w:szCs w:val="28"/>
        </w:rPr>
        <w:t xml:space="preserve"> a change in real terms.  Cumulative ‘No Change’</w:t>
      </w:r>
      <w:r w:rsidR="003A796D" w:rsidRPr="007B596E">
        <w:rPr>
          <w:sz w:val="28"/>
          <w:szCs w:val="28"/>
        </w:rPr>
        <w:t xml:space="preserve"> in the total budget allocation</w:t>
      </w:r>
      <w:r w:rsidR="00A3123F" w:rsidRPr="007B596E">
        <w:rPr>
          <w:sz w:val="28"/>
          <w:szCs w:val="28"/>
        </w:rPr>
        <w:t xml:space="preserve"> over </w:t>
      </w:r>
      <w:r w:rsidR="00714C46" w:rsidRPr="007B596E">
        <w:rPr>
          <w:sz w:val="28"/>
          <w:szCs w:val="28"/>
        </w:rPr>
        <w:t xml:space="preserve">the </w:t>
      </w:r>
      <w:r w:rsidR="00A3123F" w:rsidRPr="007B596E">
        <w:rPr>
          <w:sz w:val="28"/>
          <w:szCs w:val="28"/>
        </w:rPr>
        <w:t xml:space="preserve">5 years </w:t>
      </w:r>
      <w:r w:rsidR="007D70CA" w:rsidRPr="007B596E">
        <w:rPr>
          <w:sz w:val="28"/>
          <w:szCs w:val="28"/>
        </w:rPr>
        <w:t>from 2015/16 to 2019/20 is equivalent</w:t>
      </w:r>
      <w:r w:rsidR="00714C46" w:rsidRPr="007B596E">
        <w:rPr>
          <w:sz w:val="28"/>
          <w:szCs w:val="28"/>
        </w:rPr>
        <w:t xml:space="preserve"> to an 8% decrease in real terms.</w:t>
      </w:r>
    </w:p>
    <w:p w14:paraId="29C79DFC" w14:textId="77777777" w:rsidR="00DF1330" w:rsidRPr="007B596E" w:rsidRDefault="00DF1330" w:rsidP="00BD18F7">
      <w:pPr>
        <w:pStyle w:val="bullet"/>
        <w:rPr>
          <w:sz w:val="28"/>
          <w:szCs w:val="28"/>
        </w:rPr>
      </w:pPr>
      <w:r w:rsidRPr="007B596E">
        <w:rPr>
          <w:sz w:val="28"/>
          <w:szCs w:val="28"/>
        </w:rPr>
        <w:t xml:space="preserve">Each budget line carries a descriptive explanation </w:t>
      </w:r>
      <w:r w:rsidR="007C4A9F" w:rsidRPr="007B596E">
        <w:rPr>
          <w:sz w:val="28"/>
          <w:szCs w:val="28"/>
        </w:rPr>
        <w:t>for change</w:t>
      </w:r>
      <w:r w:rsidRPr="007B596E">
        <w:rPr>
          <w:sz w:val="28"/>
          <w:szCs w:val="28"/>
        </w:rPr>
        <w:t xml:space="preserve">– however it varies in </w:t>
      </w:r>
      <w:r w:rsidRPr="007B596E">
        <w:rPr>
          <w:b/>
          <w:sz w:val="28"/>
          <w:szCs w:val="28"/>
        </w:rPr>
        <w:t xml:space="preserve">degrees of depth of explanation </w:t>
      </w:r>
      <w:r w:rsidRPr="007B596E">
        <w:rPr>
          <w:sz w:val="28"/>
          <w:szCs w:val="28"/>
        </w:rPr>
        <w:t xml:space="preserve">– </w:t>
      </w:r>
      <w:r w:rsidR="007C4A9F" w:rsidRPr="007B596E">
        <w:rPr>
          <w:sz w:val="28"/>
          <w:szCs w:val="28"/>
        </w:rPr>
        <w:t xml:space="preserve">a </w:t>
      </w:r>
      <w:r w:rsidRPr="007B596E">
        <w:rPr>
          <w:sz w:val="28"/>
          <w:szCs w:val="28"/>
        </w:rPr>
        <w:t xml:space="preserve">positive change usually </w:t>
      </w:r>
      <w:r w:rsidR="007C4A9F" w:rsidRPr="007B596E">
        <w:rPr>
          <w:sz w:val="28"/>
          <w:szCs w:val="28"/>
        </w:rPr>
        <w:t xml:space="preserve">means </w:t>
      </w:r>
      <w:r w:rsidRPr="007B596E">
        <w:rPr>
          <w:sz w:val="28"/>
          <w:szCs w:val="28"/>
        </w:rPr>
        <w:t xml:space="preserve">good detail </w:t>
      </w:r>
      <w:r w:rsidR="007C4A9F" w:rsidRPr="007B596E">
        <w:rPr>
          <w:sz w:val="28"/>
          <w:szCs w:val="28"/>
        </w:rPr>
        <w:t xml:space="preserve">is </w:t>
      </w:r>
      <w:r w:rsidRPr="007B596E">
        <w:rPr>
          <w:sz w:val="28"/>
          <w:szCs w:val="28"/>
        </w:rPr>
        <w:t>provided</w:t>
      </w:r>
      <w:r w:rsidR="007C4A9F" w:rsidRPr="007B596E">
        <w:rPr>
          <w:sz w:val="28"/>
          <w:szCs w:val="28"/>
        </w:rPr>
        <w:t>. W</w:t>
      </w:r>
      <w:r w:rsidRPr="007B596E">
        <w:rPr>
          <w:sz w:val="28"/>
          <w:szCs w:val="28"/>
        </w:rPr>
        <w:t xml:space="preserve">hen </w:t>
      </w:r>
      <w:r w:rsidR="007C4A9F" w:rsidRPr="007B596E">
        <w:rPr>
          <w:sz w:val="28"/>
          <w:szCs w:val="28"/>
        </w:rPr>
        <w:t xml:space="preserve">there is </w:t>
      </w:r>
      <w:r w:rsidRPr="007B596E">
        <w:rPr>
          <w:sz w:val="28"/>
          <w:szCs w:val="28"/>
        </w:rPr>
        <w:t>no change or disinvestment</w:t>
      </w:r>
      <w:r w:rsidR="007C4A9F" w:rsidRPr="007B596E">
        <w:rPr>
          <w:sz w:val="28"/>
          <w:szCs w:val="28"/>
        </w:rPr>
        <w:t xml:space="preserve">, </w:t>
      </w:r>
      <w:r w:rsidRPr="007B596E">
        <w:rPr>
          <w:sz w:val="28"/>
          <w:szCs w:val="28"/>
        </w:rPr>
        <w:t>explanations can be limited and opaque.</w:t>
      </w:r>
    </w:p>
    <w:p w14:paraId="6A04886A" w14:textId="5EDDDA52" w:rsidR="000D3F3F" w:rsidRPr="007B596E" w:rsidRDefault="00A3123F" w:rsidP="00BD18F7">
      <w:pPr>
        <w:pStyle w:val="bullet"/>
        <w:rPr>
          <w:sz w:val="28"/>
          <w:szCs w:val="28"/>
        </w:rPr>
      </w:pPr>
      <w:r w:rsidRPr="007B596E">
        <w:rPr>
          <w:sz w:val="28"/>
          <w:szCs w:val="28"/>
        </w:rPr>
        <w:t>‘</w:t>
      </w:r>
      <w:r w:rsidRPr="007B596E">
        <w:rPr>
          <w:b/>
          <w:sz w:val="28"/>
          <w:szCs w:val="28"/>
        </w:rPr>
        <w:t>Other under £2 million</w:t>
      </w:r>
      <w:r w:rsidRPr="007B596E">
        <w:rPr>
          <w:sz w:val="28"/>
          <w:szCs w:val="28"/>
        </w:rPr>
        <w:t xml:space="preserve">’  - </w:t>
      </w:r>
      <w:r w:rsidR="00714C46" w:rsidRPr="007B596E">
        <w:rPr>
          <w:sz w:val="28"/>
          <w:szCs w:val="28"/>
        </w:rPr>
        <w:t xml:space="preserve">this </w:t>
      </w:r>
      <w:r w:rsidR="00DF1330" w:rsidRPr="007B596E">
        <w:rPr>
          <w:sz w:val="28"/>
          <w:szCs w:val="28"/>
        </w:rPr>
        <w:t xml:space="preserve">is a </w:t>
      </w:r>
      <w:r w:rsidRPr="007B596E">
        <w:rPr>
          <w:sz w:val="28"/>
          <w:szCs w:val="28"/>
        </w:rPr>
        <w:t xml:space="preserve">common category which often includes entire budgets for </w:t>
      </w:r>
      <w:r w:rsidR="00714C46" w:rsidRPr="007B596E">
        <w:rPr>
          <w:sz w:val="28"/>
          <w:szCs w:val="28"/>
        </w:rPr>
        <w:t xml:space="preserve">human </w:t>
      </w:r>
      <w:r w:rsidRPr="007B596E">
        <w:rPr>
          <w:sz w:val="28"/>
          <w:szCs w:val="28"/>
        </w:rPr>
        <w:t>rights</w:t>
      </w:r>
      <w:r w:rsidR="00714C46" w:rsidRPr="007B596E">
        <w:rPr>
          <w:sz w:val="28"/>
          <w:szCs w:val="28"/>
        </w:rPr>
        <w:t xml:space="preserve"> and equalities</w:t>
      </w:r>
      <w:r w:rsidRPr="007B596E">
        <w:rPr>
          <w:sz w:val="28"/>
          <w:szCs w:val="28"/>
        </w:rPr>
        <w:t>-focused areas</w:t>
      </w:r>
      <w:r w:rsidR="00714C46" w:rsidRPr="007B596E">
        <w:rPr>
          <w:sz w:val="28"/>
          <w:szCs w:val="28"/>
        </w:rPr>
        <w:t>,</w:t>
      </w:r>
      <w:r w:rsidRPr="007B596E">
        <w:rPr>
          <w:sz w:val="28"/>
          <w:szCs w:val="28"/>
        </w:rPr>
        <w:t xml:space="preserve"> </w:t>
      </w:r>
      <w:r w:rsidR="000507AE" w:rsidRPr="007B596E">
        <w:rPr>
          <w:sz w:val="28"/>
          <w:szCs w:val="28"/>
        </w:rPr>
        <w:t xml:space="preserve">which </w:t>
      </w:r>
      <w:r w:rsidRPr="007B596E">
        <w:rPr>
          <w:sz w:val="28"/>
          <w:szCs w:val="28"/>
        </w:rPr>
        <w:t xml:space="preserve"> are not possible to explore.</w:t>
      </w:r>
      <w:r w:rsidR="0071688D" w:rsidRPr="007B596E">
        <w:rPr>
          <w:sz w:val="28"/>
          <w:szCs w:val="28"/>
        </w:rPr>
        <w:t xml:space="preserve">  As all the programmes are grouped together there is no way to determine scope, scale or change</w:t>
      </w:r>
      <w:r w:rsidR="00714C46" w:rsidRPr="007B596E">
        <w:rPr>
          <w:sz w:val="28"/>
          <w:szCs w:val="28"/>
        </w:rPr>
        <w:t xml:space="preserve"> over time</w:t>
      </w:r>
      <w:r w:rsidR="0071688D" w:rsidRPr="007B596E">
        <w:rPr>
          <w:sz w:val="28"/>
          <w:szCs w:val="28"/>
        </w:rPr>
        <w:t>.</w:t>
      </w:r>
    </w:p>
    <w:p w14:paraId="4AF2295E" w14:textId="558430C4" w:rsidR="000D3F3F" w:rsidRPr="007B596E" w:rsidRDefault="00DF1330" w:rsidP="00BD18F7">
      <w:pPr>
        <w:pStyle w:val="bullet"/>
        <w:rPr>
          <w:sz w:val="28"/>
          <w:szCs w:val="28"/>
        </w:rPr>
      </w:pPr>
      <w:r w:rsidRPr="007B596E">
        <w:rPr>
          <w:sz w:val="28"/>
          <w:szCs w:val="28"/>
        </w:rPr>
        <w:t>It is not possible to always drill down to a meaningful level</w:t>
      </w:r>
      <w:r w:rsidR="0071688D" w:rsidRPr="007B596E">
        <w:rPr>
          <w:sz w:val="28"/>
          <w:szCs w:val="28"/>
        </w:rPr>
        <w:t xml:space="preserve"> and to understand if funding is adequate</w:t>
      </w:r>
      <w:r w:rsidR="000507AE" w:rsidRPr="007B596E">
        <w:rPr>
          <w:sz w:val="28"/>
          <w:szCs w:val="28"/>
        </w:rPr>
        <w:t>.</w:t>
      </w:r>
      <w:r w:rsidR="0071688D" w:rsidRPr="007B596E">
        <w:rPr>
          <w:sz w:val="28"/>
          <w:szCs w:val="28"/>
        </w:rPr>
        <w:t xml:space="preserve"> </w:t>
      </w:r>
      <w:r w:rsidR="000507AE" w:rsidRPr="007B596E">
        <w:rPr>
          <w:b/>
          <w:sz w:val="28"/>
          <w:szCs w:val="28"/>
        </w:rPr>
        <w:t>F</w:t>
      </w:r>
      <w:r w:rsidR="00A3123F" w:rsidRPr="007B596E">
        <w:rPr>
          <w:b/>
          <w:sz w:val="28"/>
          <w:szCs w:val="28"/>
        </w:rPr>
        <w:t>urther breakdown</w:t>
      </w:r>
      <w:r w:rsidR="000507AE" w:rsidRPr="007B596E">
        <w:rPr>
          <w:b/>
          <w:sz w:val="28"/>
          <w:szCs w:val="28"/>
        </w:rPr>
        <w:t xml:space="preserve"> is</w:t>
      </w:r>
      <w:r w:rsidR="00A3123F" w:rsidRPr="007B596E">
        <w:rPr>
          <w:b/>
          <w:sz w:val="28"/>
          <w:szCs w:val="28"/>
        </w:rPr>
        <w:t xml:space="preserve"> necessary</w:t>
      </w:r>
      <w:r w:rsidR="000507AE" w:rsidRPr="007B596E">
        <w:rPr>
          <w:b/>
          <w:sz w:val="28"/>
          <w:szCs w:val="28"/>
        </w:rPr>
        <w:t>,</w:t>
      </w:r>
      <w:r w:rsidR="00A3123F" w:rsidRPr="007B596E">
        <w:rPr>
          <w:b/>
          <w:sz w:val="28"/>
          <w:szCs w:val="28"/>
        </w:rPr>
        <w:t xml:space="preserve"> </w:t>
      </w:r>
      <w:r w:rsidR="00A3123F" w:rsidRPr="007B596E">
        <w:rPr>
          <w:sz w:val="28"/>
          <w:szCs w:val="28"/>
        </w:rPr>
        <w:t>e.g. ‘Mental Health’</w:t>
      </w:r>
      <w:r w:rsidR="0071688D" w:rsidRPr="007B596E">
        <w:rPr>
          <w:sz w:val="28"/>
          <w:szCs w:val="28"/>
        </w:rPr>
        <w:t xml:space="preserve"> as a budget line</w:t>
      </w:r>
      <w:r w:rsidR="00A3123F" w:rsidRPr="007B596E">
        <w:rPr>
          <w:sz w:val="28"/>
          <w:szCs w:val="28"/>
        </w:rPr>
        <w:t xml:space="preserve"> doesn’t help </w:t>
      </w:r>
      <w:r w:rsidR="0071688D" w:rsidRPr="007B596E">
        <w:rPr>
          <w:sz w:val="28"/>
          <w:szCs w:val="28"/>
        </w:rPr>
        <w:t xml:space="preserve">the reader </w:t>
      </w:r>
      <w:r w:rsidR="00A3123F" w:rsidRPr="007B596E">
        <w:rPr>
          <w:sz w:val="28"/>
          <w:szCs w:val="28"/>
        </w:rPr>
        <w:t xml:space="preserve">to understand </w:t>
      </w:r>
      <w:r w:rsidR="0071688D" w:rsidRPr="007B596E">
        <w:rPr>
          <w:sz w:val="28"/>
          <w:szCs w:val="28"/>
        </w:rPr>
        <w:t xml:space="preserve">if there is </w:t>
      </w:r>
      <w:r w:rsidR="00A3123F" w:rsidRPr="007B596E">
        <w:rPr>
          <w:sz w:val="28"/>
          <w:szCs w:val="28"/>
        </w:rPr>
        <w:t>any difference in, for example: adult and child services;</w:t>
      </w:r>
      <w:r w:rsidR="0071688D" w:rsidRPr="007B596E">
        <w:rPr>
          <w:sz w:val="28"/>
          <w:szCs w:val="28"/>
        </w:rPr>
        <w:t xml:space="preserve"> or</w:t>
      </w:r>
      <w:r w:rsidR="00A3123F" w:rsidRPr="007B596E">
        <w:rPr>
          <w:sz w:val="28"/>
          <w:szCs w:val="28"/>
        </w:rPr>
        <w:t xml:space="preserve"> </w:t>
      </w:r>
      <w:r w:rsidR="0071688D" w:rsidRPr="007B596E">
        <w:rPr>
          <w:sz w:val="28"/>
          <w:szCs w:val="28"/>
        </w:rPr>
        <w:t>the</w:t>
      </w:r>
      <w:r w:rsidR="00A3123F" w:rsidRPr="007B596E">
        <w:rPr>
          <w:sz w:val="28"/>
          <w:szCs w:val="28"/>
        </w:rPr>
        <w:t xml:space="preserve"> type of services / therapies </w:t>
      </w:r>
      <w:r w:rsidR="0071688D" w:rsidRPr="007B596E">
        <w:rPr>
          <w:sz w:val="28"/>
          <w:szCs w:val="28"/>
        </w:rPr>
        <w:t xml:space="preserve">that </w:t>
      </w:r>
      <w:r w:rsidR="00A3123F" w:rsidRPr="007B596E">
        <w:rPr>
          <w:sz w:val="28"/>
          <w:szCs w:val="28"/>
        </w:rPr>
        <w:t>are receiving the investment</w:t>
      </w:r>
      <w:r w:rsidR="0071688D" w:rsidRPr="007B596E">
        <w:rPr>
          <w:sz w:val="28"/>
          <w:szCs w:val="28"/>
        </w:rPr>
        <w:t>/ disinvestment</w:t>
      </w:r>
      <w:r w:rsidR="00A3123F" w:rsidRPr="007B596E">
        <w:rPr>
          <w:sz w:val="28"/>
          <w:szCs w:val="28"/>
        </w:rPr>
        <w:t>.</w:t>
      </w:r>
    </w:p>
    <w:p w14:paraId="4729D357" w14:textId="77777777" w:rsidR="00100117" w:rsidRPr="007B596E" w:rsidRDefault="0071688D" w:rsidP="00BD18F7">
      <w:pPr>
        <w:pStyle w:val="bullet"/>
        <w:rPr>
          <w:sz w:val="28"/>
          <w:szCs w:val="28"/>
        </w:rPr>
      </w:pPr>
      <w:r w:rsidRPr="007B596E">
        <w:rPr>
          <w:b/>
          <w:sz w:val="28"/>
          <w:szCs w:val="28"/>
        </w:rPr>
        <w:t>Changing portfolios</w:t>
      </w:r>
      <w:r w:rsidRPr="007B596E">
        <w:rPr>
          <w:sz w:val="28"/>
          <w:szCs w:val="28"/>
        </w:rPr>
        <w:t xml:space="preserve"> multiple times within a single parliamentary </w:t>
      </w:r>
      <w:r w:rsidR="00F27E88" w:rsidRPr="007B596E">
        <w:rPr>
          <w:sz w:val="28"/>
          <w:szCs w:val="28"/>
        </w:rPr>
        <w:t>term</w:t>
      </w:r>
      <w:r w:rsidRPr="007B596E">
        <w:rPr>
          <w:sz w:val="28"/>
          <w:szCs w:val="28"/>
        </w:rPr>
        <w:t xml:space="preserve"> means that budget lines move around and across many areas of the budget.  This makes following resource allocation over time complex.  In attempting to compare 2015/16 to 2019/20 somewhere in the region of 50% of the budget lines have moved.  This makes doing meaningful analysis neither quick</w:t>
      </w:r>
      <w:r w:rsidR="00EA4309" w:rsidRPr="007B596E">
        <w:rPr>
          <w:sz w:val="28"/>
          <w:szCs w:val="28"/>
        </w:rPr>
        <w:t>,</w:t>
      </w:r>
      <w:r w:rsidRPr="007B596E">
        <w:rPr>
          <w:sz w:val="28"/>
          <w:szCs w:val="28"/>
        </w:rPr>
        <w:t xml:space="preserve"> nor simple</w:t>
      </w:r>
      <w:r w:rsidR="00EA4309" w:rsidRPr="007B596E">
        <w:rPr>
          <w:sz w:val="28"/>
          <w:szCs w:val="28"/>
        </w:rPr>
        <w:t>, if indeed possible at all</w:t>
      </w:r>
      <w:r w:rsidRPr="007B596E">
        <w:rPr>
          <w:sz w:val="28"/>
          <w:szCs w:val="28"/>
        </w:rPr>
        <w:t xml:space="preserve">.  </w:t>
      </w:r>
    </w:p>
    <w:p w14:paraId="2A9D826E" w14:textId="77777777" w:rsidR="00714C46" w:rsidRPr="007B596E" w:rsidRDefault="00714C46" w:rsidP="00BD18F7">
      <w:pPr>
        <w:ind w:left="-426" w:right="-188"/>
        <w:rPr>
          <w:bCs/>
          <w:sz w:val="28"/>
          <w:szCs w:val="28"/>
        </w:rPr>
      </w:pPr>
    </w:p>
    <w:p w14:paraId="77A176EC" w14:textId="77777777" w:rsidR="001E4054" w:rsidRPr="007B596E" w:rsidRDefault="001E4054" w:rsidP="00BD18F7">
      <w:pPr>
        <w:ind w:left="-426" w:right="-188"/>
        <w:rPr>
          <w:bCs/>
          <w:sz w:val="28"/>
          <w:szCs w:val="28"/>
        </w:rPr>
      </w:pPr>
      <w:r w:rsidRPr="007B596E">
        <w:rPr>
          <w:bCs/>
          <w:sz w:val="28"/>
          <w:szCs w:val="28"/>
        </w:rPr>
        <w:lastRenderedPageBreak/>
        <w:t xml:space="preserve">In addition, what is allocated at the national level and how money is then reallocated and spent at the local level is critical in determining whether national priorities are realised.  There is currently no way of </w:t>
      </w:r>
      <w:r w:rsidR="00160AAF" w:rsidRPr="007B596E">
        <w:rPr>
          <w:bCs/>
          <w:sz w:val="28"/>
          <w:szCs w:val="28"/>
        </w:rPr>
        <w:t xml:space="preserve">systematically </w:t>
      </w:r>
      <w:r w:rsidR="00FD611D" w:rsidRPr="007B596E">
        <w:rPr>
          <w:bCs/>
          <w:sz w:val="28"/>
          <w:szCs w:val="28"/>
        </w:rPr>
        <w:t xml:space="preserve">tracking </w:t>
      </w:r>
      <w:r w:rsidR="00B33CD7" w:rsidRPr="007B596E">
        <w:rPr>
          <w:bCs/>
          <w:sz w:val="28"/>
          <w:szCs w:val="28"/>
        </w:rPr>
        <w:t>allocations from</w:t>
      </w:r>
      <w:r w:rsidRPr="007B596E">
        <w:rPr>
          <w:bCs/>
          <w:sz w:val="28"/>
          <w:szCs w:val="28"/>
        </w:rPr>
        <w:t xml:space="preserve"> the budget through the local authority and/or heath board to make this determination. </w:t>
      </w:r>
    </w:p>
    <w:p w14:paraId="085C2816" w14:textId="77777777" w:rsidR="001E4054" w:rsidRPr="007B596E" w:rsidRDefault="001E4054" w:rsidP="00BD18F7">
      <w:pPr>
        <w:ind w:left="-426" w:right="-188"/>
        <w:rPr>
          <w:bCs/>
          <w:sz w:val="28"/>
          <w:szCs w:val="28"/>
        </w:rPr>
      </w:pPr>
    </w:p>
    <w:p w14:paraId="6DDE41A9" w14:textId="45C34D2D" w:rsidR="007B596E" w:rsidRDefault="00714C46" w:rsidP="00BD18F7">
      <w:pPr>
        <w:ind w:left="-426" w:right="-188"/>
        <w:rPr>
          <w:bCs/>
          <w:sz w:val="28"/>
          <w:szCs w:val="28"/>
        </w:rPr>
      </w:pPr>
      <w:r w:rsidRPr="007B596E">
        <w:rPr>
          <w:bCs/>
          <w:sz w:val="28"/>
          <w:szCs w:val="28"/>
        </w:rPr>
        <w:t xml:space="preserve">In order for a thorough assessment to be made as to whether sufficient public sector funding is both allocated and spent in ways that support the delivery of national priorities and outcomes, there is a need to for the government to publish data in such a way as to facilitate this scrutiny.  </w:t>
      </w:r>
      <w:r w:rsidR="00A65F49" w:rsidRPr="007B596E">
        <w:rPr>
          <w:bCs/>
          <w:sz w:val="28"/>
          <w:szCs w:val="28"/>
        </w:rPr>
        <w:t>The Commission has undertaken an Open Budget Survey Index review of the Scottish Government’s budget process and draft findings indicate relatively poor transparency scores in comparison to our European counterparts.</w:t>
      </w:r>
      <w:r w:rsidR="00E2278A" w:rsidRPr="007B596E">
        <w:rPr>
          <w:rStyle w:val="FootnoteReference"/>
          <w:bCs/>
          <w:sz w:val="28"/>
          <w:szCs w:val="28"/>
        </w:rPr>
        <w:footnoteReference w:id="5"/>
      </w:r>
      <w:r w:rsidR="00A65F49" w:rsidRPr="007B596E">
        <w:rPr>
          <w:bCs/>
          <w:sz w:val="28"/>
          <w:szCs w:val="28"/>
        </w:rPr>
        <w:t xml:space="preserve">  This is mainly due to a lack of publications from the Scottish Government by way of Pre-budget, In-Year, Mid-Year reports and citizens</w:t>
      </w:r>
      <w:r w:rsidR="000507AE" w:rsidRPr="007B596E">
        <w:rPr>
          <w:bCs/>
          <w:sz w:val="28"/>
          <w:szCs w:val="28"/>
        </w:rPr>
        <w:t>’</w:t>
      </w:r>
      <w:r w:rsidR="00A65F49" w:rsidRPr="007B596E">
        <w:rPr>
          <w:bCs/>
          <w:sz w:val="28"/>
          <w:szCs w:val="28"/>
        </w:rPr>
        <w:t xml:space="preserve"> ve</w:t>
      </w:r>
      <w:r w:rsidR="00C91AD0">
        <w:rPr>
          <w:bCs/>
          <w:sz w:val="28"/>
          <w:szCs w:val="28"/>
        </w:rPr>
        <w:t>rsions of all key reports. In years when</w:t>
      </w:r>
      <w:r w:rsidR="00A65F49" w:rsidRPr="007B596E">
        <w:rPr>
          <w:bCs/>
          <w:sz w:val="28"/>
          <w:szCs w:val="28"/>
        </w:rPr>
        <w:t xml:space="preserve"> citizens</w:t>
      </w:r>
      <w:r w:rsidR="000507AE" w:rsidRPr="007B596E">
        <w:rPr>
          <w:bCs/>
          <w:sz w:val="28"/>
          <w:szCs w:val="28"/>
        </w:rPr>
        <w:t>’</w:t>
      </w:r>
      <w:r w:rsidR="00A65F49" w:rsidRPr="007B596E">
        <w:rPr>
          <w:bCs/>
          <w:sz w:val="28"/>
          <w:szCs w:val="28"/>
        </w:rPr>
        <w:t xml:space="preserve"> versions of the budget (once published</w:t>
      </w:r>
      <w:r w:rsidR="00070A8E" w:rsidRPr="007B596E">
        <w:rPr>
          <w:bCs/>
          <w:sz w:val="28"/>
          <w:szCs w:val="28"/>
        </w:rPr>
        <w:t>, so not in time to inform budget participation of citizens</w:t>
      </w:r>
      <w:r w:rsidR="00A65F49" w:rsidRPr="007B596E">
        <w:rPr>
          <w:bCs/>
          <w:sz w:val="28"/>
          <w:szCs w:val="28"/>
        </w:rPr>
        <w:t xml:space="preserve">) have been </w:t>
      </w:r>
      <w:r w:rsidR="000507AE" w:rsidRPr="007B596E">
        <w:rPr>
          <w:bCs/>
          <w:sz w:val="28"/>
          <w:szCs w:val="28"/>
        </w:rPr>
        <w:t>produced</w:t>
      </w:r>
      <w:r w:rsidR="00A65F49" w:rsidRPr="007B596E">
        <w:rPr>
          <w:bCs/>
          <w:sz w:val="28"/>
          <w:szCs w:val="28"/>
        </w:rPr>
        <w:t xml:space="preserve">, </w:t>
      </w:r>
      <w:r w:rsidR="000507AE" w:rsidRPr="007B596E">
        <w:rPr>
          <w:bCs/>
          <w:sz w:val="28"/>
          <w:szCs w:val="28"/>
        </w:rPr>
        <w:t xml:space="preserve"> these are </w:t>
      </w:r>
      <w:r w:rsidR="00A65F49" w:rsidRPr="007B596E">
        <w:rPr>
          <w:bCs/>
          <w:sz w:val="28"/>
          <w:szCs w:val="28"/>
        </w:rPr>
        <w:t>more accessible tha</w:t>
      </w:r>
      <w:r w:rsidR="00070A8E" w:rsidRPr="007B596E">
        <w:rPr>
          <w:bCs/>
          <w:sz w:val="28"/>
          <w:szCs w:val="28"/>
        </w:rPr>
        <w:t>n</w:t>
      </w:r>
      <w:r w:rsidR="00A65F49" w:rsidRPr="007B596E">
        <w:rPr>
          <w:bCs/>
          <w:sz w:val="28"/>
          <w:szCs w:val="28"/>
        </w:rPr>
        <w:t xml:space="preserve"> the main budget</w:t>
      </w:r>
      <w:r w:rsidR="000507AE" w:rsidRPr="007B596E">
        <w:rPr>
          <w:bCs/>
          <w:sz w:val="28"/>
          <w:szCs w:val="28"/>
        </w:rPr>
        <w:t xml:space="preserve">. However, </w:t>
      </w:r>
      <w:r w:rsidR="00A65F49" w:rsidRPr="007B596E">
        <w:rPr>
          <w:bCs/>
          <w:sz w:val="28"/>
          <w:szCs w:val="28"/>
        </w:rPr>
        <w:t xml:space="preserve"> because the main budget is not </w:t>
      </w:r>
      <w:r w:rsidR="00070A8E" w:rsidRPr="007B596E">
        <w:rPr>
          <w:bCs/>
          <w:sz w:val="28"/>
          <w:szCs w:val="28"/>
        </w:rPr>
        <w:t>fiscally transparent, the citizens</w:t>
      </w:r>
      <w:r w:rsidR="000507AE" w:rsidRPr="007B596E">
        <w:rPr>
          <w:bCs/>
          <w:sz w:val="28"/>
          <w:szCs w:val="28"/>
        </w:rPr>
        <w:t>’</w:t>
      </w:r>
      <w:r w:rsidR="00070A8E" w:rsidRPr="007B596E">
        <w:rPr>
          <w:bCs/>
          <w:sz w:val="28"/>
          <w:szCs w:val="28"/>
        </w:rPr>
        <w:t xml:space="preserve"> version is no clearer.</w:t>
      </w:r>
      <w:r w:rsidR="006A0CE3" w:rsidRPr="007B596E">
        <w:rPr>
          <w:bCs/>
          <w:sz w:val="28"/>
          <w:szCs w:val="28"/>
        </w:rPr>
        <w:t xml:space="preserve"> </w:t>
      </w:r>
    </w:p>
    <w:p w14:paraId="57ACA7B2" w14:textId="77777777" w:rsidR="007B596E" w:rsidRDefault="007B596E" w:rsidP="00BD18F7">
      <w:pPr>
        <w:ind w:left="-426" w:right="-188"/>
        <w:rPr>
          <w:bCs/>
          <w:sz w:val="28"/>
          <w:szCs w:val="28"/>
        </w:rPr>
      </w:pPr>
    </w:p>
    <w:p w14:paraId="282BB556" w14:textId="6257A6F3" w:rsidR="00682814" w:rsidRPr="007B596E" w:rsidRDefault="007C4A9F" w:rsidP="00BD18F7">
      <w:pPr>
        <w:ind w:left="-426" w:right="-188"/>
        <w:rPr>
          <w:bCs/>
          <w:sz w:val="28"/>
          <w:szCs w:val="28"/>
        </w:rPr>
      </w:pPr>
      <w:r w:rsidRPr="007B596E">
        <w:rPr>
          <w:bCs/>
          <w:sz w:val="28"/>
          <w:szCs w:val="28"/>
        </w:rPr>
        <w:t>Other</w:t>
      </w:r>
      <w:r w:rsidR="00EA4309" w:rsidRPr="007B596E">
        <w:rPr>
          <w:bCs/>
          <w:sz w:val="28"/>
          <w:szCs w:val="28"/>
        </w:rPr>
        <w:t>s</w:t>
      </w:r>
      <w:r w:rsidRPr="007B596E">
        <w:rPr>
          <w:bCs/>
          <w:sz w:val="28"/>
          <w:szCs w:val="28"/>
        </w:rPr>
        <w:t xml:space="preserve"> have made similar</w:t>
      </w:r>
      <w:r w:rsidR="001C18AF" w:rsidRPr="007B596E">
        <w:rPr>
          <w:bCs/>
          <w:sz w:val="28"/>
          <w:szCs w:val="28"/>
        </w:rPr>
        <w:t xml:space="preserve"> recommendation</w:t>
      </w:r>
      <w:r w:rsidRPr="007B596E">
        <w:rPr>
          <w:bCs/>
          <w:sz w:val="28"/>
          <w:szCs w:val="28"/>
        </w:rPr>
        <w:t>s.  For example</w:t>
      </w:r>
      <w:r w:rsidR="001C18AF" w:rsidRPr="007B596E">
        <w:rPr>
          <w:bCs/>
          <w:sz w:val="28"/>
          <w:szCs w:val="28"/>
        </w:rPr>
        <w:t>, the Fraser of Allander</w:t>
      </w:r>
      <w:r w:rsidR="00D32606" w:rsidRPr="007B596E">
        <w:rPr>
          <w:bCs/>
          <w:sz w:val="28"/>
          <w:szCs w:val="28"/>
        </w:rPr>
        <w:t xml:space="preserve"> Institute</w:t>
      </w:r>
      <w:r w:rsidR="001C18AF" w:rsidRPr="007B596E">
        <w:rPr>
          <w:bCs/>
          <w:sz w:val="28"/>
          <w:szCs w:val="28"/>
        </w:rPr>
        <w:t>’s recent work on child poverty</w:t>
      </w:r>
      <w:r w:rsidR="00A3123F" w:rsidRPr="007B596E">
        <w:rPr>
          <w:rStyle w:val="FootnoteReference"/>
          <w:bCs/>
          <w:sz w:val="28"/>
          <w:szCs w:val="28"/>
        </w:rPr>
        <w:footnoteReference w:id="6"/>
      </w:r>
      <w:r w:rsidR="001C18AF" w:rsidRPr="007B596E">
        <w:rPr>
          <w:bCs/>
          <w:sz w:val="28"/>
          <w:szCs w:val="28"/>
        </w:rPr>
        <w:t xml:space="preserve"> and the analysis of the budget through a poverty lens by the Poverty and Inequality Commission,</w:t>
      </w:r>
      <w:r w:rsidR="00A3123F" w:rsidRPr="007B596E">
        <w:rPr>
          <w:rStyle w:val="FootnoteReference"/>
          <w:bCs/>
          <w:sz w:val="28"/>
          <w:szCs w:val="28"/>
        </w:rPr>
        <w:footnoteReference w:id="7"/>
      </w:r>
      <w:r w:rsidR="001C18AF" w:rsidRPr="007B596E">
        <w:rPr>
          <w:bCs/>
          <w:sz w:val="28"/>
          <w:szCs w:val="28"/>
        </w:rPr>
        <w:t xml:space="preserve"> both highlight an inability to fully interrogate the budget due to a lack of available, accessible transparent data.  </w:t>
      </w:r>
    </w:p>
    <w:p w14:paraId="2FD87D42" w14:textId="77777777" w:rsidR="001E4054" w:rsidRPr="007B596E" w:rsidRDefault="001E4054" w:rsidP="00BD18F7">
      <w:pPr>
        <w:ind w:left="-426" w:right="-188"/>
        <w:rPr>
          <w:bCs/>
          <w:sz w:val="28"/>
          <w:szCs w:val="28"/>
        </w:rPr>
      </w:pPr>
    </w:p>
    <w:p w14:paraId="1F4A1EBA" w14:textId="5FE94F5E" w:rsidR="00DC1C9C" w:rsidRPr="007B596E" w:rsidRDefault="001E4054" w:rsidP="00F464BF">
      <w:pPr>
        <w:ind w:left="-426" w:right="-188"/>
        <w:rPr>
          <w:bCs/>
          <w:sz w:val="28"/>
          <w:szCs w:val="28"/>
        </w:rPr>
      </w:pPr>
      <w:r w:rsidRPr="007B596E">
        <w:rPr>
          <w:bCs/>
          <w:sz w:val="28"/>
          <w:szCs w:val="28"/>
        </w:rPr>
        <w:t xml:space="preserve">The Scottish Government </w:t>
      </w:r>
      <w:r w:rsidR="000507AE" w:rsidRPr="007B596E">
        <w:rPr>
          <w:bCs/>
          <w:sz w:val="28"/>
          <w:szCs w:val="28"/>
        </w:rPr>
        <w:t>‘</w:t>
      </w:r>
      <w:r w:rsidRPr="007B596E">
        <w:rPr>
          <w:bCs/>
          <w:sz w:val="28"/>
          <w:szCs w:val="28"/>
        </w:rPr>
        <w:t>Open Government Action Plan 2018-20</w:t>
      </w:r>
      <w:r w:rsidR="000507AE" w:rsidRPr="007B596E">
        <w:rPr>
          <w:bCs/>
          <w:sz w:val="28"/>
          <w:szCs w:val="28"/>
        </w:rPr>
        <w:t>’</w:t>
      </w:r>
      <w:r w:rsidR="000507AE" w:rsidRPr="007B596E">
        <w:rPr>
          <w:rStyle w:val="FootnoteReference"/>
          <w:bCs/>
          <w:sz w:val="28"/>
          <w:szCs w:val="28"/>
        </w:rPr>
        <w:footnoteReference w:id="8"/>
      </w:r>
      <w:r w:rsidRPr="007B596E">
        <w:rPr>
          <w:bCs/>
          <w:sz w:val="28"/>
          <w:szCs w:val="28"/>
        </w:rPr>
        <w:t xml:space="preserve"> has committed the government to improv</w:t>
      </w:r>
      <w:r w:rsidR="000507AE" w:rsidRPr="007B596E">
        <w:rPr>
          <w:bCs/>
          <w:sz w:val="28"/>
          <w:szCs w:val="28"/>
        </w:rPr>
        <w:t>ing</w:t>
      </w:r>
      <w:r w:rsidRPr="007B596E">
        <w:rPr>
          <w:bCs/>
          <w:sz w:val="28"/>
          <w:szCs w:val="28"/>
        </w:rPr>
        <w:t xml:space="preserve"> financial and performance transparency.  This includes a commitment to explore how to make Scotland’s public finances more transparent and accessible in order to promote public discussion, debate and participation in financial and policy decision making.  </w:t>
      </w:r>
      <w:r w:rsidR="00A65F49" w:rsidRPr="007B596E">
        <w:rPr>
          <w:bCs/>
          <w:sz w:val="28"/>
          <w:szCs w:val="28"/>
        </w:rPr>
        <w:t xml:space="preserve">The commitment </w:t>
      </w:r>
      <w:r w:rsidR="004B3080" w:rsidRPr="007B596E">
        <w:rPr>
          <w:bCs/>
          <w:sz w:val="28"/>
          <w:szCs w:val="28"/>
        </w:rPr>
        <w:t>does set out its key actions</w:t>
      </w:r>
      <w:r w:rsidR="000507AE" w:rsidRPr="007B596E">
        <w:rPr>
          <w:bCs/>
          <w:sz w:val="28"/>
          <w:szCs w:val="28"/>
        </w:rPr>
        <w:t>,</w:t>
      </w:r>
      <w:r w:rsidR="004B3080" w:rsidRPr="007B596E">
        <w:rPr>
          <w:bCs/>
          <w:sz w:val="28"/>
          <w:szCs w:val="28"/>
        </w:rPr>
        <w:t xml:space="preserve"> on</w:t>
      </w:r>
      <w:r w:rsidR="00070A8E" w:rsidRPr="007B596E">
        <w:rPr>
          <w:bCs/>
          <w:sz w:val="28"/>
          <w:szCs w:val="28"/>
        </w:rPr>
        <w:t>e of which is making key links between budgets and outcomes</w:t>
      </w:r>
      <w:r w:rsidR="00160AAF" w:rsidRPr="007B596E">
        <w:rPr>
          <w:bCs/>
          <w:sz w:val="28"/>
          <w:szCs w:val="28"/>
        </w:rPr>
        <w:t xml:space="preserve">, </w:t>
      </w:r>
      <w:r w:rsidR="00070A8E" w:rsidRPr="007B596E">
        <w:rPr>
          <w:bCs/>
          <w:sz w:val="28"/>
          <w:szCs w:val="28"/>
        </w:rPr>
        <w:t>however it talk</w:t>
      </w:r>
      <w:r w:rsidR="0029366B" w:rsidRPr="007B596E">
        <w:rPr>
          <w:bCs/>
          <w:sz w:val="28"/>
          <w:szCs w:val="28"/>
        </w:rPr>
        <w:t>s</w:t>
      </w:r>
      <w:r w:rsidR="00070A8E" w:rsidRPr="007B596E">
        <w:rPr>
          <w:bCs/>
          <w:sz w:val="28"/>
          <w:szCs w:val="28"/>
        </w:rPr>
        <w:t xml:space="preserve"> mostly </w:t>
      </w:r>
      <w:r w:rsidR="0029366B" w:rsidRPr="007B596E">
        <w:rPr>
          <w:bCs/>
          <w:sz w:val="28"/>
          <w:szCs w:val="28"/>
        </w:rPr>
        <w:t>of</w:t>
      </w:r>
      <w:r w:rsidR="00070A8E" w:rsidRPr="007B596E">
        <w:rPr>
          <w:bCs/>
          <w:sz w:val="28"/>
          <w:szCs w:val="28"/>
        </w:rPr>
        <w:t xml:space="preserve"> connecting budget narrative and outcomes. What is required are much clearer connections between government policy commitments, the efforts they </w:t>
      </w:r>
      <w:r w:rsidR="00F464BF" w:rsidRPr="007B596E">
        <w:rPr>
          <w:bCs/>
          <w:sz w:val="28"/>
          <w:szCs w:val="28"/>
        </w:rPr>
        <w:lastRenderedPageBreak/>
        <w:t xml:space="preserve">intend </w:t>
      </w:r>
      <w:r w:rsidR="00070A8E" w:rsidRPr="007B596E">
        <w:rPr>
          <w:bCs/>
          <w:sz w:val="28"/>
          <w:szCs w:val="28"/>
        </w:rPr>
        <w:t>to employ to fulfil those commitments</w:t>
      </w:r>
      <w:r w:rsidR="0029366B" w:rsidRPr="007B596E">
        <w:rPr>
          <w:bCs/>
          <w:sz w:val="28"/>
          <w:szCs w:val="28"/>
        </w:rPr>
        <w:t>,</w:t>
      </w:r>
      <w:r w:rsidR="00070A8E" w:rsidRPr="007B596E">
        <w:rPr>
          <w:bCs/>
          <w:sz w:val="28"/>
          <w:szCs w:val="28"/>
        </w:rPr>
        <w:t xml:space="preserve"> including the allocated resource</w:t>
      </w:r>
      <w:r w:rsidR="0029366B" w:rsidRPr="007B596E">
        <w:rPr>
          <w:bCs/>
          <w:sz w:val="28"/>
          <w:szCs w:val="28"/>
        </w:rPr>
        <w:t xml:space="preserve"> and</w:t>
      </w:r>
      <w:r w:rsidR="00070A8E" w:rsidRPr="007B596E">
        <w:rPr>
          <w:bCs/>
          <w:sz w:val="28"/>
          <w:szCs w:val="28"/>
        </w:rPr>
        <w:t xml:space="preserve"> the expected outcomes.  </w:t>
      </w:r>
    </w:p>
    <w:p w14:paraId="79897F90" w14:textId="77777777" w:rsidR="00DC1C9C" w:rsidRPr="007B596E" w:rsidRDefault="00DC1C9C" w:rsidP="00F464BF">
      <w:pPr>
        <w:ind w:left="-426" w:right="-188"/>
        <w:rPr>
          <w:bCs/>
          <w:sz w:val="28"/>
          <w:szCs w:val="28"/>
        </w:rPr>
      </w:pPr>
    </w:p>
    <w:p w14:paraId="2AEFA7C8" w14:textId="77777777" w:rsidR="00DC1C9C" w:rsidRPr="007B596E" w:rsidRDefault="00070A8E" w:rsidP="00F464BF">
      <w:pPr>
        <w:ind w:left="-426" w:right="-188"/>
        <w:rPr>
          <w:rFonts w:ascii="Calibri" w:hAnsi="Calibri" w:cs="Times New Roman"/>
          <w:color w:val="222222"/>
          <w:sz w:val="28"/>
          <w:szCs w:val="28"/>
          <w:lang w:eastAsia="en-GB"/>
        </w:rPr>
      </w:pPr>
      <w:r w:rsidRPr="007B596E">
        <w:rPr>
          <w:bCs/>
          <w:sz w:val="28"/>
          <w:szCs w:val="28"/>
        </w:rPr>
        <w:t>The use of human rights based indicators would help to make the connections between law and policy, resourced action and outcomes more explicit</w:t>
      </w:r>
      <w:r w:rsidR="00DC1C9C" w:rsidRPr="007B596E">
        <w:rPr>
          <w:bCs/>
          <w:sz w:val="28"/>
          <w:szCs w:val="28"/>
        </w:rPr>
        <w:t>, something both t</w:t>
      </w:r>
      <w:r w:rsidR="00DC1C9C" w:rsidRPr="007B596E">
        <w:rPr>
          <w:sz w:val="28"/>
          <w:szCs w:val="28"/>
        </w:rPr>
        <w:t>he Commission and the FM Advisory Group on human rights leadership have recommended.</w:t>
      </w:r>
      <w:r w:rsidR="00DC1C9C" w:rsidRPr="007B596E">
        <w:rPr>
          <w:rFonts w:ascii="Calibri" w:hAnsi="Calibri" w:cs="Times New Roman"/>
          <w:color w:val="222222"/>
          <w:sz w:val="28"/>
          <w:szCs w:val="28"/>
          <w:lang w:eastAsia="en-GB"/>
        </w:rPr>
        <w:t xml:space="preserve">  Best practice explains that such indicators help to measure progress across three levels, namely: having the right </w:t>
      </w:r>
      <w:r w:rsidR="00DC1C9C" w:rsidRPr="007B596E">
        <w:rPr>
          <w:rFonts w:ascii="Calibri" w:hAnsi="Calibri" w:cs="Times New Roman"/>
          <w:bCs/>
          <w:color w:val="222222"/>
          <w:sz w:val="28"/>
          <w:szCs w:val="28"/>
          <w:lang w:eastAsia="en-GB"/>
        </w:rPr>
        <w:t>structures in place with regards to law and policy, ensuring that the correct processes can support effective implementation and outcome</w:t>
      </w:r>
      <w:r w:rsidR="00DC1C9C" w:rsidRPr="007B596E">
        <w:rPr>
          <w:rFonts w:ascii="Calibri" w:hAnsi="Calibri" w:cs="Times New Roman"/>
          <w:color w:val="222222"/>
          <w:sz w:val="28"/>
          <w:szCs w:val="28"/>
          <w:lang w:eastAsia="en-GB"/>
        </w:rPr>
        <w:t>.  Together they address the essential aspects of human rights implementation, namely: </w:t>
      </w:r>
      <w:r w:rsidR="00DC1C9C" w:rsidRPr="007B596E">
        <w:rPr>
          <w:rFonts w:ascii="Calibri" w:hAnsi="Calibri" w:cs="Times New Roman"/>
          <w:bCs/>
          <w:color w:val="222222"/>
          <w:sz w:val="28"/>
          <w:szCs w:val="28"/>
          <w:lang w:eastAsia="en-GB"/>
        </w:rPr>
        <w:t>commitment, effort and result</w:t>
      </w:r>
      <w:r w:rsidR="00DC1C9C" w:rsidRPr="007B596E">
        <w:rPr>
          <w:rFonts w:ascii="Calibri" w:hAnsi="Calibri" w:cs="Times New Roman"/>
          <w:color w:val="222222"/>
          <w:sz w:val="28"/>
          <w:szCs w:val="28"/>
          <w:lang w:eastAsia="en-GB"/>
        </w:rPr>
        <w:t>. </w:t>
      </w:r>
    </w:p>
    <w:p w14:paraId="47046FDC" w14:textId="77777777" w:rsidR="00DC1C9C" w:rsidRPr="007B596E" w:rsidRDefault="00DC1C9C" w:rsidP="00DC1C9C">
      <w:pPr>
        <w:shd w:val="clear" w:color="auto" w:fill="FFFFFF"/>
        <w:ind w:left="-426" w:right="-472"/>
        <w:rPr>
          <w:rFonts w:ascii="Calibri" w:hAnsi="Calibri" w:cs="Times New Roman"/>
          <w:color w:val="222222"/>
          <w:sz w:val="28"/>
          <w:szCs w:val="28"/>
          <w:lang w:eastAsia="en-GB"/>
        </w:rPr>
      </w:pPr>
    </w:p>
    <w:p w14:paraId="10441A59" w14:textId="552E8571" w:rsidR="00DC1C9C" w:rsidRPr="007B596E" w:rsidRDefault="00DC1C9C" w:rsidP="00DC1C9C">
      <w:pPr>
        <w:shd w:val="clear" w:color="auto" w:fill="FFFFFF"/>
        <w:ind w:left="-426" w:right="-472"/>
        <w:rPr>
          <w:rFonts w:ascii="Calibri" w:hAnsi="Calibri" w:cs="Times New Roman"/>
          <w:color w:val="222222"/>
          <w:sz w:val="28"/>
          <w:szCs w:val="28"/>
          <w:lang w:eastAsia="en-GB"/>
        </w:rPr>
      </w:pPr>
      <w:r w:rsidRPr="007B596E">
        <w:rPr>
          <w:rFonts w:ascii="Calibri" w:hAnsi="Calibri" w:cs="Times New Roman"/>
          <w:color w:val="222222"/>
          <w:sz w:val="28"/>
          <w:szCs w:val="28"/>
          <w:lang w:eastAsia="en-GB"/>
        </w:rPr>
        <w:t>The focus on </w:t>
      </w:r>
      <w:r w:rsidRPr="007B596E">
        <w:rPr>
          <w:rFonts w:ascii="Calibri" w:hAnsi="Calibri" w:cs="Times New Roman"/>
          <w:bCs/>
          <w:color w:val="222222"/>
          <w:sz w:val="28"/>
          <w:szCs w:val="28"/>
          <w:lang w:eastAsia="en-GB"/>
        </w:rPr>
        <w:t>commitment and effort</w:t>
      </w:r>
      <w:r w:rsidRPr="007B596E">
        <w:rPr>
          <w:rFonts w:ascii="Calibri" w:hAnsi="Calibri" w:cs="Times New Roman"/>
          <w:color w:val="222222"/>
          <w:sz w:val="28"/>
          <w:szCs w:val="28"/>
          <w:lang w:eastAsia="en-GB"/>
        </w:rPr>
        <w:t>, as opposed to only measuring </w:t>
      </w:r>
      <w:r w:rsidRPr="007B596E">
        <w:rPr>
          <w:rFonts w:ascii="Calibri" w:hAnsi="Calibri" w:cs="Times New Roman"/>
          <w:bCs/>
          <w:color w:val="222222"/>
          <w:sz w:val="28"/>
          <w:szCs w:val="28"/>
          <w:lang w:eastAsia="en-GB"/>
        </w:rPr>
        <w:t>result</w:t>
      </w:r>
      <w:r w:rsidRPr="007B596E">
        <w:rPr>
          <w:rFonts w:ascii="Calibri" w:hAnsi="Calibri" w:cs="Times New Roman"/>
          <w:color w:val="222222"/>
          <w:sz w:val="28"/>
          <w:szCs w:val="28"/>
          <w:lang w:eastAsia="en-GB"/>
        </w:rPr>
        <w:t> </w:t>
      </w:r>
      <w:r w:rsidRPr="007B596E">
        <w:rPr>
          <w:rFonts w:ascii="Calibri" w:hAnsi="Calibri" w:cs="Times New Roman"/>
          <w:bCs/>
          <w:color w:val="222222"/>
          <w:sz w:val="28"/>
          <w:szCs w:val="28"/>
          <w:lang w:eastAsia="en-GB"/>
        </w:rPr>
        <w:t>outcome</w:t>
      </w:r>
      <w:r w:rsidRPr="007B596E">
        <w:rPr>
          <w:rFonts w:ascii="Calibri" w:hAnsi="Calibri" w:cs="Times New Roman"/>
          <w:color w:val="222222"/>
          <w:sz w:val="28"/>
          <w:szCs w:val="28"/>
          <w:lang w:eastAsia="en-GB"/>
        </w:rPr>
        <w:t>, is one of the areas which </w:t>
      </w:r>
      <w:r w:rsidRPr="007B596E">
        <w:rPr>
          <w:rFonts w:ascii="Calibri" w:hAnsi="Calibri" w:cs="Times New Roman"/>
          <w:bCs/>
          <w:color w:val="222222"/>
          <w:sz w:val="28"/>
          <w:szCs w:val="28"/>
          <w:lang w:eastAsia="en-GB"/>
        </w:rPr>
        <w:t>makes human rights indicators distinct</w:t>
      </w:r>
      <w:r w:rsidRPr="007B596E">
        <w:rPr>
          <w:rFonts w:ascii="Calibri" w:hAnsi="Calibri" w:cs="Times New Roman"/>
          <w:color w:val="222222"/>
          <w:sz w:val="28"/>
          <w:szCs w:val="28"/>
          <w:lang w:eastAsia="en-GB"/>
        </w:rPr>
        <w:t>. Outcome indicators look backwards at results, whereas Structure and Process indicators help governments to look forward and make more progress, e.g. by removing barriers to better outcomes such as systemic discrimination as a result of law or policy,</w:t>
      </w:r>
      <w:r w:rsidR="000507AE" w:rsidRPr="007B596E">
        <w:rPr>
          <w:rFonts w:ascii="Calibri" w:hAnsi="Calibri" w:cs="Times New Roman"/>
          <w:color w:val="222222"/>
          <w:sz w:val="28"/>
          <w:szCs w:val="28"/>
          <w:lang w:eastAsia="en-GB"/>
        </w:rPr>
        <w:t xml:space="preserve"> whether</w:t>
      </w:r>
      <w:r w:rsidRPr="007B596E">
        <w:rPr>
          <w:rFonts w:ascii="Calibri" w:hAnsi="Calibri" w:cs="Times New Roman"/>
          <w:color w:val="222222"/>
          <w:sz w:val="28"/>
          <w:szCs w:val="28"/>
          <w:lang w:eastAsia="en-GB"/>
        </w:rPr>
        <w:t xml:space="preserve"> intended or unintended; or underfunding of an otherwise effective policy option.  Process indicators also strengthen evidence-based policymaking by assisting governments in determining whether their interventions actually lead to improved outcomes or whether they need to be adjusted.  The use of human rights based indicators would help to </w:t>
      </w:r>
      <w:r w:rsidRPr="007B596E">
        <w:rPr>
          <w:sz w:val="28"/>
          <w:szCs w:val="28"/>
        </w:rPr>
        <w:t>monitor the impact on equalities and human rights outcomes from public sector funding to the third sector as well as measur</w:t>
      </w:r>
      <w:r w:rsidR="00C42691" w:rsidRPr="007B596E">
        <w:rPr>
          <w:sz w:val="28"/>
          <w:szCs w:val="28"/>
        </w:rPr>
        <w:t>ing</w:t>
      </w:r>
      <w:r w:rsidRPr="007B596E">
        <w:rPr>
          <w:sz w:val="28"/>
          <w:szCs w:val="28"/>
        </w:rPr>
        <w:t xml:space="preserve"> the impact of budgetary decisions more broadly.</w:t>
      </w:r>
    </w:p>
    <w:p w14:paraId="1FB3907E" w14:textId="77777777" w:rsidR="00DC1C9C" w:rsidRPr="007B596E" w:rsidRDefault="00DC1C9C" w:rsidP="00DC1C9C">
      <w:pPr>
        <w:pStyle w:val="bullet"/>
        <w:numPr>
          <w:ilvl w:val="0"/>
          <w:numId w:val="0"/>
        </w:numPr>
        <w:ind w:left="-284"/>
        <w:rPr>
          <w:sz w:val="28"/>
          <w:szCs w:val="28"/>
        </w:rPr>
      </w:pPr>
    </w:p>
    <w:p w14:paraId="46BAE22D" w14:textId="77777777" w:rsidR="001B4181" w:rsidRPr="007B596E" w:rsidRDefault="00714C46" w:rsidP="00BD18F7">
      <w:pPr>
        <w:ind w:left="-426" w:right="-188"/>
        <w:rPr>
          <w:sz w:val="28"/>
          <w:szCs w:val="28"/>
        </w:rPr>
      </w:pPr>
      <w:r w:rsidRPr="007B596E">
        <w:rPr>
          <w:bCs/>
          <w:sz w:val="28"/>
          <w:szCs w:val="28"/>
        </w:rPr>
        <w:t>Where it is possible to explore specific areas of the budget over time</w:t>
      </w:r>
      <w:r w:rsidR="007C4A9F" w:rsidRPr="007B596E">
        <w:rPr>
          <w:bCs/>
          <w:sz w:val="28"/>
          <w:szCs w:val="28"/>
        </w:rPr>
        <w:t>,</w:t>
      </w:r>
      <w:r w:rsidRPr="007B596E">
        <w:rPr>
          <w:bCs/>
          <w:sz w:val="28"/>
          <w:szCs w:val="28"/>
        </w:rPr>
        <w:t xml:space="preserve"> it is </w:t>
      </w:r>
      <w:r w:rsidR="001C18AF" w:rsidRPr="007B596E">
        <w:rPr>
          <w:bCs/>
          <w:sz w:val="28"/>
          <w:szCs w:val="28"/>
        </w:rPr>
        <w:t xml:space="preserve">possible to begin to </w:t>
      </w:r>
      <w:r w:rsidR="001C18AF" w:rsidRPr="007B596E">
        <w:rPr>
          <w:sz w:val="28"/>
          <w:szCs w:val="28"/>
        </w:rPr>
        <w:t>explore impact</w:t>
      </w:r>
      <w:r w:rsidR="00A43F7B" w:rsidRPr="007B596E">
        <w:rPr>
          <w:sz w:val="28"/>
          <w:szCs w:val="28"/>
        </w:rPr>
        <w:t xml:space="preserve">.  </w:t>
      </w:r>
      <w:r w:rsidR="007C4A9F" w:rsidRPr="007B596E">
        <w:rPr>
          <w:sz w:val="28"/>
          <w:szCs w:val="28"/>
        </w:rPr>
        <w:t xml:space="preserve">This is especially important to help identify if outcomes are not being realised due to poor law and policy, poor implementation and/or insufficient resourcing. </w:t>
      </w:r>
    </w:p>
    <w:p w14:paraId="0A83BF3A" w14:textId="77777777" w:rsidR="007C4A9F" w:rsidRPr="007B596E" w:rsidRDefault="007C4A9F" w:rsidP="00BD18F7">
      <w:pPr>
        <w:ind w:left="-426" w:right="-188"/>
        <w:rPr>
          <w:sz w:val="28"/>
          <w:szCs w:val="28"/>
        </w:rPr>
      </w:pPr>
    </w:p>
    <w:p w14:paraId="7B4BD69A" w14:textId="76255B52" w:rsidR="007C4A9F" w:rsidRPr="007B596E" w:rsidRDefault="00FD611D" w:rsidP="00BD18F7">
      <w:pPr>
        <w:ind w:left="-426" w:right="-188"/>
        <w:rPr>
          <w:bCs/>
          <w:sz w:val="28"/>
          <w:szCs w:val="28"/>
        </w:rPr>
      </w:pPr>
      <w:r w:rsidRPr="007B596E">
        <w:rPr>
          <w:sz w:val="28"/>
          <w:szCs w:val="28"/>
        </w:rPr>
        <w:t>An illustrative example is</w:t>
      </w:r>
      <w:r w:rsidR="00B33CD7" w:rsidRPr="007B596E">
        <w:rPr>
          <w:sz w:val="28"/>
          <w:szCs w:val="28"/>
        </w:rPr>
        <w:t xml:space="preserve"> </w:t>
      </w:r>
      <w:r w:rsidR="00A43F7B" w:rsidRPr="007B596E">
        <w:rPr>
          <w:sz w:val="28"/>
          <w:szCs w:val="28"/>
        </w:rPr>
        <w:t xml:space="preserve">one of the Scottish Government’s </w:t>
      </w:r>
      <w:r w:rsidR="00C42691" w:rsidRPr="007B596E">
        <w:rPr>
          <w:sz w:val="28"/>
          <w:szCs w:val="28"/>
        </w:rPr>
        <w:t xml:space="preserve">key social care </w:t>
      </w:r>
      <w:r w:rsidR="00A43F7B" w:rsidRPr="007B596E">
        <w:rPr>
          <w:sz w:val="28"/>
          <w:szCs w:val="28"/>
        </w:rPr>
        <w:t xml:space="preserve">policies: Self-Directed Support.  </w:t>
      </w:r>
      <w:r w:rsidR="00A3123F" w:rsidRPr="007B596E">
        <w:rPr>
          <w:sz w:val="28"/>
          <w:szCs w:val="28"/>
        </w:rPr>
        <w:t>This</w:t>
      </w:r>
      <w:r w:rsidR="00A43F7B" w:rsidRPr="007B596E">
        <w:rPr>
          <w:sz w:val="28"/>
          <w:szCs w:val="28"/>
        </w:rPr>
        <w:t xml:space="preserve"> </w:t>
      </w:r>
      <w:r w:rsidR="00A3123F" w:rsidRPr="007B596E">
        <w:rPr>
          <w:sz w:val="28"/>
          <w:szCs w:val="28"/>
        </w:rPr>
        <w:t>was an example</w:t>
      </w:r>
      <w:r w:rsidR="00A43F7B" w:rsidRPr="007B596E">
        <w:rPr>
          <w:sz w:val="28"/>
          <w:szCs w:val="28"/>
        </w:rPr>
        <w:t xml:space="preserve"> of </w:t>
      </w:r>
      <w:r w:rsidRPr="007B596E">
        <w:rPr>
          <w:sz w:val="28"/>
          <w:szCs w:val="28"/>
        </w:rPr>
        <w:t xml:space="preserve">what was intended as </w:t>
      </w:r>
      <w:r w:rsidR="00A43F7B" w:rsidRPr="007B596E">
        <w:rPr>
          <w:sz w:val="28"/>
          <w:szCs w:val="28"/>
        </w:rPr>
        <w:t>rights-based legi</w:t>
      </w:r>
      <w:r w:rsidR="00A3123F" w:rsidRPr="007B596E">
        <w:rPr>
          <w:sz w:val="28"/>
          <w:szCs w:val="28"/>
        </w:rPr>
        <w:t>slation</w:t>
      </w:r>
      <w:r w:rsidR="008249A5" w:rsidRPr="007B596E">
        <w:rPr>
          <w:sz w:val="28"/>
          <w:szCs w:val="28"/>
        </w:rPr>
        <w:t>.</w:t>
      </w:r>
      <w:r w:rsidR="00C92BBE" w:rsidRPr="007B596E">
        <w:rPr>
          <w:sz w:val="28"/>
          <w:szCs w:val="28"/>
        </w:rPr>
        <w:t xml:space="preserve">  The legislation </w:t>
      </w:r>
      <w:r w:rsidR="008249A5" w:rsidRPr="007B596E">
        <w:rPr>
          <w:sz w:val="28"/>
          <w:szCs w:val="28"/>
        </w:rPr>
        <w:t>aimed to support independent living by placing</w:t>
      </w:r>
      <w:r w:rsidR="00C92BBE" w:rsidRPr="007B596E">
        <w:rPr>
          <w:sz w:val="28"/>
          <w:szCs w:val="28"/>
        </w:rPr>
        <w:t xml:space="preserve"> a duty on local authority social work departments to offer people who are eligible for social care a range of choices over how they receive their support</w:t>
      </w:r>
      <w:r w:rsidR="008249A5" w:rsidRPr="007B596E">
        <w:rPr>
          <w:sz w:val="28"/>
          <w:szCs w:val="28"/>
        </w:rPr>
        <w:t xml:space="preserve">.  </w:t>
      </w:r>
      <w:r w:rsidR="008249A5" w:rsidRPr="007B596E">
        <w:rPr>
          <w:bCs/>
          <w:sz w:val="28"/>
          <w:szCs w:val="28"/>
        </w:rPr>
        <w:t xml:space="preserve">Disabled people have, however, raised concerns that the reality falls a long way short of the positive intentions behind the introduction of SDS. </w:t>
      </w:r>
      <w:r w:rsidR="00C42691" w:rsidRPr="007B596E">
        <w:rPr>
          <w:bCs/>
          <w:sz w:val="28"/>
          <w:szCs w:val="28"/>
        </w:rPr>
        <w:t xml:space="preserve">Disabled people have highlighted that the availability of support is patchy and in many cases, is not sufficient to enable people </w:t>
      </w:r>
      <w:r w:rsidR="00C42691" w:rsidRPr="007B596E">
        <w:rPr>
          <w:bCs/>
          <w:sz w:val="28"/>
          <w:szCs w:val="28"/>
        </w:rPr>
        <w:lastRenderedPageBreak/>
        <w:t>to enjoy their Article 19 right to ind</w:t>
      </w:r>
      <w:r w:rsidR="00C91AD0">
        <w:rPr>
          <w:bCs/>
          <w:sz w:val="28"/>
          <w:szCs w:val="28"/>
        </w:rPr>
        <w:t>ependent living under the CRPD.</w:t>
      </w:r>
      <w:r w:rsidR="007C4A9F" w:rsidRPr="007B596E">
        <w:rPr>
          <w:rStyle w:val="FootnoteReference"/>
          <w:bCs/>
          <w:sz w:val="28"/>
          <w:szCs w:val="28"/>
        </w:rPr>
        <w:footnoteReference w:id="9"/>
      </w:r>
      <w:r w:rsidR="008249A5" w:rsidRPr="007B596E">
        <w:rPr>
          <w:bCs/>
          <w:sz w:val="28"/>
          <w:szCs w:val="28"/>
        </w:rPr>
        <w:t xml:space="preserve">  </w:t>
      </w:r>
      <w:r w:rsidR="007C4A9F" w:rsidRPr="007B596E">
        <w:rPr>
          <w:bCs/>
          <w:sz w:val="28"/>
          <w:szCs w:val="28"/>
        </w:rPr>
        <w:t>The change in funding in real terms from 2015/16 until 2019/20 shows that the policy’s funding has been cut by a third.</w:t>
      </w:r>
    </w:p>
    <w:p w14:paraId="2774DD8A" w14:textId="77777777" w:rsidR="001C18AF" w:rsidRPr="007B596E" w:rsidRDefault="001C18AF" w:rsidP="00BD18F7">
      <w:pPr>
        <w:ind w:left="-426" w:right="-188"/>
        <w:rPr>
          <w:bCs/>
          <w:sz w:val="28"/>
          <w:szCs w:val="28"/>
        </w:rPr>
      </w:pPr>
    </w:p>
    <w:p w14:paraId="4963B9E5" w14:textId="77777777" w:rsidR="001C18AF" w:rsidRPr="007B596E" w:rsidRDefault="001C18AF" w:rsidP="00BD18F7">
      <w:pPr>
        <w:ind w:left="-426" w:right="-188"/>
        <w:rPr>
          <w:bCs/>
          <w:sz w:val="28"/>
          <w:szCs w:val="28"/>
        </w:rPr>
      </w:pPr>
      <w:r w:rsidRPr="007B596E">
        <w:rPr>
          <w:b/>
          <w:bCs/>
          <w:sz w:val="28"/>
          <w:szCs w:val="28"/>
        </w:rPr>
        <w:t>Table 1:</w:t>
      </w:r>
      <w:r w:rsidRPr="007B596E">
        <w:rPr>
          <w:bCs/>
          <w:sz w:val="28"/>
          <w:szCs w:val="28"/>
        </w:rPr>
        <w:t xml:space="preserve"> </w:t>
      </w:r>
      <w:r w:rsidR="00A43F7B" w:rsidRPr="007B596E">
        <w:rPr>
          <w:b/>
          <w:bCs/>
          <w:sz w:val="28"/>
          <w:szCs w:val="28"/>
        </w:rPr>
        <w:t>Variation</w:t>
      </w:r>
      <w:r w:rsidRPr="007B596E">
        <w:rPr>
          <w:b/>
          <w:bCs/>
          <w:sz w:val="28"/>
          <w:szCs w:val="28"/>
        </w:rPr>
        <w:t xml:space="preserve"> in </w:t>
      </w:r>
      <w:r w:rsidR="00A43F7B" w:rsidRPr="007B596E">
        <w:rPr>
          <w:b/>
          <w:bCs/>
          <w:sz w:val="28"/>
          <w:szCs w:val="28"/>
        </w:rPr>
        <w:t>funding for SDS</w:t>
      </w:r>
      <w:r w:rsidRPr="007B596E">
        <w:rPr>
          <w:b/>
          <w:bCs/>
          <w:sz w:val="28"/>
          <w:szCs w:val="28"/>
        </w:rPr>
        <w:t>: Cash vs Real % change 2015/16-2019/20</w:t>
      </w:r>
      <w:r w:rsidR="007C4A9F" w:rsidRPr="007B596E">
        <w:rPr>
          <w:rStyle w:val="FootnoteReference"/>
          <w:b/>
          <w:bCs/>
          <w:sz w:val="28"/>
          <w:szCs w:val="28"/>
        </w:rPr>
        <w:footnoteReference w:id="10"/>
      </w:r>
    </w:p>
    <w:p w14:paraId="11DF59F7" w14:textId="77777777" w:rsidR="001C18AF" w:rsidRPr="007B596E" w:rsidRDefault="001C18AF" w:rsidP="00BD18F7">
      <w:pPr>
        <w:ind w:left="-426" w:right="-188"/>
        <w:rPr>
          <w:bCs/>
          <w:sz w:val="28"/>
          <w:szCs w:val="28"/>
        </w:rPr>
      </w:pPr>
    </w:p>
    <w:p w14:paraId="408B0F0E" w14:textId="77777777" w:rsidR="001C18AF" w:rsidRPr="007B596E" w:rsidRDefault="001C18AF" w:rsidP="00BD18F7">
      <w:pPr>
        <w:ind w:left="-426" w:right="-188"/>
        <w:jc w:val="center"/>
        <w:rPr>
          <w:bCs/>
          <w:sz w:val="28"/>
          <w:szCs w:val="28"/>
        </w:rPr>
      </w:pPr>
      <w:r w:rsidRPr="007B596E">
        <w:rPr>
          <w:bCs/>
          <w:noProof/>
          <w:sz w:val="28"/>
          <w:szCs w:val="28"/>
          <w:lang w:eastAsia="en-GB"/>
        </w:rPr>
        <w:drawing>
          <wp:inline distT="0" distB="0" distL="0" distR="0" wp14:anchorId="332FD6E7" wp14:editId="4D542100">
            <wp:extent cx="4587875" cy="1097280"/>
            <wp:effectExtent l="0" t="0" r="3175"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CD5A03" w14:textId="77777777" w:rsidR="00682814" w:rsidRPr="007B596E" w:rsidRDefault="00682814" w:rsidP="00BD18F7">
      <w:pPr>
        <w:ind w:left="-426" w:right="-188"/>
        <w:rPr>
          <w:b/>
          <w:bCs/>
          <w:sz w:val="28"/>
          <w:szCs w:val="28"/>
        </w:rPr>
      </w:pPr>
    </w:p>
    <w:p w14:paraId="2E02FB55" w14:textId="60ED8BC0" w:rsidR="00EA4309" w:rsidRPr="00F9353A" w:rsidRDefault="00EA4309" w:rsidP="00BD18F7">
      <w:pPr>
        <w:ind w:left="-426" w:right="-188"/>
        <w:rPr>
          <w:bCs/>
          <w:sz w:val="28"/>
          <w:szCs w:val="28"/>
        </w:rPr>
      </w:pPr>
      <w:r w:rsidRPr="007B596E">
        <w:rPr>
          <w:bCs/>
          <w:sz w:val="28"/>
          <w:szCs w:val="28"/>
        </w:rPr>
        <w:t xml:space="preserve">However, for many areas it is simply not possible to identify a distinct policy area with its relevant resource allocation. It is even harder to decipher whether the allocation has been </w:t>
      </w:r>
      <w:r w:rsidRPr="00F9353A">
        <w:rPr>
          <w:bCs/>
          <w:sz w:val="28"/>
          <w:szCs w:val="28"/>
        </w:rPr>
        <w:t>spent as intended</w:t>
      </w:r>
      <w:r w:rsidR="00E2278A" w:rsidRPr="00F9353A">
        <w:rPr>
          <w:bCs/>
          <w:sz w:val="28"/>
          <w:szCs w:val="28"/>
        </w:rPr>
        <w:t>.</w:t>
      </w:r>
    </w:p>
    <w:p w14:paraId="141731A0" w14:textId="42E5E385" w:rsidR="000C29B3" w:rsidRPr="00F9353A" w:rsidRDefault="000C29B3" w:rsidP="00BD18F7">
      <w:pPr>
        <w:ind w:left="-426" w:right="-188"/>
        <w:rPr>
          <w:bCs/>
          <w:sz w:val="28"/>
          <w:szCs w:val="28"/>
        </w:rPr>
      </w:pPr>
    </w:p>
    <w:p w14:paraId="783F9C11" w14:textId="0AE49F5D" w:rsidR="000C29B3" w:rsidRPr="00F9353A" w:rsidRDefault="000C29B3" w:rsidP="00BD18F7">
      <w:pPr>
        <w:ind w:left="-426" w:right="-188"/>
        <w:rPr>
          <w:sz w:val="28"/>
          <w:szCs w:val="28"/>
        </w:rPr>
      </w:pPr>
      <w:r w:rsidRPr="00F9353A">
        <w:rPr>
          <w:sz w:val="28"/>
          <w:szCs w:val="28"/>
        </w:rPr>
        <w:t xml:space="preserve">Addressing all of these concerns will </w:t>
      </w:r>
      <w:r w:rsidR="00274DDD" w:rsidRPr="00F9353A">
        <w:rPr>
          <w:sz w:val="28"/>
          <w:szCs w:val="28"/>
        </w:rPr>
        <w:t>better support</w:t>
      </w:r>
      <w:r w:rsidRPr="00F9353A">
        <w:rPr>
          <w:sz w:val="28"/>
          <w:szCs w:val="28"/>
        </w:rPr>
        <w:t xml:space="preserve"> the government and public bodies to respect, protect and fulfil human rights (including by undertakin</w:t>
      </w:r>
      <w:r w:rsidR="00A91D3A" w:rsidRPr="00F9353A">
        <w:rPr>
          <w:sz w:val="28"/>
          <w:szCs w:val="28"/>
        </w:rPr>
        <w:t>g human rights based budgeting).  It will also</w:t>
      </w:r>
      <w:r w:rsidRPr="00F9353A">
        <w:rPr>
          <w:sz w:val="28"/>
          <w:szCs w:val="28"/>
        </w:rPr>
        <w:t xml:space="preserve"> be of general benefit for democratic accountability.</w:t>
      </w:r>
    </w:p>
    <w:p w14:paraId="4370C857" w14:textId="5E2CD04A" w:rsidR="00FD611D" w:rsidRPr="007B596E" w:rsidRDefault="000C29B3" w:rsidP="00BD18F7">
      <w:pPr>
        <w:ind w:left="-426" w:right="-188"/>
        <w:rPr>
          <w:bCs/>
          <w:sz w:val="28"/>
          <w:szCs w:val="28"/>
        </w:rPr>
      </w:pPr>
      <w:r>
        <w:rPr>
          <w:rFonts w:ascii="Tahoma" w:hAnsi="Tahoma" w:cs="Tahoma"/>
        </w:rPr>
        <w:t xml:space="preserve"> </w:t>
      </w:r>
    </w:p>
    <w:p w14:paraId="58C290FD" w14:textId="77777777" w:rsidR="00FD611D" w:rsidRPr="007B596E" w:rsidRDefault="005E7A4C" w:rsidP="00BD18F7">
      <w:pPr>
        <w:ind w:left="-426" w:right="-188"/>
        <w:rPr>
          <w:b/>
          <w:bCs/>
          <w:sz w:val="28"/>
          <w:szCs w:val="28"/>
        </w:rPr>
      </w:pPr>
      <w:r w:rsidRPr="007B596E">
        <w:rPr>
          <w:b/>
          <w:bCs/>
          <w:sz w:val="28"/>
          <w:szCs w:val="28"/>
        </w:rPr>
        <w:t>Key questions the above raise for</w:t>
      </w:r>
      <w:r w:rsidR="00FD611D" w:rsidRPr="007B596E">
        <w:rPr>
          <w:b/>
          <w:bCs/>
          <w:sz w:val="28"/>
          <w:szCs w:val="28"/>
        </w:rPr>
        <w:t xml:space="preserve"> th</w:t>
      </w:r>
      <w:r w:rsidRPr="007B596E">
        <w:rPr>
          <w:b/>
          <w:bCs/>
          <w:sz w:val="28"/>
          <w:szCs w:val="28"/>
        </w:rPr>
        <w:t>e</w:t>
      </w:r>
      <w:r w:rsidR="00FD611D" w:rsidRPr="007B596E">
        <w:rPr>
          <w:b/>
          <w:bCs/>
          <w:sz w:val="28"/>
          <w:szCs w:val="28"/>
        </w:rPr>
        <w:t xml:space="preserve"> </w:t>
      </w:r>
      <w:r w:rsidRPr="007B596E">
        <w:rPr>
          <w:b/>
          <w:bCs/>
          <w:sz w:val="28"/>
          <w:szCs w:val="28"/>
        </w:rPr>
        <w:t>Commission</w:t>
      </w:r>
      <w:r w:rsidR="00FD611D" w:rsidRPr="007B596E">
        <w:rPr>
          <w:b/>
          <w:bCs/>
          <w:sz w:val="28"/>
          <w:szCs w:val="28"/>
        </w:rPr>
        <w:t xml:space="preserve"> </w:t>
      </w:r>
      <w:r w:rsidRPr="007B596E">
        <w:rPr>
          <w:b/>
          <w:bCs/>
          <w:sz w:val="28"/>
          <w:szCs w:val="28"/>
        </w:rPr>
        <w:t>a</w:t>
      </w:r>
      <w:r w:rsidR="00FD611D" w:rsidRPr="007B596E">
        <w:rPr>
          <w:b/>
          <w:bCs/>
          <w:sz w:val="28"/>
          <w:szCs w:val="28"/>
        </w:rPr>
        <w:t xml:space="preserve">re follows: </w:t>
      </w:r>
    </w:p>
    <w:p w14:paraId="3B411C84" w14:textId="77777777" w:rsidR="00B33CD7" w:rsidRPr="007B596E" w:rsidRDefault="00FD611D" w:rsidP="00160AAF">
      <w:pPr>
        <w:pStyle w:val="bullet2"/>
        <w:rPr>
          <w:sz w:val="28"/>
          <w:szCs w:val="28"/>
        </w:rPr>
      </w:pPr>
      <w:r w:rsidRPr="007B596E">
        <w:rPr>
          <w:sz w:val="28"/>
          <w:szCs w:val="28"/>
        </w:rPr>
        <w:t xml:space="preserve">How is financial spend on national priorities scrutinised at the local level? </w:t>
      </w:r>
    </w:p>
    <w:p w14:paraId="4BEFCF4A" w14:textId="77777777" w:rsidR="00CC4B28" w:rsidRPr="007B596E" w:rsidRDefault="00CC4B28" w:rsidP="00160AAF">
      <w:pPr>
        <w:pStyle w:val="bullet2"/>
        <w:rPr>
          <w:sz w:val="28"/>
          <w:szCs w:val="28"/>
        </w:rPr>
      </w:pPr>
      <w:r w:rsidRPr="007B596E">
        <w:rPr>
          <w:sz w:val="28"/>
          <w:szCs w:val="28"/>
        </w:rPr>
        <w:t xml:space="preserve">What is the government doing to make more fiscal information (including enabling </w:t>
      </w:r>
      <w:r w:rsidR="0029366B" w:rsidRPr="007B596E">
        <w:rPr>
          <w:sz w:val="28"/>
          <w:szCs w:val="28"/>
        </w:rPr>
        <w:t>the connection of</w:t>
      </w:r>
      <w:r w:rsidRPr="007B596E">
        <w:rPr>
          <w:sz w:val="28"/>
          <w:szCs w:val="28"/>
        </w:rPr>
        <w:t xml:space="preserve"> allocation to spend) a. available, b. </w:t>
      </w:r>
      <w:r w:rsidR="00B84EC6" w:rsidRPr="007B596E">
        <w:rPr>
          <w:sz w:val="28"/>
          <w:szCs w:val="28"/>
        </w:rPr>
        <w:t xml:space="preserve">accessible, c. </w:t>
      </w:r>
      <w:r w:rsidRPr="007B596E">
        <w:rPr>
          <w:sz w:val="28"/>
          <w:szCs w:val="28"/>
        </w:rPr>
        <w:t xml:space="preserve">meaningful and </w:t>
      </w:r>
      <w:r w:rsidR="00B84EC6" w:rsidRPr="007B596E">
        <w:rPr>
          <w:sz w:val="28"/>
          <w:szCs w:val="28"/>
        </w:rPr>
        <w:t>d</w:t>
      </w:r>
      <w:r w:rsidRPr="007B596E">
        <w:rPr>
          <w:sz w:val="28"/>
          <w:szCs w:val="28"/>
        </w:rPr>
        <w:t>. transparent?</w:t>
      </w:r>
    </w:p>
    <w:p w14:paraId="49F033D5" w14:textId="77777777" w:rsidR="00B84EC6" w:rsidRPr="007B596E" w:rsidRDefault="00CC4B28" w:rsidP="00160AAF">
      <w:pPr>
        <w:pStyle w:val="bullet2"/>
        <w:rPr>
          <w:sz w:val="28"/>
          <w:szCs w:val="28"/>
        </w:rPr>
      </w:pPr>
      <w:r w:rsidRPr="007B596E">
        <w:rPr>
          <w:sz w:val="28"/>
          <w:szCs w:val="28"/>
        </w:rPr>
        <w:t xml:space="preserve">What is the government doing to connect the national outcomes to the budget, beyond a </w:t>
      </w:r>
      <w:r w:rsidR="00B84EC6" w:rsidRPr="007B596E">
        <w:rPr>
          <w:sz w:val="28"/>
          <w:szCs w:val="28"/>
        </w:rPr>
        <w:t>narrative?</w:t>
      </w:r>
    </w:p>
    <w:p w14:paraId="1F014613" w14:textId="77777777" w:rsidR="00CC4B28" w:rsidRPr="007B596E" w:rsidRDefault="00B84EC6" w:rsidP="00DC1C9C">
      <w:pPr>
        <w:pStyle w:val="bullet2"/>
        <w:rPr>
          <w:sz w:val="28"/>
          <w:szCs w:val="28"/>
        </w:rPr>
      </w:pPr>
      <w:r w:rsidRPr="007B596E">
        <w:rPr>
          <w:sz w:val="28"/>
          <w:szCs w:val="28"/>
        </w:rPr>
        <w:t>Can the government explain how its allocations meet the achievements of basic levels of rights for all?</w:t>
      </w:r>
    </w:p>
    <w:p w14:paraId="0EEA1CA0" w14:textId="77777777" w:rsidR="00B84EC6" w:rsidRPr="007B596E" w:rsidRDefault="00B84EC6" w:rsidP="00DC1C9C">
      <w:pPr>
        <w:pStyle w:val="bullet2"/>
        <w:rPr>
          <w:sz w:val="28"/>
          <w:szCs w:val="28"/>
        </w:rPr>
      </w:pPr>
      <w:r w:rsidRPr="007B596E">
        <w:rPr>
          <w:sz w:val="28"/>
          <w:szCs w:val="28"/>
        </w:rPr>
        <w:t xml:space="preserve">Do budget allocations prioritise closing the gaps in human rights enjoyment between different groups (indeed, have they any means of making this assessment?) </w:t>
      </w:r>
    </w:p>
    <w:p w14:paraId="4658D1CF" w14:textId="77777777" w:rsidR="00141FE3" w:rsidRPr="007B596E" w:rsidRDefault="00141FE3" w:rsidP="00141FE3">
      <w:pPr>
        <w:pStyle w:val="bullet2"/>
        <w:numPr>
          <w:ilvl w:val="0"/>
          <w:numId w:val="0"/>
        </w:numPr>
        <w:ind w:left="142" w:hanging="142"/>
        <w:rPr>
          <w:sz w:val="28"/>
          <w:szCs w:val="28"/>
        </w:rPr>
      </w:pPr>
    </w:p>
    <w:p w14:paraId="5875C811" w14:textId="77777777" w:rsidR="00141FE3" w:rsidRPr="007B596E" w:rsidRDefault="00141FE3" w:rsidP="00AE6AEF">
      <w:pPr>
        <w:pStyle w:val="bullet"/>
        <w:rPr>
          <w:b/>
          <w:i/>
          <w:sz w:val="28"/>
          <w:szCs w:val="28"/>
        </w:rPr>
      </w:pPr>
      <w:r w:rsidRPr="007B596E">
        <w:rPr>
          <w:b/>
          <w:i/>
          <w:sz w:val="28"/>
          <w:szCs w:val="28"/>
        </w:rPr>
        <w:t xml:space="preserve">The Commission also recommends that the government follow through with the FM’s Advisory Group Recommendation on taking a HRBA to the National </w:t>
      </w:r>
      <w:r w:rsidRPr="007B596E">
        <w:rPr>
          <w:b/>
          <w:i/>
          <w:sz w:val="28"/>
          <w:szCs w:val="28"/>
        </w:rPr>
        <w:lastRenderedPageBreak/>
        <w:t>Performance Framework, including the introduction of human rights based indicators.</w:t>
      </w:r>
    </w:p>
    <w:p w14:paraId="5BEB8FC4" w14:textId="2B5D7F7B" w:rsidR="007B596E" w:rsidRDefault="007B596E">
      <w:pPr>
        <w:autoSpaceDE/>
        <w:autoSpaceDN/>
        <w:adjustRightInd/>
        <w:rPr>
          <w:b/>
          <w:bCs/>
          <w:sz w:val="28"/>
          <w:szCs w:val="28"/>
        </w:rPr>
      </w:pPr>
    </w:p>
    <w:p w14:paraId="5AD73685" w14:textId="77ED0BD3" w:rsidR="00100117" w:rsidRPr="007B596E" w:rsidRDefault="008F4914" w:rsidP="00C54669">
      <w:pPr>
        <w:pStyle w:val="questionheading"/>
        <w:rPr>
          <w:sz w:val="28"/>
          <w:szCs w:val="28"/>
        </w:rPr>
      </w:pPr>
      <w:r w:rsidRPr="007B596E">
        <w:rPr>
          <w:sz w:val="28"/>
          <w:szCs w:val="28"/>
        </w:rPr>
        <w:t xml:space="preserve">Question 5: </w:t>
      </w:r>
      <w:r w:rsidR="00100117" w:rsidRPr="007B596E">
        <w:rPr>
          <w:b w:val="0"/>
          <w:sz w:val="28"/>
          <w:szCs w:val="28"/>
        </w:rPr>
        <w:t>Are there public funding challenges for the third sector; if so what would be the implications for delivering equalities and human rights outcomes?</w:t>
      </w:r>
      <w:r w:rsidR="00100117" w:rsidRPr="007B596E">
        <w:rPr>
          <w:sz w:val="28"/>
          <w:szCs w:val="28"/>
        </w:rPr>
        <w:t>  </w:t>
      </w:r>
    </w:p>
    <w:p w14:paraId="0D536D0D" w14:textId="77777777" w:rsidR="001404EB" w:rsidRPr="007B596E" w:rsidRDefault="001404EB" w:rsidP="001404EB">
      <w:pPr>
        <w:ind w:left="-426" w:right="-188"/>
        <w:rPr>
          <w:sz w:val="28"/>
          <w:szCs w:val="28"/>
        </w:rPr>
      </w:pPr>
      <w:r w:rsidRPr="007B596E">
        <w:rPr>
          <w:sz w:val="28"/>
          <w:szCs w:val="28"/>
        </w:rPr>
        <w:t>The Declaration on Human Rights Defenders</w:t>
      </w:r>
      <w:r w:rsidRPr="007B596E">
        <w:rPr>
          <w:rStyle w:val="FootnoteReference"/>
          <w:sz w:val="28"/>
          <w:szCs w:val="28"/>
        </w:rPr>
        <w:footnoteReference w:id="11"/>
      </w:r>
      <w:r w:rsidRPr="007B596E">
        <w:rPr>
          <w:sz w:val="28"/>
          <w:szCs w:val="28"/>
        </w:rPr>
        <w:t xml:space="preserve"> sets out that both individuals and civil society organisations have the right to participate in rights based work and activities and “individually and in association with others… submit to governmental bodies and agencies and organizations concerned with public affairs, criticism and proposals for improving their functioning and to draw attention to any aspect of their work that may hinder or impede the promotion, protection and realization of human rights and fundamental freedoms.”</w:t>
      </w:r>
    </w:p>
    <w:p w14:paraId="548B524E" w14:textId="77777777" w:rsidR="001404EB" w:rsidRPr="007B596E" w:rsidRDefault="001404EB" w:rsidP="00BD18F7">
      <w:pPr>
        <w:ind w:left="-426" w:right="-188"/>
        <w:rPr>
          <w:sz w:val="28"/>
          <w:szCs w:val="28"/>
        </w:rPr>
      </w:pPr>
    </w:p>
    <w:p w14:paraId="7FE15838" w14:textId="77777777" w:rsidR="0046367F" w:rsidRPr="007B596E" w:rsidRDefault="0046367F" w:rsidP="00BD18F7">
      <w:pPr>
        <w:ind w:left="-426" w:right="-188"/>
        <w:rPr>
          <w:color w:val="auto"/>
          <w:sz w:val="28"/>
          <w:szCs w:val="28"/>
        </w:rPr>
      </w:pPr>
      <w:r w:rsidRPr="007B596E">
        <w:rPr>
          <w:sz w:val="28"/>
          <w:szCs w:val="28"/>
        </w:rPr>
        <w:t xml:space="preserve">Human rights inherently look to provide a constructive challenge to duty bearers. Funding provided </w:t>
      </w:r>
      <w:r w:rsidR="00394745" w:rsidRPr="007B596E">
        <w:rPr>
          <w:sz w:val="28"/>
          <w:szCs w:val="28"/>
        </w:rPr>
        <w:t xml:space="preserve">to civil society </w:t>
      </w:r>
      <w:r w:rsidRPr="007B596E">
        <w:rPr>
          <w:sz w:val="28"/>
          <w:szCs w:val="28"/>
        </w:rPr>
        <w:t>by the same public authorities who should be held to account for human rights places civil society in a difficult position with respect to their independence and ability to provide a critique from a human rights perspective. At present, there are very limited ways for civil society in receipt of public funding to challenge public sector funders where and when their activities are of concern.</w:t>
      </w:r>
    </w:p>
    <w:p w14:paraId="03024D0A" w14:textId="77777777" w:rsidR="0046367F" w:rsidRPr="007B596E" w:rsidRDefault="0046367F" w:rsidP="00BD18F7">
      <w:pPr>
        <w:ind w:left="-426" w:right="-188"/>
        <w:rPr>
          <w:sz w:val="28"/>
          <w:szCs w:val="28"/>
        </w:rPr>
      </w:pPr>
    </w:p>
    <w:p w14:paraId="0A52334E" w14:textId="77777777" w:rsidR="0046367F" w:rsidRPr="007B596E" w:rsidRDefault="0046367F" w:rsidP="00BD18F7">
      <w:pPr>
        <w:ind w:left="-426" w:right="-188"/>
        <w:rPr>
          <w:sz w:val="28"/>
          <w:szCs w:val="28"/>
        </w:rPr>
      </w:pPr>
      <w:r w:rsidRPr="007B596E">
        <w:rPr>
          <w:sz w:val="28"/>
          <w:szCs w:val="28"/>
        </w:rPr>
        <w:t xml:space="preserve">Public authorities have clear duties under human rights law to respect, protect and fulfil human rights. Civil society is uniquely positioned to understand the rights challenges which people are facing, whether these relate to poverty, inequality and discrimination, community empowerment or social inclusion. A robust civil society is core to advocating for the rights and interests of people who may need support. </w:t>
      </w:r>
    </w:p>
    <w:p w14:paraId="0E86F36F" w14:textId="77777777" w:rsidR="0046367F" w:rsidRPr="007B596E" w:rsidRDefault="0046367F" w:rsidP="00BD18F7">
      <w:pPr>
        <w:ind w:left="-426" w:right="-188"/>
        <w:rPr>
          <w:sz w:val="28"/>
          <w:szCs w:val="28"/>
        </w:rPr>
      </w:pPr>
    </w:p>
    <w:p w14:paraId="6A35A75A" w14:textId="77777777" w:rsidR="0046367F" w:rsidRPr="007B596E" w:rsidRDefault="0046367F" w:rsidP="00BD18F7">
      <w:pPr>
        <w:ind w:left="-426" w:right="-188"/>
        <w:rPr>
          <w:sz w:val="28"/>
          <w:szCs w:val="28"/>
        </w:rPr>
      </w:pPr>
      <w:r w:rsidRPr="007B596E">
        <w:rPr>
          <w:sz w:val="28"/>
          <w:szCs w:val="28"/>
        </w:rPr>
        <w:t xml:space="preserve">The Commission is and remains deeply concerned that current models of funding, taken together with the impact of Brexit, may threaten the independence and autonomy of civil society organisations and diminish their ability to hold public authorities to account, while </w:t>
      </w:r>
      <w:r w:rsidR="00394745" w:rsidRPr="007B596E">
        <w:rPr>
          <w:sz w:val="28"/>
          <w:szCs w:val="28"/>
        </w:rPr>
        <w:t>also meaning that they have fewer</w:t>
      </w:r>
      <w:r w:rsidRPr="007B596E">
        <w:rPr>
          <w:sz w:val="28"/>
          <w:szCs w:val="28"/>
        </w:rPr>
        <w:t xml:space="preserve"> resources available for people who need support. </w:t>
      </w:r>
    </w:p>
    <w:p w14:paraId="276227F0" w14:textId="77777777" w:rsidR="00D54661" w:rsidRPr="007B596E" w:rsidRDefault="00D54661" w:rsidP="00BD18F7">
      <w:pPr>
        <w:ind w:left="-426" w:right="-188"/>
        <w:rPr>
          <w:sz w:val="28"/>
          <w:szCs w:val="28"/>
        </w:rPr>
      </w:pPr>
    </w:p>
    <w:p w14:paraId="7BA2E41F" w14:textId="4F8434CB" w:rsidR="0046367F" w:rsidRPr="007B596E" w:rsidRDefault="00D54661" w:rsidP="00BD18F7">
      <w:pPr>
        <w:ind w:left="-426" w:right="-188"/>
        <w:rPr>
          <w:sz w:val="28"/>
          <w:szCs w:val="28"/>
        </w:rPr>
      </w:pPr>
      <w:r w:rsidRPr="007B596E">
        <w:rPr>
          <w:sz w:val="28"/>
          <w:szCs w:val="28"/>
        </w:rPr>
        <w:t>A further, well</w:t>
      </w:r>
      <w:r w:rsidR="001742F7" w:rsidRPr="007B596E">
        <w:rPr>
          <w:sz w:val="28"/>
          <w:szCs w:val="28"/>
        </w:rPr>
        <w:t>-</w:t>
      </w:r>
      <w:r w:rsidRPr="007B596E">
        <w:rPr>
          <w:sz w:val="28"/>
          <w:szCs w:val="28"/>
        </w:rPr>
        <w:t>recognised constraint on the third sector derives from the culture of short term cycles of funding which place unnecessary limited constraints on the potential working practices of many third sector organisations.</w:t>
      </w:r>
    </w:p>
    <w:p w14:paraId="33167379" w14:textId="77777777" w:rsidR="00A34B4F" w:rsidRPr="007B596E" w:rsidRDefault="00A34B4F" w:rsidP="00A34B4F">
      <w:pPr>
        <w:pStyle w:val="bullet"/>
        <w:numPr>
          <w:ilvl w:val="0"/>
          <w:numId w:val="0"/>
        </w:numPr>
        <w:ind w:left="-284"/>
        <w:rPr>
          <w:sz w:val="28"/>
          <w:szCs w:val="28"/>
        </w:rPr>
      </w:pPr>
    </w:p>
    <w:p w14:paraId="40632A0F" w14:textId="77777777" w:rsidR="007B596E" w:rsidRDefault="007B596E">
      <w:pPr>
        <w:autoSpaceDE/>
        <w:autoSpaceDN/>
        <w:adjustRightInd/>
        <w:rPr>
          <w:b/>
          <w:bCs/>
          <w:sz w:val="28"/>
          <w:szCs w:val="28"/>
        </w:rPr>
      </w:pPr>
      <w:r>
        <w:rPr>
          <w:sz w:val="28"/>
          <w:szCs w:val="28"/>
        </w:rPr>
        <w:br w:type="page"/>
      </w:r>
    </w:p>
    <w:p w14:paraId="7F58A652" w14:textId="21792A94" w:rsidR="00100117" w:rsidRPr="007B596E" w:rsidRDefault="002E37AB" w:rsidP="00C54669">
      <w:pPr>
        <w:pStyle w:val="questionheading"/>
        <w:rPr>
          <w:b w:val="0"/>
          <w:sz w:val="28"/>
          <w:szCs w:val="28"/>
        </w:rPr>
      </w:pPr>
      <w:r w:rsidRPr="007B596E">
        <w:rPr>
          <w:sz w:val="28"/>
          <w:szCs w:val="28"/>
        </w:rPr>
        <w:lastRenderedPageBreak/>
        <w:t xml:space="preserve">Question 7: </w:t>
      </w:r>
      <w:r w:rsidR="00100117" w:rsidRPr="007B596E">
        <w:rPr>
          <w:b w:val="0"/>
          <w:sz w:val="28"/>
          <w:szCs w:val="28"/>
        </w:rPr>
        <w:t xml:space="preserve">What changes could be made to improve accountability for national priorities being delivered by the public sector in partnership with the third sector? </w:t>
      </w:r>
    </w:p>
    <w:p w14:paraId="06F18EEE" w14:textId="52B27737" w:rsidR="00BD18F7" w:rsidRPr="007B596E" w:rsidRDefault="00BD18F7" w:rsidP="00BD18F7">
      <w:pPr>
        <w:ind w:left="-426"/>
        <w:rPr>
          <w:sz w:val="28"/>
          <w:szCs w:val="28"/>
        </w:rPr>
      </w:pPr>
      <w:r w:rsidRPr="007B596E">
        <w:rPr>
          <w:sz w:val="28"/>
          <w:szCs w:val="28"/>
        </w:rPr>
        <w:t xml:space="preserve">The promotion of accountability for meeting obligations is continuous in a human rights based approach. Accountability means monitoring, review and oversight of what is actually going on. A human rights compliant fiscal framework requires </w:t>
      </w:r>
      <w:r w:rsidRPr="007B596E">
        <w:rPr>
          <w:iCs/>
          <w:sz w:val="28"/>
          <w:szCs w:val="28"/>
        </w:rPr>
        <w:t xml:space="preserve">accountability </w:t>
      </w:r>
      <w:r w:rsidRPr="007B596E">
        <w:rPr>
          <w:sz w:val="28"/>
          <w:szCs w:val="28"/>
        </w:rPr>
        <w:t>mechanisms that are both proactive and reactive. Proactive mechanisms allow participation at the point of design and reactive measure</w:t>
      </w:r>
      <w:r w:rsidR="001742F7" w:rsidRPr="007B596E">
        <w:rPr>
          <w:sz w:val="28"/>
          <w:szCs w:val="28"/>
        </w:rPr>
        <w:t>s</w:t>
      </w:r>
      <w:r w:rsidRPr="007B596E">
        <w:rPr>
          <w:sz w:val="28"/>
          <w:szCs w:val="28"/>
        </w:rPr>
        <w:t xml:space="preserve"> enable aggrieved parties to raise their concerns regarding budgetary decisions. </w:t>
      </w:r>
      <w:r w:rsidR="001742F7" w:rsidRPr="007B596E">
        <w:rPr>
          <w:sz w:val="28"/>
          <w:szCs w:val="28"/>
        </w:rPr>
        <w:t>Judicial and non-judicial remedies are critical to a</w:t>
      </w:r>
      <w:r w:rsidRPr="007B596E">
        <w:rPr>
          <w:sz w:val="28"/>
          <w:szCs w:val="28"/>
        </w:rPr>
        <w:t>ccountability  and these are only useful if people know they can use them, and have effective access to them.</w:t>
      </w:r>
    </w:p>
    <w:p w14:paraId="7C04ECBD" w14:textId="77777777" w:rsidR="00BD18F7" w:rsidRPr="007B596E" w:rsidRDefault="00BD18F7" w:rsidP="00BD18F7">
      <w:pPr>
        <w:ind w:left="-426"/>
        <w:rPr>
          <w:sz w:val="28"/>
          <w:szCs w:val="28"/>
        </w:rPr>
      </w:pPr>
    </w:p>
    <w:p w14:paraId="63FB1C46" w14:textId="050942C6" w:rsidR="00BD18F7" w:rsidRPr="007B596E" w:rsidRDefault="00BD18F7" w:rsidP="00BD18F7">
      <w:pPr>
        <w:ind w:left="-426"/>
        <w:rPr>
          <w:sz w:val="28"/>
          <w:szCs w:val="28"/>
        </w:rPr>
      </w:pPr>
      <w:r w:rsidRPr="007B596E">
        <w:rPr>
          <w:sz w:val="28"/>
          <w:szCs w:val="28"/>
        </w:rPr>
        <w:t>Fiscal policies are perceived to be inaccessible to most people</w:t>
      </w:r>
      <w:r w:rsidR="001742F7" w:rsidRPr="007B596E">
        <w:rPr>
          <w:sz w:val="28"/>
          <w:szCs w:val="28"/>
        </w:rPr>
        <w:t xml:space="preserve">. However, </w:t>
      </w:r>
      <w:r w:rsidRPr="007B596E">
        <w:rPr>
          <w:sz w:val="28"/>
          <w:szCs w:val="28"/>
        </w:rPr>
        <w:t xml:space="preserve"> public participation can contribute to a more open relationship between government and civil society and lead to both a more balanced distribution of public resources and greater accountability for national priorities being delivered by the public sector in partnership with the third sector. </w:t>
      </w:r>
    </w:p>
    <w:p w14:paraId="33788EF5" w14:textId="77777777" w:rsidR="0029366B" w:rsidRPr="007B596E" w:rsidRDefault="0029366B" w:rsidP="00BD18F7">
      <w:pPr>
        <w:ind w:left="-426"/>
        <w:rPr>
          <w:sz w:val="28"/>
          <w:szCs w:val="28"/>
        </w:rPr>
      </w:pPr>
    </w:p>
    <w:p w14:paraId="33112B91" w14:textId="586F0029" w:rsidR="00394745" w:rsidRDefault="00394745" w:rsidP="00BD18F7">
      <w:pPr>
        <w:ind w:left="-426"/>
        <w:rPr>
          <w:sz w:val="28"/>
          <w:szCs w:val="28"/>
        </w:rPr>
      </w:pPr>
      <w:r w:rsidRPr="007B596E">
        <w:rPr>
          <w:sz w:val="28"/>
          <w:szCs w:val="28"/>
        </w:rPr>
        <w:t xml:space="preserve">The Commission also believes that the development of a publicly accessible human-rights tracker tool which incorporates </w:t>
      </w:r>
      <w:r w:rsidR="00A01898" w:rsidRPr="007B596E">
        <w:rPr>
          <w:sz w:val="28"/>
          <w:szCs w:val="28"/>
        </w:rPr>
        <w:t xml:space="preserve">the outstanding recommendations made by UN Treaty Bodies alongside </w:t>
      </w:r>
      <w:r w:rsidRPr="007B596E">
        <w:rPr>
          <w:sz w:val="28"/>
          <w:szCs w:val="28"/>
        </w:rPr>
        <w:t>our commitments in SNAP</w:t>
      </w:r>
      <w:r w:rsidR="007537AB" w:rsidRPr="007B596E">
        <w:rPr>
          <w:sz w:val="28"/>
          <w:szCs w:val="28"/>
        </w:rPr>
        <w:t>,</w:t>
      </w:r>
      <w:r w:rsidRPr="007B596E">
        <w:rPr>
          <w:sz w:val="28"/>
          <w:szCs w:val="28"/>
        </w:rPr>
        <w:t xml:space="preserve"> the N</w:t>
      </w:r>
      <w:r w:rsidR="007537AB" w:rsidRPr="007B596E">
        <w:rPr>
          <w:sz w:val="28"/>
          <w:szCs w:val="28"/>
        </w:rPr>
        <w:t xml:space="preserve">ational </w:t>
      </w:r>
      <w:r w:rsidRPr="007B596E">
        <w:rPr>
          <w:sz w:val="28"/>
          <w:szCs w:val="28"/>
        </w:rPr>
        <w:t>P</w:t>
      </w:r>
      <w:r w:rsidR="007537AB" w:rsidRPr="007B596E">
        <w:rPr>
          <w:sz w:val="28"/>
          <w:szCs w:val="28"/>
        </w:rPr>
        <w:t xml:space="preserve">erformance </w:t>
      </w:r>
      <w:r w:rsidRPr="007B596E">
        <w:rPr>
          <w:sz w:val="28"/>
          <w:szCs w:val="28"/>
        </w:rPr>
        <w:t>F</w:t>
      </w:r>
      <w:r w:rsidR="007537AB" w:rsidRPr="007B596E">
        <w:rPr>
          <w:sz w:val="28"/>
          <w:szCs w:val="28"/>
        </w:rPr>
        <w:t>ramework</w:t>
      </w:r>
      <w:r w:rsidRPr="007B596E">
        <w:rPr>
          <w:sz w:val="28"/>
          <w:szCs w:val="28"/>
        </w:rPr>
        <w:t xml:space="preserve"> and delivery of the Sustainable Development Goals would add greatly to accountabil</w:t>
      </w:r>
      <w:r w:rsidR="007537AB" w:rsidRPr="007B596E">
        <w:rPr>
          <w:sz w:val="28"/>
          <w:szCs w:val="28"/>
        </w:rPr>
        <w:t>i</w:t>
      </w:r>
      <w:r w:rsidRPr="007B596E">
        <w:rPr>
          <w:sz w:val="28"/>
          <w:szCs w:val="28"/>
        </w:rPr>
        <w:t>ty mechanisms in this area.</w:t>
      </w:r>
    </w:p>
    <w:p w14:paraId="35660B53" w14:textId="6A1F7ADE" w:rsidR="00FE70B1" w:rsidRDefault="00FE70B1" w:rsidP="00BD18F7">
      <w:pPr>
        <w:ind w:left="-426"/>
        <w:rPr>
          <w:sz w:val="28"/>
          <w:szCs w:val="28"/>
        </w:rPr>
      </w:pPr>
    </w:p>
    <w:p w14:paraId="54B9835E" w14:textId="0A9C684C" w:rsidR="00FE70B1" w:rsidRPr="007B596E" w:rsidRDefault="00FE70B1" w:rsidP="00BD18F7">
      <w:pPr>
        <w:ind w:left="-426"/>
        <w:rPr>
          <w:sz w:val="28"/>
          <w:szCs w:val="28"/>
        </w:rPr>
      </w:pPr>
      <w:r>
        <w:rPr>
          <w:sz w:val="28"/>
          <w:szCs w:val="28"/>
        </w:rPr>
        <w:t>……………………..</w:t>
      </w:r>
    </w:p>
    <w:p w14:paraId="34C115FE" w14:textId="77777777" w:rsidR="0029366B" w:rsidRPr="007B596E" w:rsidRDefault="0029366B" w:rsidP="00BD18F7">
      <w:pPr>
        <w:ind w:left="-426"/>
        <w:rPr>
          <w:sz w:val="28"/>
          <w:szCs w:val="28"/>
        </w:rPr>
      </w:pPr>
    </w:p>
    <w:p w14:paraId="6E759394" w14:textId="77777777" w:rsidR="00E35684" w:rsidRPr="007B596E" w:rsidRDefault="00E35684" w:rsidP="00BD18F7">
      <w:pPr>
        <w:ind w:left="-426"/>
        <w:rPr>
          <w:sz w:val="28"/>
          <w:szCs w:val="28"/>
        </w:rPr>
      </w:pPr>
      <w:r w:rsidRPr="007B596E">
        <w:rPr>
          <w:sz w:val="28"/>
          <w:szCs w:val="28"/>
        </w:rPr>
        <w:t>The Commission welcomes any questions the Committee may have about the content of this submission and would welcome the opportunity to discuss further through oral evidence.</w:t>
      </w:r>
    </w:p>
    <w:p w14:paraId="2FAB7A98" w14:textId="77777777" w:rsidR="00BD18F7" w:rsidRPr="007B596E" w:rsidRDefault="00BD18F7" w:rsidP="00BD18F7">
      <w:pPr>
        <w:ind w:left="-426" w:right="-188"/>
        <w:rPr>
          <w:sz w:val="28"/>
          <w:szCs w:val="28"/>
        </w:rPr>
      </w:pPr>
    </w:p>
    <w:p w14:paraId="608AED5D" w14:textId="77777777" w:rsidR="00A84538" w:rsidRPr="007B596E" w:rsidRDefault="00A84538" w:rsidP="00BD18F7">
      <w:pPr>
        <w:ind w:left="-426" w:right="-188"/>
        <w:rPr>
          <w:sz w:val="28"/>
          <w:szCs w:val="28"/>
        </w:rPr>
      </w:pPr>
      <w:r w:rsidRPr="007B596E">
        <w:rPr>
          <w:sz w:val="28"/>
          <w:szCs w:val="28"/>
        </w:rPr>
        <w:t>End</w:t>
      </w:r>
      <w:r w:rsidR="001742F7" w:rsidRPr="007B596E">
        <w:rPr>
          <w:sz w:val="28"/>
          <w:szCs w:val="28"/>
        </w:rPr>
        <w:t>s</w:t>
      </w:r>
    </w:p>
    <w:p w14:paraId="4CC0E1F3" w14:textId="77777777" w:rsidR="009A570B" w:rsidRPr="007B596E" w:rsidRDefault="00A84538" w:rsidP="00BD18F7">
      <w:pPr>
        <w:ind w:left="-426" w:right="-188"/>
        <w:rPr>
          <w:sz w:val="28"/>
          <w:szCs w:val="28"/>
        </w:rPr>
      </w:pPr>
      <w:r w:rsidRPr="007B596E">
        <w:rPr>
          <w:sz w:val="28"/>
          <w:szCs w:val="28"/>
        </w:rPr>
        <w:t>Scottish Human Rights Commission</w:t>
      </w:r>
    </w:p>
    <w:sectPr w:rsidR="009A570B" w:rsidRPr="007B596E" w:rsidSect="00DC1C9C">
      <w:headerReference w:type="even" r:id="rId11"/>
      <w:headerReference w:type="default" r:id="rId12"/>
      <w:footerReference w:type="even" r:id="rId13"/>
      <w:footerReference w:type="default" r:id="rId14"/>
      <w:headerReference w:type="first" r:id="rId15"/>
      <w:footerReference w:type="first" r:id="rId16"/>
      <w:pgSz w:w="11906" w:h="16838" w:code="9"/>
      <w:pgMar w:top="1135"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0417" w14:textId="77777777" w:rsidR="00A241A9" w:rsidRDefault="00A241A9" w:rsidP="00263839">
      <w:r>
        <w:separator/>
      </w:r>
    </w:p>
    <w:p w14:paraId="21E6A991" w14:textId="77777777" w:rsidR="00A241A9" w:rsidRDefault="00A241A9"/>
  </w:endnote>
  <w:endnote w:type="continuationSeparator" w:id="0">
    <w:p w14:paraId="18237327" w14:textId="77777777" w:rsidR="00A241A9" w:rsidRDefault="00A241A9" w:rsidP="00263839">
      <w:r>
        <w:continuationSeparator/>
      </w:r>
    </w:p>
    <w:p w14:paraId="23056F58" w14:textId="77777777" w:rsidR="00A241A9" w:rsidRDefault="00A24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2F9C" w14:textId="77777777" w:rsidR="005D0A79" w:rsidRDefault="005D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830882"/>
      <w:docPartObj>
        <w:docPartGallery w:val="Page Numbers (Bottom of Page)"/>
        <w:docPartUnique/>
      </w:docPartObj>
    </w:sdtPr>
    <w:sdtEndPr>
      <w:rPr>
        <w:color w:val="7F7F7F" w:themeColor="background1" w:themeShade="7F"/>
        <w:spacing w:val="60"/>
      </w:rPr>
    </w:sdtEndPr>
    <w:sdtContent>
      <w:p w14:paraId="2079AD8D" w14:textId="5DD6801D" w:rsidR="00D61E84" w:rsidRDefault="00D61E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51A39">
          <w:rPr>
            <w:noProof/>
          </w:rPr>
          <w:t>1</w:t>
        </w:r>
        <w:r>
          <w:rPr>
            <w:noProof/>
          </w:rPr>
          <w:fldChar w:fldCharType="end"/>
        </w:r>
        <w:r>
          <w:t xml:space="preserve"> | </w:t>
        </w:r>
        <w:r>
          <w:rPr>
            <w:color w:val="7F7F7F" w:themeColor="background1" w:themeShade="7F"/>
            <w:spacing w:val="60"/>
          </w:rPr>
          <w:t>Page</w:t>
        </w:r>
      </w:p>
    </w:sdtContent>
  </w:sdt>
  <w:p w14:paraId="7703BE7B" w14:textId="77777777" w:rsidR="00D61E84" w:rsidRDefault="00D61E84">
    <w:pPr>
      <w:pStyle w:val="Footer"/>
    </w:pPr>
  </w:p>
  <w:p w14:paraId="65AF60BA" w14:textId="77777777" w:rsidR="00D61E84" w:rsidRDefault="00D61E8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0CB3" w14:textId="77777777" w:rsidR="005D0A79" w:rsidRDefault="005D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A0AE5" w14:textId="77777777" w:rsidR="00A241A9" w:rsidRDefault="00A241A9" w:rsidP="00263839">
      <w:r>
        <w:separator/>
      </w:r>
    </w:p>
    <w:p w14:paraId="79F0CF0D" w14:textId="77777777" w:rsidR="00A241A9" w:rsidRDefault="00A241A9"/>
  </w:footnote>
  <w:footnote w:type="continuationSeparator" w:id="0">
    <w:p w14:paraId="1DA99B48" w14:textId="77777777" w:rsidR="00A241A9" w:rsidRDefault="00A241A9" w:rsidP="00263839">
      <w:r>
        <w:continuationSeparator/>
      </w:r>
    </w:p>
    <w:p w14:paraId="0EB6D21B" w14:textId="77777777" w:rsidR="00A241A9" w:rsidRDefault="00A241A9"/>
  </w:footnote>
  <w:footnote w:id="1">
    <w:p w14:paraId="0DBCD029" w14:textId="47F2A514" w:rsidR="0059613D" w:rsidRPr="007B596E" w:rsidRDefault="0059613D" w:rsidP="007B596E">
      <w:pPr>
        <w:ind w:left="-426"/>
        <w:rPr>
          <w:b/>
          <w:kern w:val="24"/>
          <w:sz w:val="18"/>
          <w:szCs w:val="18"/>
        </w:rPr>
      </w:pPr>
      <w:r w:rsidRPr="00D63067">
        <w:rPr>
          <w:rStyle w:val="FootnoteReference"/>
          <w:sz w:val="20"/>
          <w:szCs w:val="20"/>
        </w:rPr>
        <w:footnoteRef/>
      </w:r>
      <w:r w:rsidRPr="00D63067">
        <w:rPr>
          <w:sz w:val="20"/>
          <w:szCs w:val="20"/>
        </w:rPr>
        <w:t xml:space="preserve"> </w:t>
      </w:r>
      <w:r w:rsidRPr="00FA328D">
        <w:rPr>
          <w:sz w:val="18"/>
          <w:szCs w:val="18"/>
        </w:rPr>
        <w:t>Sources included: Getting it Right? A comprehensive research report into human rights in Scotland; United Nations human rights treaty body recommendations relating to Scotland; Sustainable Development Goals, Outputs from a National Participation Process that took place in 2017 and other sources as appropriate to each theme.</w:t>
      </w:r>
    </w:p>
  </w:footnote>
  <w:footnote w:id="2">
    <w:p w14:paraId="69BC1FEE" w14:textId="1EDB1D81" w:rsidR="003A407A" w:rsidRDefault="003A407A" w:rsidP="003A407A">
      <w:pPr>
        <w:pStyle w:val="FootnoteText"/>
        <w:ind w:left="-426"/>
      </w:pPr>
      <w:r>
        <w:rPr>
          <w:rStyle w:val="FootnoteReference"/>
        </w:rPr>
        <w:footnoteRef/>
      </w:r>
      <w:r>
        <w:t xml:space="preserve"> For further details of </w:t>
      </w:r>
      <w:r w:rsidR="00041F67">
        <w:t>SNAP</w:t>
      </w:r>
      <w:r>
        <w:t xml:space="preserve"> please visit the SNAP website: </w:t>
      </w:r>
      <w:hyperlink r:id="rId1" w:history="1">
        <w:r w:rsidRPr="007F1C97">
          <w:rPr>
            <w:rStyle w:val="Hyperlink"/>
          </w:rPr>
          <w:t>http://www.snaprights.info/</w:t>
        </w:r>
      </w:hyperlink>
      <w:r>
        <w:t xml:space="preserve">  </w:t>
      </w:r>
    </w:p>
  </w:footnote>
  <w:footnote w:id="3">
    <w:p w14:paraId="7121E891" w14:textId="77777777" w:rsidR="00D61E84" w:rsidRDefault="00D61E84" w:rsidP="00046336">
      <w:pPr>
        <w:pStyle w:val="FootnoteText"/>
        <w:ind w:left="-426"/>
      </w:pPr>
      <w:r>
        <w:rPr>
          <w:rStyle w:val="FootnoteReference"/>
        </w:rPr>
        <w:footnoteRef/>
      </w:r>
      <w:r>
        <w:t xml:space="preserve"> See </w:t>
      </w:r>
      <w:hyperlink r:id="rId2" w:history="1">
        <w:r w:rsidRPr="00F369B9">
          <w:rPr>
            <w:rStyle w:val="Hyperlink"/>
          </w:rPr>
          <w:t>https://rm.coe.int/16806da952</w:t>
        </w:r>
      </w:hyperlink>
      <w:r>
        <w:t xml:space="preserve"> </w:t>
      </w:r>
    </w:p>
  </w:footnote>
  <w:footnote w:id="4">
    <w:p w14:paraId="779D3A53" w14:textId="77777777" w:rsidR="00E2278A" w:rsidRDefault="00E2278A" w:rsidP="00E2278A">
      <w:pPr>
        <w:pStyle w:val="FootnoteText"/>
        <w:ind w:left="-426"/>
      </w:pPr>
      <w:r>
        <w:rPr>
          <w:rStyle w:val="FootnoteReference"/>
        </w:rPr>
        <w:footnoteRef/>
      </w:r>
      <w:r>
        <w:t xml:space="preserve"> See </w:t>
      </w:r>
      <w:hyperlink r:id="rId3" w:history="1">
        <w:r w:rsidRPr="00F369B9">
          <w:rPr>
            <w:rStyle w:val="Hyperlink"/>
          </w:rPr>
          <w:t>http://www.snaprights.info/wp-content/uploads/2019/07/SNAP-Evaluation-vFinal-16-July-2019.docx</w:t>
        </w:r>
      </w:hyperlink>
      <w:r>
        <w:t xml:space="preserve"> </w:t>
      </w:r>
    </w:p>
  </w:footnote>
  <w:footnote w:id="5">
    <w:p w14:paraId="48EDF958" w14:textId="60A2D543" w:rsidR="00E2278A" w:rsidRDefault="00E2278A" w:rsidP="00E2278A">
      <w:pPr>
        <w:pStyle w:val="FootnoteText"/>
        <w:ind w:left="-426"/>
      </w:pPr>
      <w:r>
        <w:rPr>
          <w:rStyle w:val="FootnoteReference"/>
        </w:rPr>
        <w:footnoteRef/>
      </w:r>
      <w:r>
        <w:t xml:space="preserve"> This work is due for publication next spring when the 2019 global results are published.</w:t>
      </w:r>
      <w:r w:rsidR="00916F46">
        <w:t xml:space="preserve"> More information on the OBI can be found here: </w:t>
      </w:r>
      <w:hyperlink r:id="rId4" w:history="1">
        <w:r w:rsidR="00916F46" w:rsidRPr="004B67F7">
          <w:rPr>
            <w:rStyle w:val="Hyperlink"/>
          </w:rPr>
          <w:t>https://www.internationalbudget.org/open-budget-survey/open-budget-index-rankings/</w:t>
        </w:r>
      </w:hyperlink>
      <w:r w:rsidR="00916F46">
        <w:t xml:space="preserve"> </w:t>
      </w:r>
    </w:p>
  </w:footnote>
  <w:footnote w:id="6">
    <w:p w14:paraId="0F1088F0" w14:textId="77777777" w:rsidR="00D61E84" w:rsidRDefault="00D61E84" w:rsidP="00A3123F">
      <w:pPr>
        <w:pStyle w:val="FootnoteText"/>
        <w:ind w:left="-426"/>
      </w:pPr>
      <w:r>
        <w:rPr>
          <w:rStyle w:val="FootnoteReference"/>
        </w:rPr>
        <w:footnoteRef/>
      </w:r>
      <w:r>
        <w:t xml:space="preserve"> See </w:t>
      </w:r>
      <w:hyperlink r:id="rId5" w:history="1">
        <w:r w:rsidRPr="00A930B8">
          <w:rPr>
            <w:rStyle w:val="Hyperlink"/>
          </w:rPr>
          <w:t>https://fraserofallander.org/scottish-economy/budget/how-does-the-scottish-government-assess-the-impact-of-its-budget-on-tackling-child-poverty/</w:t>
        </w:r>
      </w:hyperlink>
      <w:r>
        <w:t xml:space="preserve"> </w:t>
      </w:r>
    </w:p>
  </w:footnote>
  <w:footnote w:id="7">
    <w:p w14:paraId="086221E1" w14:textId="77777777" w:rsidR="00D61E84" w:rsidRDefault="00D61E84" w:rsidP="00A3123F">
      <w:pPr>
        <w:pStyle w:val="FootnoteText"/>
        <w:ind w:left="-426"/>
      </w:pPr>
      <w:r>
        <w:rPr>
          <w:rStyle w:val="FootnoteReference"/>
        </w:rPr>
        <w:footnoteRef/>
      </w:r>
      <w:r>
        <w:t xml:space="preserve"> See </w:t>
      </w:r>
      <w:hyperlink r:id="rId6" w:history="1">
        <w:r w:rsidRPr="00A930B8">
          <w:rPr>
            <w:rStyle w:val="Hyperlink"/>
          </w:rPr>
          <w:t>https://povertyinequality.scot/wp-content/uploads/2019/05/Poverty-and-Inequality-Commissions-response-to-the-Scottish-Budget.pdf</w:t>
        </w:r>
      </w:hyperlink>
      <w:r>
        <w:t xml:space="preserve"> </w:t>
      </w:r>
    </w:p>
  </w:footnote>
  <w:footnote w:id="8">
    <w:p w14:paraId="37BA5B2D" w14:textId="7CD1416D" w:rsidR="000507AE" w:rsidRDefault="000507AE" w:rsidP="00E2278A">
      <w:pPr>
        <w:pStyle w:val="FootnoteText"/>
        <w:ind w:left="-426"/>
      </w:pPr>
      <w:r>
        <w:rPr>
          <w:rStyle w:val="FootnoteReference"/>
        </w:rPr>
        <w:footnoteRef/>
      </w:r>
      <w:r>
        <w:t xml:space="preserve"> See </w:t>
      </w:r>
      <w:hyperlink r:id="rId7" w:history="1">
        <w:r w:rsidR="00E2278A" w:rsidRPr="004B67F7">
          <w:rPr>
            <w:rStyle w:val="Hyperlink"/>
          </w:rPr>
          <w:t>https://www.gov.scot/publications/scotlands-open-government-action-plan-2018-20/pages/2/</w:t>
        </w:r>
      </w:hyperlink>
      <w:r w:rsidR="00E2278A">
        <w:t xml:space="preserve"> </w:t>
      </w:r>
    </w:p>
  </w:footnote>
  <w:footnote w:id="9">
    <w:p w14:paraId="0348AE29" w14:textId="77777777" w:rsidR="00D61E84" w:rsidRDefault="00D61E84" w:rsidP="00A3123F">
      <w:pPr>
        <w:pStyle w:val="FootnoteText"/>
        <w:ind w:left="-426"/>
      </w:pPr>
      <w:r>
        <w:rPr>
          <w:rStyle w:val="FootnoteReference"/>
        </w:rPr>
        <w:footnoteRef/>
      </w:r>
      <w:r>
        <w:t xml:space="preserve"> See </w:t>
      </w:r>
      <w:hyperlink r:id="rId8" w:history="1">
        <w:r w:rsidRPr="00A930B8">
          <w:rPr>
            <w:rStyle w:val="Hyperlink"/>
          </w:rPr>
          <w:t>http://www.scottishhumanrights.com/media/1569/shrc_uprfactsheet5_social_care.pdf</w:t>
        </w:r>
      </w:hyperlink>
      <w:r>
        <w:t xml:space="preserve"> </w:t>
      </w:r>
    </w:p>
  </w:footnote>
  <w:footnote w:id="10">
    <w:p w14:paraId="164E0216" w14:textId="77777777" w:rsidR="00D61E84" w:rsidRDefault="00D61E84" w:rsidP="00A3123F">
      <w:pPr>
        <w:pStyle w:val="FootnoteText"/>
        <w:ind w:left="-426"/>
      </w:pPr>
      <w:r>
        <w:rPr>
          <w:rStyle w:val="FootnoteReference"/>
        </w:rPr>
        <w:footnoteRef/>
      </w:r>
      <w:r>
        <w:t xml:space="preserve"> Data sources accessed here: </w:t>
      </w:r>
      <w:hyperlink r:id="rId9" w:history="1">
        <w:r w:rsidRPr="00A930B8">
          <w:rPr>
            <w:rStyle w:val="Hyperlink"/>
          </w:rPr>
          <w:t>https://www.parliament.scot/parliamentarybusiness/82102.aspx</w:t>
        </w:r>
      </w:hyperlink>
      <w:r>
        <w:t xml:space="preserve"> </w:t>
      </w:r>
    </w:p>
  </w:footnote>
  <w:footnote w:id="11">
    <w:p w14:paraId="49B2B965" w14:textId="77777777" w:rsidR="00D61E84" w:rsidRDefault="00D61E84" w:rsidP="001404EB">
      <w:pPr>
        <w:pStyle w:val="FootnoteText"/>
        <w:ind w:left="-426"/>
      </w:pPr>
      <w:r>
        <w:rPr>
          <w:rStyle w:val="FootnoteReference"/>
        </w:rPr>
        <w:footnoteRef/>
      </w:r>
      <w:r>
        <w:t xml:space="preserve"> </w:t>
      </w:r>
      <w:hyperlink r:id="rId10" w:history="1">
        <w:r w:rsidRPr="00A930B8">
          <w:rPr>
            <w:rStyle w:val="Hyperlink"/>
          </w:rPr>
          <w:t>https://www.ohchr.org/EN/Issues/SRHRDefenders/Pages/Declaration.aspx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ED88" w14:textId="77777777" w:rsidR="005D0A79" w:rsidRDefault="005D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0F36" w14:textId="378AEBEE" w:rsidR="005D0A79" w:rsidRDefault="005D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135C" w14:textId="77777777" w:rsidR="005D0A79" w:rsidRDefault="005D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99062A"/>
    <w:multiLevelType w:val="hybridMultilevel"/>
    <w:tmpl w:val="59D2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A40A6"/>
    <w:multiLevelType w:val="hybridMultilevel"/>
    <w:tmpl w:val="E4506914"/>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3" w15:restartNumberingAfterBreak="0">
    <w:nsid w:val="10095B7F"/>
    <w:multiLevelType w:val="hybridMultilevel"/>
    <w:tmpl w:val="2F926A74"/>
    <w:lvl w:ilvl="0" w:tplc="66B21716">
      <w:start w:val="1"/>
      <w:numFmt w:val="bullet"/>
      <w:pStyle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69C17EB"/>
    <w:multiLevelType w:val="hybridMultilevel"/>
    <w:tmpl w:val="9334AD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5450209"/>
    <w:multiLevelType w:val="hybridMultilevel"/>
    <w:tmpl w:val="693A7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32F95"/>
    <w:multiLevelType w:val="hybridMultilevel"/>
    <w:tmpl w:val="4AC4CD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1CD3F2F"/>
    <w:multiLevelType w:val="hybridMultilevel"/>
    <w:tmpl w:val="79DEDE9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684358E"/>
    <w:multiLevelType w:val="hybridMultilevel"/>
    <w:tmpl w:val="AFE6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82637"/>
    <w:multiLevelType w:val="hybridMultilevel"/>
    <w:tmpl w:val="0BE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B23BC"/>
    <w:multiLevelType w:val="hybridMultilevel"/>
    <w:tmpl w:val="350C9814"/>
    <w:lvl w:ilvl="0" w:tplc="C22467B0">
      <w:start w:val="1"/>
      <w:numFmt w:val="bullet"/>
      <w:lvlText w:val="•"/>
      <w:lvlJc w:val="left"/>
      <w:pPr>
        <w:tabs>
          <w:tab w:val="num" w:pos="720"/>
        </w:tabs>
        <w:ind w:left="720" w:hanging="360"/>
      </w:pPr>
      <w:rPr>
        <w:rFonts w:ascii="Arial" w:hAnsi="Arial" w:hint="default"/>
      </w:rPr>
    </w:lvl>
    <w:lvl w:ilvl="1" w:tplc="392A5BDA" w:tentative="1">
      <w:start w:val="1"/>
      <w:numFmt w:val="bullet"/>
      <w:lvlText w:val="•"/>
      <w:lvlJc w:val="left"/>
      <w:pPr>
        <w:tabs>
          <w:tab w:val="num" w:pos="1440"/>
        </w:tabs>
        <w:ind w:left="1440" w:hanging="360"/>
      </w:pPr>
      <w:rPr>
        <w:rFonts w:ascii="Arial" w:hAnsi="Arial" w:hint="default"/>
      </w:rPr>
    </w:lvl>
    <w:lvl w:ilvl="2" w:tplc="27763222" w:tentative="1">
      <w:start w:val="1"/>
      <w:numFmt w:val="bullet"/>
      <w:lvlText w:val="•"/>
      <w:lvlJc w:val="left"/>
      <w:pPr>
        <w:tabs>
          <w:tab w:val="num" w:pos="2160"/>
        </w:tabs>
        <w:ind w:left="2160" w:hanging="360"/>
      </w:pPr>
      <w:rPr>
        <w:rFonts w:ascii="Arial" w:hAnsi="Arial" w:hint="default"/>
      </w:rPr>
    </w:lvl>
    <w:lvl w:ilvl="3" w:tplc="B8FE7EEA" w:tentative="1">
      <w:start w:val="1"/>
      <w:numFmt w:val="bullet"/>
      <w:lvlText w:val="•"/>
      <w:lvlJc w:val="left"/>
      <w:pPr>
        <w:tabs>
          <w:tab w:val="num" w:pos="2880"/>
        </w:tabs>
        <w:ind w:left="2880" w:hanging="360"/>
      </w:pPr>
      <w:rPr>
        <w:rFonts w:ascii="Arial" w:hAnsi="Arial" w:hint="default"/>
      </w:rPr>
    </w:lvl>
    <w:lvl w:ilvl="4" w:tplc="595A2660" w:tentative="1">
      <w:start w:val="1"/>
      <w:numFmt w:val="bullet"/>
      <w:lvlText w:val="•"/>
      <w:lvlJc w:val="left"/>
      <w:pPr>
        <w:tabs>
          <w:tab w:val="num" w:pos="3600"/>
        </w:tabs>
        <w:ind w:left="3600" w:hanging="360"/>
      </w:pPr>
      <w:rPr>
        <w:rFonts w:ascii="Arial" w:hAnsi="Arial" w:hint="default"/>
      </w:rPr>
    </w:lvl>
    <w:lvl w:ilvl="5" w:tplc="9BA6C5DA" w:tentative="1">
      <w:start w:val="1"/>
      <w:numFmt w:val="bullet"/>
      <w:lvlText w:val="•"/>
      <w:lvlJc w:val="left"/>
      <w:pPr>
        <w:tabs>
          <w:tab w:val="num" w:pos="4320"/>
        </w:tabs>
        <w:ind w:left="4320" w:hanging="360"/>
      </w:pPr>
      <w:rPr>
        <w:rFonts w:ascii="Arial" w:hAnsi="Arial" w:hint="default"/>
      </w:rPr>
    </w:lvl>
    <w:lvl w:ilvl="6" w:tplc="D4B488CA" w:tentative="1">
      <w:start w:val="1"/>
      <w:numFmt w:val="bullet"/>
      <w:lvlText w:val="•"/>
      <w:lvlJc w:val="left"/>
      <w:pPr>
        <w:tabs>
          <w:tab w:val="num" w:pos="5040"/>
        </w:tabs>
        <w:ind w:left="5040" w:hanging="360"/>
      </w:pPr>
      <w:rPr>
        <w:rFonts w:ascii="Arial" w:hAnsi="Arial" w:hint="default"/>
      </w:rPr>
    </w:lvl>
    <w:lvl w:ilvl="7" w:tplc="47C00568" w:tentative="1">
      <w:start w:val="1"/>
      <w:numFmt w:val="bullet"/>
      <w:lvlText w:val="•"/>
      <w:lvlJc w:val="left"/>
      <w:pPr>
        <w:tabs>
          <w:tab w:val="num" w:pos="5760"/>
        </w:tabs>
        <w:ind w:left="5760" w:hanging="360"/>
      </w:pPr>
      <w:rPr>
        <w:rFonts w:ascii="Arial" w:hAnsi="Arial" w:hint="default"/>
      </w:rPr>
    </w:lvl>
    <w:lvl w:ilvl="8" w:tplc="D8D89A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176FD8"/>
    <w:multiLevelType w:val="hybridMultilevel"/>
    <w:tmpl w:val="0D14308A"/>
    <w:lvl w:ilvl="0" w:tplc="6A8CD3FC">
      <w:start w:val="1"/>
      <w:numFmt w:val="bullet"/>
      <w:lvlText w:val="•"/>
      <w:lvlJc w:val="left"/>
      <w:pPr>
        <w:tabs>
          <w:tab w:val="num" w:pos="720"/>
        </w:tabs>
        <w:ind w:left="720" w:hanging="360"/>
      </w:pPr>
      <w:rPr>
        <w:rFonts w:ascii="Arial" w:hAnsi="Arial" w:hint="default"/>
      </w:rPr>
    </w:lvl>
    <w:lvl w:ilvl="1" w:tplc="17BCDC36" w:tentative="1">
      <w:start w:val="1"/>
      <w:numFmt w:val="bullet"/>
      <w:lvlText w:val="•"/>
      <w:lvlJc w:val="left"/>
      <w:pPr>
        <w:tabs>
          <w:tab w:val="num" w:pos="1440"/>
        </w:tabs>
        <w:ind w:left="1440" w:hanging="360"/>
      </w:pPr>
      <w:rPr>
        <w:rFonts w:ascii="Arial" w:hAnsi="Arial" w:hint="default"/>
      </w:rPr>
    </w:lvl>
    <w:lvl w:ilvl="2" w:tplc="A8CE596A" w:tentative="1">
      <w:start w:val="1"/>
      <w:numFmt w:val="bullet"/>
      <w:lvlText w:val="•"/>
      <w:lvlJc w:val="left"/>
      <w:pPr>
        <w:tabs>
          <w:tab w:val="num" w:pos="2160"/>
        </w:tabs>
        <w:ind w:left="2160" w:hanging="360"/>
      </w:pPr>
      <w:rPr>
        <w:rFonts w:ascii="Arial" w:hAnsi="Arial" w:hint="default"/>
      </w:rPr>
    </w:lvl>
    <w:lvl w:ilvl="3" w:tplc="B686DF22" w:tentative="1">
      <w:start w:val="1"/>
      <w:numFmt w:val="bullet"/>
      <w:lvlText w:val="•"/>
      <w:lvlJc w:val="left"/>
      <w:pPr>
        <w:tabs>
          <w:tab w:val="num" w:pos="2880"/>
        </w:tabs>
        <w:ind w:left="2880" w:hanging="360"/>
      </w:pPr>
      <w:rPr>
        <w:rFonts w:ascii="Arial" w:hAnsi="Arial" w:hint="default"/>
      </w:rPr>
    </w:lvl>
    <w:lvl w:ilvl="4" w:tplc="B9DE1BFE" w:tentative="1">
      <w:start w:val="1"/>
      <w:numFmt w:val="bullet"/>
      <w:lvlText w:val="•"/>
      <w:lvlJc w:val="left"/>
      <w:pPr>
        <w:tabs>
          <w:tab w:val="num" w:pos="3600"/>
        </w:tabs>
        <w:ind w:left="3600" w:hanging="360"/>
      </w:pPr>
      <w:rPr>
        <w:rFonts w:ascii="Arial" w:hAnsi="Arial" w:hint="default"/>
      </w:rPr>
    </w:lvl>
    <w:lvl w:ilvl="5" w:tplc="1F00B130" w:tentative="1">
      <w:start w:val="1"/>
      <w:numFmt w:val="bullet"/>
      <w:lvlText w:val="•"/>
      <w:lvlJc w:val="left"/>
      <w:pPr>
        <w:tabs>
          <w:tab w:val="num" w:pos="4320"/>
        </w:tabs>
        <w:ind w:left="4320" w:hanging="360"/>
      </w:pPr>
      <w:rPr>
        <w:rFonts w:ascii="Arial" w:hAnsi="Arial" w:hint="default"/>
      </w:rPr>
    </w:lvl>
    <w:lvl w:ilvl="6" w:tplc="2B70D8AE" w:tentative="1">
      <w:start w:val="1"/>
      <w:numFmt w:val="bullet"/>
      <w:lvlText w:val="•"/>
      <w:lvlJc w:val="left"/>
      <w:pPr>
        <w:tabs>
          <w:tab w:val="num" w:pos="5040"/>
        </w:tabs>
        <w:ind w:left="5040" w:hanging="360"/>
      </w:pPr>
      <w:rPr>
        <w:rFonts w:ascii="Arial" w:hAnsi="Arial" w:hint="default"/>
      </w:rPr>
    </w:lvl>
    <w:lvl w:ilvl="7" w:tplc="46D2471A" w:tentative="1">
      <w:start w:val="1"/>
      <w:numFmt w:val="bullet"/>
      <w:lvlText w:val="•"/>
      <w:lvlJc w:val="left"/>
      <w:pPr>
        <w:tabs>
          <w:tab w:val="num" w:pos="5760"/>
        </w:tabs>
        <w:ind w:left="5760" w:hanging="360"/>
      </w:pPr>
      <w:rPr>
        <w:rFonts w:ascii="Arial" w:hAnsi="Arial" w:hint="default"/>
      </w:rPr>
    </w:lvl>
    <w:lvl w:ilvl="8" w:tplc="45F4FA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9C5216"/>
    <w:multiLevelType w:val="hybridMultilevel"/>
    <w:tmpl w:val="EDDA446E"/>
    <w:lvl w:ilvl="0" w:tplc="A5F6803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2331E"/>
    <w:multiLevelType w:val="hybridMultilevel"/>
    <w:tmpl w:val="7FEE2AB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AF82C4B"/>
    <w:multiLevelType w:val="multilevel"/>
    <w:tmpl w:val="C8F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71F17BAD"/>
    <w:multiLevelType w:val="hybridMultilevel"/>
    <w:tmpl w:val="EB2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D2967"/>
    <w:multiLevelType w:val="hybridMultilevel"/>
    <w:tmpl w:val="23F823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79E5089D"/>
    <w:multiLevelType w:val="hybridMultilevel"/>
    <w:tmpl w:val="26608F08"/>
    <w:lvl w:ilvl="0" w:tplc="8D4E8EBC">
      <w:start w:val="1"/>
      <w:numFmt w:val="bullet"/>
      <w:lvlText w:val="•"/>
      <w:lvlJc w:val="left"/>
      <w:pPr>
        <w:tabs>
          <w:tab w:val="num" w:pos="720"/>
        </w:tabs>
        <w:ind w:left="720" w:hanging="360"/>
      </w:pPr>
      <w:rPr>
        <w:rFonts w:ascii="Arial" w:hAnsi="Arial" w:hint="default"/>
      </w:rPr>
    </w:lvl>
    <w:lvl w:ilvl="1" w:tplc="5E5425AE" w:tentative="1">
      <w:start w:val="1"/>
      <w:numFmt w:val="bullet"/>
      <w:lvlText w:val="•"/>
      <w:lvlJc w:val="left"/>
      <w:pPr>
        <w:tabs>
          <w:tab w:val="num" w:pos="1440"/>
        </w:tabs>
        <w:ind w:left="1440" w:hanging="360"/>
      </w:pPr>
      <w:rPr>
        <w:rFonts w:ascii="Arial" w:hAnsi="Arial" w:hint="default"/>
      </w:rPr>
    </w:lvl>
    <w:lvl w:ilvl="2" w:tplc="D93EC3D4" w:tentative="1">
      <w:start w:val="1"/>
      <w:numFmt w:val="bullet"/>
      <w:lvlText w:val="•"/>
      <w:lvlJc w:val="left"/>
      <w:pPr>
        <w:tabs>
          <w:tab w:val="num" w:pos="2160"/>
        </w:tabs>
        <w:ind w:left="2160" w:hanging="360"/>
      </w:pPr>
      <w:rPr>
        <w:rFonts w:ascii="Arial" w:hAnsi="Arial" w:hint="default"/>
      </w:rPr>
    </w:lvl>
    <w:lvl w:ilvl="3" w:tplc="5218F654" w:tentative="1">
      <w:start w:val="1"/>
      <w:numFmt w:val="bullet"/>
      <w:lvlText w:val="•"/>
      <w:lvlJc w:val="left"/>
      <w:pPr>
        <w:tabs>
          <w:tab w:val="num" w:pos="2880"/>
        </w:tabs>
        <w:ind w:left="2880" w:hanging="360"/>
      </w:pPr>
      <w:rPr>
        <w:rFonts w:ascii="Arial" w:hAnsi="Arial" w:hint="default"/>
      </w:rPr>
    </w:lvl>
    <w:lvl w:ilvl="4" w:tplc="9C2819D8" w:tentative="1">
      <w:start w:val="1"/>
      <w:numFmt w:val="bullet"/>
      <w:lvlText w:val="•"/>
      <w:lvlJc w:val="left"/>
      <w:pPr>
        <w:tabs>
          <w:tab w:val="num" w:pos="3600"/>
        </w:tabs>
        <w:ind w:left="3600" w:hanging="360"/>
      </w:pPr>
      <w:rPr>
        <w:rFonts w:ascii="Arial" w:hAnsi="Arial" w:hint="default"/>
      </w:rPr>
    </w:lvl>
    <w:lvl w:ilvl="5" w:tplc="DE342A90" w:tentative="1">
      <w:start w:val="1"/>
      <w:numFmt w:val="bullet"/>
      <w:lvlText w:val="•"/>
      <w:lvlJc w:val="left"/>
      <w:pPr>
        <w:tabs>
          <w:tab w:val="num" w:pos="4320"/>
        </w:tabs>
        <w:ind w:left="4320" w:hanging="360"/>
      </w:pPr>
      <w:rPr>
        <w:rFonts w:ascii="Arial" w:hAnsi="Arial" w:hint="default"/>
      </w:rPr>
    </w:lvl>
    <w:lvl w:ilvl="6" w:tplc="58F2B764" w:tentative="1">
      <w:start w:val="1"/>
      <w:numFmt w:val="bullet"/>
      <w:lvlText w:val="•"/>
      <w:lvlJc w:val="left"/>
      <w:pPr>
        <w:tabs>
          <w:tab w:val="num" w:pos="5040"/>
        </w:tabs>
        <w:ind w:left="5040" w:hanging="360"/>
      </w:pPr>
      <w:rPr>
        <w:rFonts w:ascii="Arial" w:hAnsi="Arial" w:hint="default"/>
      </w:rPr>
    </w:lvl>
    <w:lvl w:ilvl="7" w:tplc="09A67454" w:tentative="1">
      <w:start w:val="1"/>
      <w:numFmt w:val="bullet"/>
      <w:lvlText w:val="•"/>
      <w:lvlJc w:val="left"/>
      <w:pPr>
        <w:tabs>
          <w:tab w:val="num" w:pos="5760"/>
        </w:tabs>
        <w:ind w:left="5760" w:hanging="360"/>
      </w:pPr>
      <w:rPr>
        <w:rFonts w:ascii="Arial" w:hAnsi="Arial" w:hint="default"/>
      </w:rPr>
    </w:lvl>
    <w:lvl w:ilvl="8" w:tplc="491AF2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E0D0C"/>
    <w:multiLevelType w:val="hybridMultilevel"/>
    <w:tmpl w:val="7F984B9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5"/>
  </w:num>
  <w:num w:numId="2">
    <w:abstractNumId w:val="0"/>
  </w:num>
  <w:num w:numId="3">
    <w:abstractNumId w:val="0"/>
  </w:num>
  <w:num w:numId="4">
    <w:abstractNumId w:val="0"/>
  </w:num>
  <w:num w:numId="5">
    <w:abstractNumId w:val="15"/>
  </w:num>
  <w:num w:numId="6">
    <w:abstractNumId w:val="0"/>
  </w:num>
  <w:num w:numId="7">
    <w:abstractNumId w:val="14"/>
  </w:num>
  <w:num w:numId="8">
    <w:abstractNumId w:val="5"/>
  </w:num>
  <w:num w:numId="9">
    <w:abstractNumId w:val="1"/>
  </w:num>
  <w:num w:numId="10">
    <w:abstractNumId w:val="9"/>
  </w:num>
  <w:num w:numId="11">
    <w:abstractNumId w:val="2"/>
  </w:num>
  <w:num w:numId="12">
    <w:abstractNumId w:val="12"/>
  </w:num>
  <w:num w:numId="13">
    <w:abstractNumId w:val="8"/>
  </w:num>
  <w:num w:numId="14">
    <w:abstractNumId w:val="11"/>
  </w:num>
  <w:num w:numId="15">
    <w:abstractNumId w:val="18"/>
  </w:num>
  <w:num w:numId="16">
    <w:abstractNumId w:val="10"/>
  </w:num>
  <w:num w:numId="17">
    <w:abstractNumId w:val="16"/>
  </w:num>
  <w:num w:numId="18">
    <w:abstractNumId w:val="13"/>
  </w:num>
  <w:num w:numId="19">
    <w:abstractNumId w:val="4"/>
  </w:num>
  <w:num w:numId="20">
    <w:abstractNumId w:val="19"/>
  </w:num>
  <w:num w:numId="21">
    <w:abstractNumId w:val="3"/>
  </w:num>
  <w:num w:numId="22">
    <w:abstractNumId w:val="6"/>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4D"/>
    <w:rsid w:val="00010F7F"/>
    <w:rsid w:val="00014B23"/>
    <w:rsid w:val="00027A79"/>
    <w:rsid w:val="00027C27"/>
    <w:rsid w:val="000349A8"/>
    <w:rsid w:val="00041F67"/>
    <w:rsid w:val="00046336"/>
    <w:rsid w:val="000507AE"/>
    <w:rsid w:val="00051A39"/>
    <w:rsid w:val="00063EB3"/>
    <w:rsid w:val="00070A8E"/>
    <w:rsid w:val="0008615F"/>
    <w:rsid w:val="00087151"/>
    <w:rsid w:val="00087CC3"/>
    <w:rsid w:val="0009788E"/>
    <w:rsid w:val="000C0CF4"/>
    <w:rsid w:val="000C29B3"/>
    <w:rsid w:val="000D3F3F"/>
    <w:rsid w:val="000D4C94"/>
    <w:rsid w:val="000E5488"/>
    <w:rsid w:val="000E571F"/>
    <w:rsid w:val="00100117"/>
    <w:rsid w:val="001404EB"/>
    <w:rsid w:val="00141FE3"/>
    <w:rsid w:val="00160AAF"/>
    <w:rsid w:val="001742F7"/>
    <w:rsid w:val="00194867"/>
    <w:rsid w:val="001B4181"/>
    <w:rsid w:val="001C18AF"/>
    <w:rsid w:val="001E4054"/>
    <w:rsid w:val="001E468C"/>
    <w:rsid w:val="001F3199"/>
    <w:rsid w:val="002000C2"/>
    <w:rsid w:val="0024638E"/>
    <w:rsid w:val="00263839"/>
    <w:rsid w:val="0026414C"/>
    <w:rsid w:val="00274DDD"/>
    <w:rsid w:val="00281579"/>
    <w:rsid w:val="0029366B"/>
    <w:rsid w:val="002E37AB"/>
    <w:rsid w:val="002E696C"/>
    <w:rsid w:val="003032CF"/>
    <w:rsid w:val="00306C61"/>
    <w:rsid w:val="0032676C"/>
    <w:rsid w:val="0036054B"/>
    <w:rsid w:val="0037582B"/>
    <w:rsid w:val="00384583"/>
    <w:rsid w:val="00394745"/>
    <w:rsid w:val="003A407A"/>
    <w:rsid w:val="003A796D"/>
    <w:rsid w:val="003A7CBA"/>
    <w:rsid w:val="003D4D39"/>
    <w:rsid w:val="003E3D93"/>
    <w:rsid w:val="0046367F"/>
    <w:rsid w:val="004A132E"/>
    <w:rsid w:val="004B3080"/>
    <w:rsid w:val="004B334D"/>
    <w:rsid w:val="004E61EB"/>
    <w:rsid w:val="005443E4"/>
    <w:rsid w:val="00573702"/>
    <w:rsid w:val="0059613D"/>
    <w:rsid w:val="005A3F5B"/>
    <w:rsid w:val="005D0A79"/>
    <w:rsid w:val="005E4B67"/>
    <w:rsid w:val="005E7A4C"/>
    <w:rsid w:val="00623474"/>
    <w:rsid w:val="00627CAA"/>
    <w:rsid w:val="00671302"/>
    <w:rsid w:val="00676894"/>
    <w:rsid w:val="00682814"/>
    <w:rsid w:val="00692866"/>
    <w:rsid w:val="00693AB0"/>
    <w:rsid w:val="00696A2F"/>
    <w:rsid w:val="006A0CE3"/>
    <w:rsid w:val="006D0D3F"/>
    <w:rsid w:val="006F1264"/>
    <w:rsid w:val="006F2D77"/>
    <w:rsid w:val="006F422A"/>
    <w:rsid w:val="0070728A"/>
    <w:rsid w:val="00714C46"/>
    <w:rsid w:val="0071688D"/>
    <w:rsid w:val="007537AB"/>
    <w:rsid w:val="007649C7"/>
    <w:rsid w:val="0076758F"/>
    <w:rsid w:val="00775ED1"/>
    <w:rsid w:val="00793731"/>
    <w:rsid w:val="007B596E"/>
    <w:rsid w:val="007C4A9F"/>
    <w:rsid w:val="007D70CA"/>
    <w:rsid w:val="007E3E65"/>
    <w:rsid w:val="00813C93"/>
    <w:rsid w:val="008249A5"/>
    <w:rsid w:val="00857548"/>
    <w:rsid w:val="00873828"/>
    <w:rsid w:val="00884C96"/>
    <w:rsid w:val="008F4914"/>
    <w:rsid w:val="009013C8"/>
    <w:rsid w:val="0091436B"/>
    <w:rsid w:val="00916F46"/>
    <w:rsid w:val="00936097"/>
    <w:rsid w:val="00952E3D"/>
    <w:rsid w:val="00953ADE"/>
    <w:rsid w:val="0095591E"/>
    <w:rsid w:val="00962210"/>
    <w:rsid w:val="00980B4D"/>
    <w:rsid w:val="009A570B"/>
    <w:rsid w:val="009B7615"/>
    <w:rsid w:val="009D2BE8"/>
    <w:rsid w:val="00A01898"/>
    <w:rsid w:val="00A044B0"/>
    <w:rsid w:val="00A241A9"/>
    <w:rsid w:val="00A3123F"/>
    <w:rsid w:val="00A31E8E"/>
    <w:rsid w:val="00A34B4F"/>
    <w:rsid w:val="00A43F7B"/>
    <w:rsid w:val="00A52C0A"/>
    <w:rsid w:val="00A65F49"/>
    <w:rsid w:val="00A8132F"/>
    <w:rsid w:val="00A84538"/>
    <w:rsid w:val="00A8533E"/>
    <w:rsid w:val="00A91D3A"/>
    <w:rsid w:val="00A929C6"/>
    <w:rsid w:val="00AD676E"/>
    <w:rsid w:val="00AE6AEF"/>
    <w:rsid w:val="00AE7841"/>
    <w:rsid w:val="00B235EE"/>
    <w:rsid w:val="00B33CD7"/>
    <w:rsid w:val="00B372C5"/>
    <w:rsid w:val="00B5150A"/>
    <w:rsid w:val="00B51BDC"/>
    <w:rsid w:val="00B54F7D"/>
    <w:rsid w:val="00B561C0"/>
    <w:rsid w:val="00B74837"/>
    <w:rsid w:val="00B773CE"/>
    <w:rsid w:val="00B84EC6"/>
    <w:rsid w:val="00B97E0B"/>
    <w:rsid w:val="00BD18F7"/>
    <w:rsid w:val="00C35BD8"/>
    <w:rsid w:val="00C42691"/>
    <w:rsid w:val="00C52C18"/>
    <w:rsid w:val="00C54669"/>
    <w:rsid w:val="00C57558"/>
    <w:rsid w:val="00C64763"/>
    <w:rsid w:val="00C80D26"/>
    <w:rsid w:val="00C879A8"/>
    <w:rsid w:val="00C91823"/>
    <w:rsid w:val="00C91AD0"/>
    <w:rsid w:val="00C92BBE"/>
    <w:rsid w:val="00CC4B28"/>
    <w:rsid w:val="00CF6A48"/>
    <w:rsid w:val="00CF7D7E"/>
    <w:rsid w:val="00D008AB"/>
    <w:rsid w:val="00D07EF2"/>
    <w:rsid w:val="00D2035C"/>
    <w:rsid w:val="00D32606"/>
    <w:rsid w:val="00D54661"/>
    <w:rsid w:val="00D54D9E"/>
    <w:rsid w:val="00D56A24"/>
    <w:rsid w:val="00D61E84"/>
    <w:rsid w:val="00D63067"/>
    <w:rsid w:val="00D75F3F"/>
    <w:rsid w:val="00D909F9"/>
    <w:rsid w:val="00DC1C9C"/>
    <w:rsid w:val="00DF1330"/>
    <w:rsid w:val="00DF3E1E"/>
    <w:rsid w:val="00E2278A"/>
    <w:rsid w:val="00E35684"/>
    <w:rsid w:val="00E83776"/>
    <w:rsid w:val="00EA4309"/>
    <w:rsid w:val="00EB4A85"/>
    <w:rsid w:val="00EC2D7E"/>
    <w:rsid w:val="00EE2125"/>
    <w:rsid w:val="00EE75EE"/>
    <w:rsid w:val="00F143EF"/>
    <w:rsid w:val="00F21C64"/>
    <w:rsid w:val="00F27E88"/>
    <w:rsid w:val="00F464BF"/>
    <w:rsid w:val="00F63B97"/>
    <w:rsid w:val="00F72E95"/>
    <w:rsid w:val="00F730F8"/>
    <w:rsid w:val="00F9353A"/>
    <w:rsid w:val="00F94A73"/>
    <w:rsid w:val="00FA328D"/>
    <w:rsid w:val="00FA4BC1"/>
    <w:rsid w:val="00FD611D"/>
    <w:rsid w:val="00FD711D"/>
    <w:rsid w:val="00FE70B1"/>
    <w:rsid w:val="00FE7ACB"/>
    <w:rsid w:val="00FE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D472D"/>
  <w15:chartTrackingRefBased/>
  <w15:docId w15:val="{0A3FFCD9-E79A-4DE1-B5EA-79297A52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AB"/>
    <w:pPr>
      <w:autoSpaceDE w:val="0"/>
      <w:autoSpaceDN w:val="0"/>
      <w:adjustRightInd w:val="0"/>
    </w:pPr>
    <w:rPr>
      <w:rFonts w:cstheme="minorHAnsi"/>
      <w:color w:val="000000"/>
      <w:sz w:val="24"/>
      <w:szCs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ing11">
    <w:name w:val="Heading 11"/>
    <w:basedOn w:val="Normal"/>
    <w:link w:val="heading1Char0"/>
    <w:qFormat/>
    <w:rsid w:val="009D2BE8"/>
    <w:rPr>
      <w:b/>
    </w:rPr>
  </w:style>
  <w:style w:type="paragraph" w:styleId="Title">
    <w:name w:val="Title"/>
    <w:basedOn w:val="Normal"/>
    <w:next w:val="Normal"/>
    <w:link w:val="TitleChar"/>
    <w:uiPriority w:val="10"/>
    <w:qFormat/>
    <w:rsid w:val="00C64763"/>
    <w:pPr>
      <w:jc w:val="center"/>
    </w:pPr>
    <w:rPr>
      <w:rFonts w:cs="Arial"/>
      <w:b/>
      <w:bCs/>
      <w:sz w:val="36"/>
    </w:rPr>
  </w:style>
  <w:style w:type="character" w:customStyle="1" w:styleId="heading1Char0">
    <w:name w:val="heading 1 Char"/>
    <w:basedOn w:val="DefaultParagraphFont"/>
    <w:link w:val="Heading11"/>
    <w:rsid w:val="009D2BE8"/>
    <w:rPr>
      <w:rFonts w:cstheme="minorHAnsi"/>
      <w:b/>
      <w:color w:val="000000"/>
      <w:sz w:val="24"/>
      <w:szCs w:val="24"/>
    </w:rPr>
  </w:style>
  <w:style w:type="character" w:customStyle="1" w:styleId="TitleChar">
    <w:name w:val="Title Char"/>
    <w:basedOn w:val="DefaultParagraphFont"/>
    <w:link w:val="Title"/>
    <w:uiPriority w:val="10"/>
    <w:rsid w:val="00C64763"/>
    <w:rPr>
      <w:rFonts w:cs="Arial"/>
      <w:b/>
      <w:bCs/>
      <w:color w:val="000000"/>
      <w:sz w:val="36"/>
      <w:szCs w:val="24"/>
    </w:rPr>
  </w:style>
  <w:style w:type="character" w:styleId="Hyperlink">
    <w:name w:val="Hyperlink"/>
    <w:basedOn w:val="DefaultParagraphFont"/>
    <w:uiPriority w:val="99"/>
    <w:unhideWhenUsed/>
    <w:rsid w:val="00CF6A48"/>
    <w:rPr>
      <w:color w:val="0563C1" w:themeColor="hyperlink"/>
      <w:u w:val="single"/>
    </w:rPr>
  </w:style>
  <w:style w:type="character" w:styleId="FollowedHyperlink">
    <w:name w:val="FollowedHyperlink"/>
    <w:basedOn w:val="DefaultParagraphFont"/>
    <w:uiPriority w:val="99"/>
    <w:semiHidden/>
    <w:unhideWhenUsed/>
    <w:rsid w:val="00CF6A48"/>
    <w:rPr>
      <w:color w:val="954F72" w:themeColor="followedHyperlink"/>
      <w:u w:val="single"/>
    </w:rPr>
  </w:style>
  <w:style w:type="paragraph" w:styleId="NormalWeb">
    <w:name w:val="Normal (Web)"/>
    <w:basedOn w:val="Normal"/>
    <w:uiPriority w:val="99"/>
    <w:unhideWhenUsed/>
    <w:rsid w:val="00CF6A48"/>
    <w:pPr>
      <w:autoSpaceDE/>
      <w:autoSpaceDN/>
      <w:adjustRightInd/>
      <w:spacing w:after="150"/>
    </w:pPr>
    <w:rPr>
      <w:rFonts w:ascii="Times New Roman" w:hAnsi="Times New Roman" w:cs="Times New Roman"/>
      <w:color w:val="auto"/>
      <w:lang w:eastAsia="en-GB"/>
    </w:rPr>
  </w:style>
  <w:style w:type="character" w:styleId="Emphasis">
    <w:name w:val="Emphasis"/>
    <w:basedOn w:val="DefaultParagraphFont"/>
    <w:uiPriority w:val="20"/>
    <w:qFormat/>
    <w:rsid w:val="00CF6A48"/>
    <w:rPr>
      <w:i/>
      <w:iCs/>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CF6A48"/>
    <w:pPr>
      <w:ind w:left="720"/>
      <w:contextualSpacing/>
    </w:pPr>
  </w:style>
  <w:style w:type="paragraph" w:styleId="EndnoteText">
    <w:name w:val="endnote text"/>
    <w:basedOn w:val="Normal"/>
    <w:link w:val="EndnoteTextChar"/>
    <w:uiPriority w:val="99"/>
    <w:semiHidden/>
    <w:unhideWhenUsed/>
    <w:rsid w:val="00263839"/>
    <w:pPr>
      <w:tabs>
        <w:tab w:val="left" w:pos="720"/>
        <w:tab w:val="left" w:pos="1440"/>
        <w:tab w:val="left" w:pos="2160"/>
        <w:tab w:val="left" w:pos="2880"/>
        <w:tab w:val="left" w:pos="4680"/>
        <w:tab w:val="left" w:pos="5400"/>
        <w:tab w:val="right" w:pos="9000"/>
      </w:tabs>
      <w:autoSpaceDE/>
      <w:autoSpaceDN/>
      <w:adjustRightInd/>
      <w:jc w:val="both"/>
    </w:pPr>
    <w:rPr>
      <w:rFonts w:ascii="Arial" w:hAnsi="Arial" w:cs="Times New Roman"/>
      <w:color w:val="auto"/>
      <w:sz w:val="20"/>
      <w:szCs w:val="20"/>
    </w:rPr>
  </w:style>
  <w:style w:type="character" w:customStyle="1" w:styleId="EndnoteTextChar">
    <w:name w:val="Endnote Text Char"/>
    <w:basedOn w:val="DefaultParagraphFont"/>
    <w:link w:val="EndnoteText"/>
    <w:uiPriority w:val="99"/>
    <w:semiHidden/>
    <w:rsid w:val="00263839"/>
    <w:rPr>
      <w:rFonts w:ascii="Arial" w:hAnsi="Arial" w:cs="Times New Roman"/>
      <w:sz w:val="20"/>
      <w:szCs w:val="20"/>
    </w:rPr>
  </w:style>
  <w:style w:type="character" w:styleId="EndnoteReference">
    <w:name w:val="endnote reference"/>
    <w:basedOn w:val="DefaultParagraphFont"/>
    <w:uiPriority w:val="99"/>
    <w:semiHidden/>
    <w:unhideWhenUsed/>
    <w:rsid w:val="00263839"/>
    <w:rPr>
      <w:vertAlign w:val="superscript"/>
    </w:rPr>
  </w:style>
  <w:style w:type="paragraph" w:customStyle="1" w:styleId="Default">
    <w:name w:val="Default"/>
    <w:rsid w:val="00693AB0"/>
    <w:pPr>
      <w:autoSpaceDE w:val="0"/>
      <w:autoSpaceDN w:val="0"/>
      <w:adjustRightInd w:val="0"/>
    </w:pPr>
    <w:rPr>
      <w:rFonts w:ascii="Arial" w:hAnsi="Arial" w:cs="Arial"/>
      <w:color w:val="000000"/>
      <w:sz w:val="24"/>
      <w:szCs w:val="24"/>
      <w:lang w:eastAsia="en-GB"/>
    </w:rPr>
  </w:style>
  <w:style w:type="paragraph" w:styleId="FootnoteText">
    <w:name w:val="footnote text"/>
    <w:basedOn w:val="Normal"/>
    <w:link w:val="FootnoteTextChar"/>
    <w:uiPriority w:val="99"/>
    <w:semiHidden/>
    <w:unhideWhenUsed/>
    <w:rsid w:val="008F4914"/>
    <w:rPr>
      <w:sz w:val="20"/>
      <w:szCs w:val="20"/>
    </w:rPr>
  </w:style>
  <w:style w:type="character" w:customStyle="1" w:styleId="FootnoteTextChar">
    <w:name w:val="Footnote Text Char"/>
    <w:basedOn w:val="DefaultParagraphFont"/>
    <w:link w:val="FootnoteText"/>
    <w:uiPriority w:val="99"/>
    <w:semiHidden/>
    <w:rsid w:val="008F4914"/>
    <w:rPr>
      <w:rFonts w:cstheme="minorHAnsi"/>
      <w:color w:val="000000"/>
      <w:sz w:val="20"/>
      <w:szCs w:val="20"/>
    </w:rPr>
  </w:style>
  <w:style w:type="character" w:styleId="FootnoteReference">
    <w:name w:val="footnote reference"/>
    <w:basedOn w:val="DefaultParagraphFont"/>
    <w:uiPriority w:val="99"/>
    <w:semiHidden/>
    <w:unhideWhenUsed/>
    <w:rsid w:val="008F4914"/>
    <w:rPr>
      <w:vertAlign w:val="superscript"/>
    </w:rPr>
  </w:style>
  <w:style w:type="character" w:styleId="Strong">
    <w:name w:val="Strong"/>
    <w:basedOn w:val="DefaultParagraphFont"/>
    <w:uiPriority w:val="22"/>
    <w:qFormat/>
    <w:rsid w:val="004E61EB"/>
    <w:rPr>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6F2D77"/>
    <w:rPr>
      <w:rFonts w:cstheme="minorHAnsi"/>
      <w:color w:val="000000"/>
      <w:sz w:val="24"/>
      <w:szCs w:val="24"/>
    </w:rPr>
  </w:style>
  <w:style w:type="paragraph" w:customStyle="1" w:styleId="questionheading">
    <w:name w:val="question heading"/>
    <w:basedOn w:val="Normal"/>
    <w:link w:val="questionheadingChar"/>
    <w:qFormat/>
    <w:rsid w:val="00C54669"/>
    <w:pPr>
      <w:spacing w:after="120"/>
      <w:ind w:left="-426" w:right="-187"/>
    </w:pPr>
    <w:rPr>
      <w:b/>
      <w:bCs/>
    </w:rPr>
  </w:style>
  <w:style w:type="paragraph" w:styleId="NoSpacing">
    <w:name w:val="No Spacing"/>
    <w:uiPriority w:val="1"/>
    <w:qFormat/>
    <w:rsid w:val="00A43F7B"/>
    <w:pPr>
      <w:autoSpaceDE w:val="0"/>
      <w:autoSpaceDN w:val="0"/>
      <w:adjustRightInd w:val="0"/>
    </w:pPr>
    <w:rPr>
      <w:rFonts w:cstheme="minorHAnsi"/>
      <w:color w:val="000000"/>
      <w:sz w:val="24"/>
      <w:szCs w:val="24"/>
    </w:rPr>
  </w:style>
  <w:style w:type="character" w:customStyle="1" w:styleId="questionheadingChar">
    <w:name w:val="question heading Char"/>
    <w:basedOn w:val="DefaultParagraphFont"/>
    <w:link w:val="questionheading"/>
    <w:rsid w:val="00C54669"/>
    <w:rPr>
      <w:rFonts w:cstheme="minorHAnsi"/>
      <w:b/>
      <w:bCs/>
      <w:color w:val="000000"/>
      <w:sz w:val="24"/>
      <w:szCs w:val="24"/>
    </w:rPr>
  </w:style>
  <w:style w:type="paragraph" w:customStyle="1" w:styleId="bullet">
    <w:name w:val="bullet"/>
    <w:basedOn w:val="ListParagraph"/>
    <w:link w:val="bulletChar"/>
    <w:qFormat/>
    <w:rsid w:val="00BD18F7"/>
    <w:pPr>
      <w:numPr>
        <w:numId w:val="21"/>
      </w:numPr>
      <w:ind w:left="-284" w:right="-188" w:hanging="142"/>
    </w:pPr>
  </w:style>
  <w:style w:type="character" w:customStyle="1" w:styleId="bulletChar">
    <w:name w:val="bullet Char"/>
    <w:basedOn w:val="ListParagraphChar"/>
    <w:link w:val="bullet"/>
    <w:rsid w:val="00BD18F7"/>
    <w:rPr>
      <w:rFonts w:cstheme="minorHAnsi"/>
      <w:color w:val="000000"/>
      <w:sz w:val="24"/>
      <w:szCs w:val="24"/>
    </w:rPr>
  </w:style>
  <w:style w:type="paragraph" w:styleId="BalloonText">
    <w:name w:val="Balloon Text"/>
    <w:basedOn w:val="Normal"/>
    <w:link w:val="BalloonTextChar"/>
    <w:uiPriority w:val="99"/>
    <w:semiHidden/>
    <w:unhideWhenUsed/>
    <w:rsid w:val="001E4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054"/>
    <w:rPr>
      <w:rFonts w:ascii="Segoe UI" w:hAnsi="Segoe UI" w:cs="Segoe UI"/>
      <w:color w:val="000000"/>
      <w:sz w:val="18"/>
      <w:szCs w:val="18"/>
    </w:rPr>
  </w:style>
  <w:style w:type="paragraph" w:styleId="Quote">
    <w:name w:val="Quote"/>
    <w:basedOn w:val="Normal"/>
    <w:next w:val="Normal"/>
    <w:link w:val="QuoteChar"/>
    <w:uiPriority w:val="29"/>
    <w:qFormat/>
    <w:rsid w:val="00C54669"/>
    <w:pPr>
      <w:autoSpaceDE/>
      <w:autoSpaceDN/>
      <w:adjustRightInd/>
      <w:spacing w:before="200" w:after="160"/>
      <w:ind w:left="720" w:right="864"/>
    </w:pPr>
    <w:rPr>
      <w:i/>
      <w:iCs/>
      <w:color w:val="auto"/>
      <w:szCs w:val="20"/>
    </w:rPr>
  </w:style>
  <w:style w:type="character" w:customStyle="1" w:styleId="QuoteChar">
    <w:name w:val="Quote Char"/>
    <w:basedOn w:val="DefaultParagraphFont"/>
    <w:link w:val="Quote"/>
    <w:uiPriority w:val="29"/>
    <w:rsid w:val="00C54669"/>
    <w:rPr>
      <w:rFonts w:cstheme="minorHAnsi"/>
      <w:i/>
      <w:iCs/>
      <w:sz w:val="24"/>
      <w:szCs w:val="20"/>
    </w:rPr>
  </w:style>
  <w:style w:type="character" w:styleId="CommentReference">
    <w:name w:val="annotation reference"/>
    <w:basedOn w:val="DefaultParagraphFont"/>
    <w:uiPriority w:val="99"/>
    <w:semiHidden/>
    <w:unhideWhenUsed/>
    <w:rsid w:val="0029366B"/>
    <w:rPr>
      <w:sz w:val="16"/>
      <w:szCs w:val="16"/>
    </w:rPr>
  </w:style>
  <w:style w:type="paragraph" w:styleId="CommentText">
    <w:name w:val="annotation text"/>
    <w:basedOn w:val="Normal"/>
    <w:link w:val="CommentTextChar"/>
    <w:uiPriority w:val="99"/>
    <w:semiHidden/>
    <w:unhideWhenUsed/>
    <w:rsid w:val="0029366B"/>
    <w:rPr>
      <w:sz w:val="20"/>
      <w:szCs w:val="20"/>
    </w:rPr>
  </w:style>
  <w:style w:type="character" w:customStyle="1" w:styleId="CommentTextChar">
    <w:name w:val="Comment Text Char"/>
    <w:basedOn w:val="DefaultParagraphFont"/>
    <w:link w:val="CommentText"/>
    <w:uiPriority w:val="99"/>
    <w:semiHidden/>
    <w:rsid w:val="0029366B"/>
    <w:rPr>
      <w:rFonts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29366B"/>
    <w:rPr>
      <w:b/>
      <w:bCs/>
    </w:rPr>
  </w:style>
  <w:style w:type="character" w:customStyle="1" w:styleId="CommentSubjectChar">
    <w:name w:val="Comment Subject Char"/>
    <w:basedOn w:val="CommentTextChar"/>
    <w:link w:val="CommentSubject"/>
    <w:uiPriority w:val="99"/>
    <w:semiHidden/>
    <w:rsid w:val="0029366B"/>
    <w:rPr>
      <w:rFonts w:cstheme="minorHAnsi"/>
      <w:b/>
      <w:bCs/>
      <w:color w:val="000000"/>
      <w:sz w:val="20"/>
      <w:szCs w:val="20"/>
    </w:rPr>
  </w:style>
  <w:style w:type="paragraph" w:customStyle="1" w:styleId="bullet2">
    <w:name w:val="bullet 2"/>
    <w:basedOn w:val="bullet"/>
    <w:link w:val="bullet2Char"/>
    <w:qFormat/>
    <w:rsid w:val="00160AAF"/>
    <w:pPr>
      <w:ind w:left="142"/>
    </w:pPr>
    <w:rPr>
      <w:b/>
      <w:i/>
    </w:rPr>
  </w:style>
  <w:style w:type="character" w:customStyle="1" w:styleId="bullet2Char">
    <w:name w:val="bullet 2 Char"/>
    <w:basedOn w:val="bulletChar"/>
    <w:link w:val="bullet2"/>
    <w:rsid w:val="00160AAF"/>
    <w:rPr>
      <w:rFonts w:cstheme="minorHAnsi"/>
      <w:b/>
      <w:i/>
      <w:color w:val="000000"/>
      <w:sz w:val="24"/>
      <w:szCs w:val="24"/>
    </w:rPr>
  </w:style>
  <w:style w:type="paragraph" w:styleId="Revision">
    <w:name w:val="Revision"/>
    <w:hidden/>
    <w:uiPriority w:val="99"/>
    <w:semiHidden/>
    <w:rsid w:val="00B5150A"/>
    <w:rPr>
      <w:rFonts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7882">
      <w:bodyDiv w:val="1"/>
      <w:marLeft w:val="0"/>
      <w:marRight w:val="0"/>
      <w:marTop w:val="0"/>
      <w:marBottom w:val="0"/>
      <w:divBdr>
        <w:top w:val="none" w:sz="0" w:space="0" w:color="auto"/>
        <w:left w:val="none" w:sz="0" w:space="0" w:color="auto"/>
        <w:bottom w:val="none" w:sz="0" w:space="0" w:color="auto"/>
        <w:right w:val="none" w:sz="0" w:space="0" w:color="auto"/>
      </w:divBdr>
    </w:div>
    <w:div w:id="126898610">
      <w:bodyDiv w:val="1"/>
      <w:marLeft w:val="0"/>
      <w:marRight w:val="0"/>
      <w:marTop w:val="0"/>
      <w:marBottom w:val="0"/>
      <w:divBdr>
        <w:top w:val="none" w:sz="0" w:space="0" w:color="auto"/>
        <w:left w:val="none" w:sz="0" w:space="0" w:color="auto"/>
        <w:bottom w:val="none" w:sz="0" w:space="0" w:color="auto"/>
        <w:right w:val="none" w:sz="0" w:space="0" w:color="auto"/>
      </w:divBdr>
    </w:div>
    <w:div w:id="186720792">
      <w:bodyDiv w:val="1"/>
      <w:marLeft w:val="0"/>
      <w:marRight w:val="0"/>
      <w:marTop w:val="0"/>
      <w:marBottom w:val="0"/>
      <w:divBdr>
        <w:top w:val="none" w:sz="0" w:space="0" w:color="auto"/>
        <w:left w:val="none" w:sz="0" w:space="0" w:color="auto"/>
        <w:bottom w:val="none" w:sz="0" w:space="0" w:color="auto"/>
        <w:right w:val="none" w:sz="0" w:space="0" w:color="auto"/>
      </w:divBdr>
      <w:divsChild>
        <w:div w:id="881287549">
          <w:marLeft w:val="360"/>
          <w:marRight w:val="0"/>
          <w:marTop w:val="200"/>
          <w:marBottom w:val="0"/>
          <w:divBdr>
            <w:top w:val="none" w:sz="0" w:space="0" w:color="auto"/>
            <w:left w:val="none" w:sz="0" w:space="0" w:color="auto"/>
            <w:bottom w:val="none" w:sz="0" w:space="0" w:color="auto"/>
            <w:right w:val="none" w:sz="0" w:space="0" w:color="auto"/>
          </w:divBdr>
        </w:div>
      </w:divsChild>
    </w:div>
    <w:div w:id="428625109">
      <w:bodyDiv w:val="1"/>
      <w:marLeft w:val="0"/>
      <w:marRight w:val="0"/>
      <w:marTop w:val="0"/>
      <w:marBottom w:val="0"/>
      <w:divBdr>
        <w:top w:val="none" w:sz="0" w:space="0" w:color="auto"/>
        <w:left w:val="none" w:sz="0" w:space="0" w:color="auto"/>
        <w:bottom w:val="none" w:sz="0" w:space="0" w:color="auto"/>
        <w:right w:val="none" w:sz="0" w:space="0" w:color="auto"/>
      </w:divBdr>
      <w:divsChild>
        <w:div w:id="1607078554">
          <w:marLeft w:val="360"/>
          <w:marRight w:val="0"/>
          <w:marTop w:val="200"/>
          <w:marBottom w:val="0"/>
          <w:divBdr>
            <w:top w:val="none" w:sz="0" w:space="0" w:color="auto"/>
            <w:left w:val="none" w:sz="0" w:space="0" w:color="auto"/>
            <w:bottom w:val="none" w:sz="0" w:space="0" w:color="auto"/>
            <w:right w:val="none" w:sz="0" w:space="0" w:color="auto"/>
          </w:divBdr>
        </w:div>
      </w:divsChild>
    </w:div>
    <w:div w:id="464280203">
      <w:bodyDiv w:val="1"/>
      <w:marLeft w:val="0"/>
      <w:marRight w:val="0"/>
      <w:marTop w:val="0"/>
      <w:marBottom w:val="0"/>
      <w:divBdr>
        <w:top w:val="none" w:sz="0" w:space="0" w:color="auto"/>
        <w:left w:val="none" w:sz="0" w:space="0" w:color="auto"/>
        <w:bottom w:val="none" w:sz="0" w:space="0" w:color="auto"/>
        <w:right w:val="none" w:sz="0" w:space="0" w:color="auto"/>
      </w:divBdr>
    </w:div>
    <w:div w:id="564487639">
      <w:bodyDiv w:val="1"/>
      <w:marLeft w:val="0"/>
      <w:marRight w:val="0"/>
      <w:marTop w:val="0"/>
      <w:marBottom w:val="0"/>
      <w:divBdr>
        <w:top w:val="none" w:sz="0" w:space="0" w:color="auto"/>
        <w:left w:val="none" w:sz="0" w:space="0" w:color="auto"/>
        <w:bottom w:val="none" w:sz="0" w:space="0" w:color="auto"/>
        <w:right w:val="none" w:sz="0" w:space="0" w:color="auto"/>
      </w:divBdr>
    </w:div>
    <w:div w:id="810094623">
      <w:bodyDiv w:val="1"/>
      <w:marLeft w:val="0"/>
      <w:marRight w:val="0"/>
      <w:marTop w:val="0"/>
      <w:marBottom w:val="0"/>
      <w:divBdr>
        <w:top w:val="none" w:sz="0" w:space="0" w:color="auto"/>
        <w:left w:val="none" w:sz="0" w:space="0" w:color="auto"/>
        <w:bottom w:val="none" w:sz="0" w:space="0" w:color="auto"/>
        <w:right w:val="none" w:sz="0" w:space="0" w:color="auto"/>
      </w:divBdr>
      <w:divsChild>
        <w:div w:id="1005279520">
          <w:marLeft w:val="360"/>
          <w:marRight w:val="0"/>
          <w:marTop w:val="200"/>
          <w:marBottom w:val="0"/>
          <w:divBdr>
            <w:top w:val="none" w:sz="0" w:space="0" w:color="auto"/>
            <w:left w:val="none" w:sz="0" w:space="0" w:color="auto"/>
            <w:bottom w:val="none" w:sz="0" w:space="0" w:color="auto"/>
            <w:right w:val="none" w:sz="0" w:space="0" w:color="auto"/>
          </w:divBdr>
        </w:div>
      </w:divsChild>
    </w:div>
    <w:div w:id="1268734198">
      <w:bodyDiv w:val="1"/>
      <w:marLeft w:val="0"/>
      <w:marRight w:val="0"/>
      <w:marTop w:val="0"/>
      <w:marBottom w:val="0"/>
      <w:divBdr>
        <w:top w:val="none" w:sz="0" w:space="0" w:color="auto"/>
        <w:left w:val="none" w:sz="0" w:space="0" w:color="auto"/>
        <w:bottom w:val="none" w:sz="0" w:space="0" w:color="auto"/>
        <w:right w:val="none" w:sz="0" w:space="0" w:color="auto"/>
      </w:divBdr>
      <w:divsChild>
        <w:div w:id="441993530">
          <w:marLeft w:val="0"/>
          <w:marRight w:val="0"/>
          <w:marTop w:val="0"/>
          <w:marBottom w:val="0"/>
          <w:divBdr>
            <w:top w:val="none" w:sz="0" w:space="0" w:color="auto"/>
            <w:left w:val="none" w:sz="0" w:space="0" w:color="auto"/>
            <w:bottom w:val="none" w:sz="0" w:space="0" w:color="auto"/>
            <w:right w:val="none" w:sz="0" w:space="0" w:color="auto"/>
          </w:divBdr>
          <w:divsChild>
            <w:div w:id="673335405">
              <w:marLeft w:val="0"/>
              <w:marRight w:val="0"/>
              <w:marTop w:val="0"/>
              <w:marBottom w:val="0"/>
              <w:divBdr>
                <w:top w:val="none" w:sz="0" w:space="0" w:color="auto"/>
                <w:left w:val="none" w:sz="0" w:space="0" w:color="auto"/>
                <w:bottom w:val="none" w:sz="0" w:space="0" w:color="auto"/>
                <w:right w:val="none" w:sz="0" w:space="0" w:color="auto"/>
              </w:divBdr>
              <w:divsChild>
                <w:div w:id="588776332">
                  <w:marLeft w:val="0"/>
                  <w:marRight w:val="0"/>
                  <w:marTop w:val="0"/>
                  <w:marBottom w:val="0"/>
                  <w:divBdr>
                    <w:top w:val="none" w:sz="0" w:space="0" w:color="auto"/>
                    <w:left w:val="none" w:sz="0" w:space="0" w:color="auto"/>
                    <w:bottom w:val="none" w:sz="0" w:space="0" w:color="auto"/>
                    <w:right w:val="none" w:sz="0" w:space="0" w:color="auto"/>
                  </w:divBdr>
                  <w:divsChild>
                    <w:div w:id="1774396386">
                      <w:marLeft w:val="-225"/>
                      <w:marRight w:val="-225"/>
                      <w:marTop w:val="0"/>
                      <w:marBottom w:val="0"/>
                      <w:divBdr>
                        <w:top w:val="none" w:sz="0" w:space="0" w:color="auto"/>
                        <w:left w:val="none" w:sz="0" w:space="0" w:color="auto"/>
                        <w:bottom w:val="none" w:sz="0" w:space="0" w:color="auto"/>
                        <w:right w:val="none" w:sz="0" w:space="0" w:color="auto"/>
                      </w:divBdr>
                      <w:divsChild>
                        <w:div w:id="1444303473">
                          <w:marLeft w:val="0"/>
                          <w:marRight w:val="0"/>
                          <w:marTop w:val="300"/>
                          <w:marBottom w:val="300"/>
                          <w:divBdr>
                            <w:top w:val="none" w:sz="0" w:space="0" w:color="auto"/>
                            <w:left w:val="none" w:sz="0" w:space="0" w:color="auto"/>
                            <w:bottom w:val="none" w:sz="0" w:space="0" w:color="auto"/>
                            <w:right w:val="none" w:sz="0" w:space="0" w:color="auto"/>
                          </w:divBdr>
                          <w:divsChild>
                            <w:div w:id="20511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31544">
      <w:bodyDiv w:val="1"/>
      <w:marLeft w:val="0"/>
      <w:marRight w:val="0"/>
      <w:marTop w:val="0"/>
      <w:marBottom w:val="0"/>
      <w:divBdr>
        <w:top w:val="none" w:sz="0" w:space="0" w:color="auto"/>
        <w:left w:val="none" w:sz="0" w:space="0" w:color="auto"/>
        <w:bottom w:val="none" w:sz="0" w:space="0" w:color="auto"/>
        <w:right w:val="none" w:sz="0" w:space="0" w:color="auto"/>
      </w:divBdr>
    </w:div>
    <w:div w:id="1954701072">
      <w:bodyDiv w:val="1"/>
      <w:marLeft w:val="0"/>
      <w:marRight w:val="0"/>
      <w:marTop w:val="0"/>
      <w:marBottom w:val="0"/>
      <w:divBdr>
        <w:top w:val="none" w:sz="0" w:space="0" w:color="auto"/>
        <w:left w:val="none" w:sz="0" w:space="0" w:color="auto"/>
        <w:bottom w:val="none" w:sz="0" w:space="0" w:color="auto"/>
        <w:right w:val="none" w:sz="0" w:space="0" w:color="auto"/>
      </w:divBdr>
      <w:divsChild>
        <w:div w:id="684866797">
          <w:marLeft w:val="0"/>
          <w:marRight w:val="0"/>
          <w:marTop w:val="0"/>
          <w:marBottom w:val="0"/>
          <w:divBdr>
            <w:top w:val="none" w:sz="0" w:space="0" w:color="auto"/>
            <w:left w:val="none" w:sz="0" w:space="0" w:color="auto"/>
            <w:bottom w:val="none" w:sz="0" w:space="0" w:color="auto"/>
            <w:right w:val="none" w:sz="0" w:space="0" w:color="auto"/>
          </w:divBdr>
          <w:divsChild>
            <w:div w:id="2086491043">
              <w:marLeft w:val="0"/>
              <w:marRight w:val="0"/>
              <w:marTop w:val="0"/>
              <w:marBottom w:val="0"/>
              <w:divBdr>
                <w:top w:val="none" w:sz="0" w:space="0" w:color="auto"/>
                <w:left w:val="none" w:sz="0" w:space="0" w:color="auto"/>
                <w:bottom w:val="none" w:sz="0" w:space="0" w:color="auto"/>
                <w:right w:val="none" w:sz="0" w:space="0" w:color="auto"/>
              </w:divBdr>
              <w:divsChild>
                <w:div w:id="1003553535">
                  <w:marLeft w:val="0"/>
                  <w:marRight w:val="0"/>
                  <w:marTop w:val="0"/>
                  <w:marBottom w:val="0"/>
                  <w:divBdr>
                    <w:top w:val="none" w:sz="0" w:space="0" w:color="auto"/>
                    <w:left w:val="none" w:sz="0" w:space="0" w:color="auto"/>
                    <w:bottom w:val="none" w:sz="0" w:space="0" w:color="auto"/>
                    <w:right w:val="none" w:sz="0" w:space="0" w:color="auto"/>
                  </w:divBdr>
                  <w:divsChild>
                    <w:div w:id="524177548">
                      <w:marLeft w:val="0"/>
                      <w:marRight w:val="0"/>
                      <w:marTop w:val="0"/>
                      <w:marBottom w:val="0"/>
                      <w:divBdr>
                        <w:top w:val="none" w:sz="0" w:space="0" w:color="auto"/>
                        <w:left w:val="none" w:sz="0" w:space="0" w:color="auto"/>
                        <w:bottom w:val="none" w:sz="0" w:space="0" w:color="auto"/>
                        <w:right w:val="none" w:sz="0" w:space="0" w:color="auto"/>
                      </w:divBdr>
                      <w:divsChild>
                        <w:div w:id="248849711">
                          <w:marLeft w:val="0"/>
                          <w:marRight w:val="0"/>
                          <w:marTop w:val="0"/>
                          <w:marBottom w:val="0"/>
                          <w:divBdr>
                            <w:top w:val="none" w:sz="0" w:space="0" w:color="auto"/>
                            <w:left w:val="none" w:sz="0" w:space="0" w:color="auto"/>
                            <w:bottom w:val="none" w:sz="0" w:space="0" w:color="auto"/>
                            <w:right w:val="none" w:sz="0" w:space="0" w:color="auto"/>
                          </w:divBdr>
                          <w:divsChild>
                            <w:div w:id="1184050756">
                              <w:marLeft w:val="0"/>
                              <w:marRight w:val="0"/>
                              <w:marTop w:val="0"/>
                              <w:marBottom w:val="0"/>
                              <w:divBdr>
                                <w:top w:val="none" w:sz="0" w:space="0" w:color="auto"/>
                                <w:left w:val="none" w:sz="0" w:space="0" w:color="auto"/>
                                <w:bottom w:val="none" w:sz="0" w:space="0" w:color="auto"/>
                                <w:right w:val="none" w:sz="0" w:space="0" w:color="auto"/>
                              </w:divBdr>
                              <w:divsChild>
                                <w:div w:id="322662456">
                                  <w:marLeft w:val="0"/>
                                  <w:marRight w:val="0"/>
                                  <w:marTop w:val="75"/>
                                  <w:marBottom w:val="0"/>
                                  <w:divBdr>
                                    <w:top w:val="none" w:sz="0" w:space="0" w:color="auto"/>
                                    <w:left w:val="none" w:sz="0" w:space="0" w:color="auto"/>
                                    <w:bottom w:val="none" w:sz="0" w:space="0" w:color="auto"/>
                                    <w:right w:val="none" w:sz="0" w:space="0" w:color="auto"/>
                                  </w:divBdr>
                                  <w:divsChild>
                                    <w:div w:id="1421369034">
                                      <w:marLeft w:val="0"/>
                                      <w:marRight w:val="0"/>
                                      <w:marTop w:val="0"/>
                                      <w:marBottom w:val="0"/>
                                      <w:divBdr>
                                        <w:top w:val="none" w:sz="0" w:space="0" w:color="auto"/>
                                        <w:left w:val="none" w:sz="0" w:space="0" w:color="auto"/>
                                        <w:bottom w:val="none" w:sz="0" w:space="0" w:color="auto"/>
                                        <w:right w:val="none" w:sz="0" w:space="0" w:color="auto"/>
                                      </w:divBdr>
                                      <w:divsChild>
                                        <w:div w:id="1311441068">
                                          <w:marLeft w:val="0"/>
                                          <w:marRight w:val="0"/>
                                          <w:marTop w:val="0"/>
                                          <w:marBottom w:val="0"/>
                                          <w:divBdr>
                                            <w:top w:val="none" w:sz="0" w:space="0" w:color="auto"/>
                                            <w:left w:val="none" w:sz="0" w:space="0" w:color="auto"/>
                                            <w:bottom w:val="none" w:sz="0" w:space="0" w:color="auto"/>
                                            <w:right w:val="none" w:sz="0" w:space="0" w:color="auto"/>
                                          </w:divBdr>
                                          <w:divsChild>
                                            <w:div w:id="827943223">
                                              <w:marLeft w:val="0"/>
                                              <w:marRight w:val="0"/>
                                              <w:marTop w:val="0"/>
                                              <w:marBottom w:val="0"/>
                                              <w:divBdr>
                                                <w:top w:val="none" w:sz="0" w:space="0" w:color="auto"/>
                                                <w:left w:val="none" w:sz="0" w:space="0" w:color="auto"/>
                                                <w:bottom w:val="none" w:sz="0" w:space="0" w:color="auto"/>
                                                <w:right w:val="none" w:sz="0" w:space="0" w:color="auto"/>
                                              </w:divBdr>
                                            </w:div>
                                            <w:div w:id="21079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099686">
      <w:bodyDiv w:val="1"/>
      <w:marLeft w:val="0"/>
      <w:marRight w:val="0"/>
      <w:marTop w:val="0"/>
      <w:marBottom w:val="0"/>
      <w:divBdr>
        <w:top w:val="none" w:sz="0" w:space="0" w:color="auto"/>
        <w:left w:val="none" w:sz="0" w:space="0" w:color="auto"/>
        <w:bottom w:val="none" w:sz="0" w:space="0" w:color="auto"/>
        <w:right w:val="none" w:sz="0" w:space="0" w:color="auto"/>
      </w:divBdr>
      <w:divsChild>
        <w:div w:id="13158425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cd.coe.int/ViewDoc.jsp?id=1408617"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scottishhumanrights.com/media/1569/shrc_uprfactsheet5_social_care.pdf" TargetMode="External"/><Relationship Id="rId3" Type="http://schemas.openxmlformats.org/officeDocument/2006/relationships/hyperlink" Target="http://www.snaprights.info/wp-content/uploads/2019/07/SNAP-Evaluation-vFinal-16-July-2019.docx" TargetMode="External"/><Relationship Id="rId7" Type="http://schemas.openxmlformats.org/officeDocument/2006/relationships/hyperlink" Target="https://www.gov.scot/publications/scotlands-open-government-action-plan-2018-20/pages/2/" TargetMode="External"/><Relationship Id="rId2" Type="http://schemas.openxmlformats.org/officeDocument/2006/relationships/hyperlink" Target="https://rm.coe.int/16806da952" TargetMode="External"/><Relationship Id="rId1" Type="http://schemas.openxmlformats.org/officeDocument/2006/relationships/hyperlink" Target="http://www.snaprights.info/" TargetMode="External"/><Relationship Id="rId6" Type="http://schemas.openxmlformats.org/officeDocument/2006/relationships/hyperlink" Target="https://povertyinequality.scot/wp-content/uploads/2019/05/Poverty-and-Inequality-Commissions-response-to-the-Scottish-Budget.pdf" TargetMode="External"/><Relationship Id="rId5" Type="http://schemas.openxmlformats.org/officeDocument/2006/relationships/hyperlink" Target="https://fraserofallander.org/scottish-economy/budget/how-does-the-scottish-government-assess-the-impact-of-its-budget-on-tackling-child-poverty/" TargetMode="External"/><Relationship Id="rId10" Type="http://schemas.openxmlformats.org/officeDocument/2006/relationships/hyperlink" Target="https://www.ohchr.org/EN/Issues/SRHRDefenders/Pages/Declaration.aspx" TargetMode="External"/><Relationship Id="rId4" Type="http://schemas.openxmlformats.org/officeDocument/2006/relationships/hyperlink" Target="https://www.internationalbudget.org/open-budget-survey/open-budget-index-rankings/" TargetMode="External"/><Relationship Id="rId9" Type="http://schemas.openxmlformats.org/officeDocument/2006/relationships/hyperlink" Target="https://www.parliament.scot/parliamentarybusiness/82102.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Cash % 2015-16/2019-2020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Self directed support programme</c:v>
                </c:pt>
              </c:strCache>
            </c:strRef>
          </c:cat>
          <c:val>
            <c:numRef>
              <c:f>Sheet1!$B$2</c:f>
              <c:numCache>
                <c:formatCode>General</c:formatCode>
                <c:ptCount val="1"/>
                <c:pt idx="0">
                  <c:v>-23.7</c:v>
                </c:pt>
              </c:numCache>
            </c:numRef>
          </c:val>
          <c:extLst>
            <c:ext xmlns:c16="http://schemas.microsoft.com/office/drawing/2014/chart" uri="{C3380CC4-5D6E-409C-BE32-E72D297353CC}">
              <c16:uniqueId val="{00000000-C2C0-4A46-A170-3EC19F5DE774}"/>
            </c:ext>
          </c:extLst>
        </c:ser>
        <c:ser>
          <c:idx val="1"/>
          <c:order val="1"/>
          <c:tx>
            <c:strRef>
              <c:f>Sheet1!$C$1</c:f>
              <c:strCache>
                <c:ptCount val="1"/>
                <c:pt idx="0">
                  <c:v>Real % 2015-16/2019-2020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Self directed support programme</c:v>
                </c:pt>
              </c:strCache>
            </c:strRef>
          </c:cat>
          <c:val>
            <c:numRef>
              <c:f>Sheet1!$C$2</c:f>
              <c:numCache>
                <c:formatCode>General</c:formatCode>
                <c:ptCount val="1"/>
                <c:pt idx="0">
                  <c:v>-33.6</c:v>
                </c:pt>
              </c:numCache>
            </c:numRef>
          </c:val>
          <c:extLst>
            <c:ext xmlns:c16="http://schemas.microsoft.com/office/drawing/2014/chart" uri="{C3380CC4-5D6E-409C-BE32-E72D297353CC}">
              <c16:uniqueId val="{00000001-C2C0-4A46-A170-3EC19F5DE774}"/>
            </c:ext>
          </c:extLst>
        </c:ser>
        <c:dLbls>
          <c:showLegendKey val="0"/>
          <c:showVal val="0"/>
          <c:showCatName val="0"/>
          <c:showSerName val="0"/>
          <c:showPercent val="0"/>
          <c:showBubbleSize val="0"/>
        </c:dLbls>
        <c:gapWidth val="219"/>
        <c:overlap val="-27"/>
        <c:axId val="390580856"/>
        <c:axId val="390578888"/>
      </c:barChart>
      <c:catAx>
        <c:axId val="390580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90578888"/>
        <c:crosses val="autoZero"/>
        <c:auto val="1"/>
        <c:lblAlgn val="ctr"/>
        <c:lblOffset val="100"/>
        <c:noMultiLvlLbl val="0"/>
      </c:catAx>
      <c:valAx>
        <c:axId val="39057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905808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300C-FDD3-4C9F-86BF-17C203BB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3528</Words>
  <Characters>20115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Hosie A (Alison)</dc:creator>
  <cp:keywords/>
  <dc:description/>
  <cp:lastModifiedBy>Scott C (Carolyn)</cp:lastModifiedBy>
  <cp:revision>2</cp:revision>
  <cp:lastPrinted>2019-08-13T13:18:00Z</cp:lastPrinted>
  <dcterms:created xsi:type="dcterms:W3CDTF">2019-08-21T11:10:00Z</dcterms:created>
  <dcterms:modified xsi:type="dcterms:W3CDTF">2019-08-21T11:10:00Z</dcterms:modified>
</cp:coreProperties>
</file>