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anchor simplePos="false" relativeHeight="0" behindDoc="false" locked="false" layoutInCell="true" allowOverlap="true">
            <wp:simplePos x="0" y="0"/>
            <wp:positionH relativeFrom="page">
              <wp:posOffset>0</wp:posOffset>
            </wp:positionH>
            <wp:positionV relativeFrom="page">
              <wp:posOffset>0</wp:posOffset>
            </wp:positionV>
            <wp:extent cx="7562850" cy="2268855"/>
            <wp:wrapTopAndBottom/>
            <wp:docPr id="0" name="Drawing 0" descr="1a8abc44c-cc6f-4405-87ef-98a660101310.png"/>
            <wp:cNvGraphicFramePr>
              <a:graphicFrameLocks noChangeAspect="true"/>
            </wp:cNvGraphicFramePr>
            <a:graphic>
              <a:graphicData uri="http://schemas.openxmlformats.org/drawingml/2006/picture">
                <pic:pic xmlns:pic="http://schemas.openxmlformats.org/drawingml/2006/picture">
                  <pic:nvPicPr>
                    <pic:cNvPr id="0" name="Picture 0" descr="1a8abc44c-cc6f-4405-87ef-98a660101310.png"/>
                    <pic:cNvPicPr>
                      <a:picLocks noChangeAspect="true"/>
                    </pic:cNvPicPr>
                  </pic:nvPicPr>
                  <pic:blipFill>
                    <a:blip r:embed="rId3"/>
                    <a:stretch>
                      <a:fillRect/>
                    </a:stretch>
                  </pic:blipFill>
                  <pic:spPr>
                    <a:xfrm>
                      <a:off x="0" y="0"/>
                      <a:ext cx="7562850" cy="2268855"/>
                    </a:xfrm>
                    <a:prstGeom prst="rect">
                      <a:avLst/>
                    </a:prstGeom>
                  </pic:spPr>
                </pic:pic>
              </a:graphicData>
            </a:graphic>
          </wp:anchor>
        </w:drawing>
      </w:r>
    </w:p>
    <w:p>
      <w:pPr>
        <w:spacing w:after="120" w:before="120" w:line="336" w:lineRule="auto"/>
        <w:ind w:firstLine="0" w:start="0"/>
        <w:jc w:val="start"/>
      </w:pPr>
      <w:r>
        <w:rPr>
          <w:rFonts w:ascii="IBM Plex Sans" w:hAnsi="IBM Plex Sans" w:cs="IBM Plex Sans" w:eastAsia="IBM Plex Sans"/>
          <w:color w:val="000000"/>
          <w:sz w:val="100"/>
          <w:szCs w:val="100"/>
        </w:rPr>
        <w:t xml:space="preserve">Business Consulting
</w:t>
      </w:r>
    </w:p>
    <w:p>
      <w:pPr>
        <w:pBdr>
          <w:bottom w:val="single" w:color="000000" w:sz="6"/>
        </w:pBdr>
        <w:spacing w:after="120" w:before="120" w:line="0" w:lineRule="auto"/>
      </w:pPr>
    </w:p>
    <w:p>
      <w:pPr>
        <w:spacing w:after="120" w:before="120" w:line="336" w:lineRule="auto"/>
        <w:ind w:firstLine="0" w:start="0"/>
        <w:jc w:val="start"/>
      </w:pPr>
      <w:r>
        <w:rPr>
          <w:rFonts w:ascii="IBM Plex Sans Bold" w:hAnsi="IBM Plex Sans Bold" w:cs="IBM Plex Sans Bold" w:eastAsia="IBM Plex Sans Bold"/>
          <w:b/>
          <w:bCs/>
          <w:color w:val="000000"/>
          <w:sz w:val="24"/>
          <w:szCs w:val="24"/>
        </w:rPr>
        <w:t xml:space="preserve">Contract Agreement
</w:t>
      </w:r>
    </w:p>
    <w:p>
      <w:pPr>
        <w:spacing w:after="120" w:before="120" w:line="336" w:lineRule="auto"/>
        <w:ind w:firstLine="0" w:start="0"/>
        <w:jc w:val="start"/>
      </w:pPr>
      <w:r>
        <w:rPr>
          <w:rFonts w:ascii="IBM Plex Sans Bold" w:hAnsi="IBM Plex Sans Bold" w:cs="IBM Plex Sans Bold" w:eastAsia="IBM Plex Sans Bold"/>
          <w:b/>
          <w:bCs/>
          <w:color w:val="000000"/>
          <w:sz w:val="24"/>
          <w:szCs w:val="24"/>
        </w:rPr>
        <w:t xml:space="preserve">Date: </w:t>
      </w:r>
      <w:r>
        <w:rPr>
          <w:rFonts w:ascii="IBM Plex Sans Bold" w:hAnsi="IBM Plex Sans Bold" w:cs="IBM Plex Sans Bold" w:eastAsia="IBM Plex Sans Bold"/>
          <w:b/>
          <w:bCs/>
          <w:color w:val="000000"/>
          <w:sz w:val="24"/>
          <w:szCs w:val="24"/>
        </w:rPr>
        <w:t>Jan 1, 2030</w:t>
      </w:r>
      <w:r>
        <w:rPr>
          <w:rFonts w:ascii="IBM Plex Sans Bold" w:hAnsi="IBM Plex Sans Bold" w:cs="IBM Plex Sans Bold" w:eastAsia="IBM Plex Sans Bold"/>
          <w:b/>
          <w:bCs/>
          <w:color w:val="000000"/>
          <w:sz w:val="24"/>
          <w:szCs w:val="24"/>
        </w:rPr>
        <w:t xml:space="preserve">
</w:t>
      </w:r>
    </w:p>
    <w:p>
      <w:pPr>
        <w:spacing w:after="120" w:before="120" w:line="336" w:lineRule="auto"/>
        <w:ind w:firstLine="0" w:start="0"/>
        <w:jc w:val="start"/>
      </w:pPr>
      <w:r>
        <w:rPr>
          <w:rFonts w:ascii="IBM Plex Sans" w:hAnsi="IBM Plex Sans" w:cs="IBM Plex Sans" w:eastAsia="IBM Plex Sans"/>
          <w:color w:val="000000"/>
          <w:sz w:val="24"/>
          <w:szCs w:val="24"/>
        </w:rPr>
        <w:t xml:space="preserve">
</w:t>
      </w:r>
    </w:p>
    <w:tbl>
      <w:tblPr>
        <w:tblW w:w="9030" w:type="dxa"/>
        <w:tblBorders>
          <w:top w:val="none" w:color="000000" w:sz="0"/>
          <w:start w:color="000000" w:sz="0" w:val="none"/>
          <w:left w:val="single"/>
          <w:bottom w:val="none" w:color="000000" w:sz="0"/>
          <w:end w:color="000000" w:sz="0" w:val="none"/>
          <w:right w:val="single"/>
          <w:insideH w:val="none" w:color="000000" w:sz="0"/>
          <w:insideV w:val="none" w:color="000000" w:sz="0"/>
        </w:tblBorders>
      </w:tblPr>
      <w:tblGrid>
        <w:gridCol w:w="9030"/>
      </w:tblGrid>
      <w:tr>
        <w:tc>
          <w:tcPr>
            <w:tcW w:w="9030" w:type="dxa"/>
            <w:shd w:val="clear" w:color="auto" w:fill="d6d3c6"/>
            <w:tcMar>
              <w:top w:w="90"/>
              <w:start w:w="90"/>
              <w:bottom w:w="90"/>
              <w:end w:w="90"/>
            </w:tcMar>
          </w:tcPr>
          <w:p>
            <w:pPr>
              <w:spacing w:after="120" w:before="120" w:line="336" w:lineRule="auto"/>
              <w:ind w:firstLine="0" w:start="0"/>
              <w:jc w:val="center"/>
            </w:pPr>
            <w:r>
              <w:rPr>
                <w:rFonts w:ascii="IBM Plex Sans" w:hAnsi="IBM Plex Sans" w:cs="IBM Plex Sans" w:eastAsia="IBM Plex Sans"/>
                <w:color w:val="000000"/>
                <w:sz w:val="50"/>
                <w:szCs w:val="50"/>
              </w:rPr>
              <w:t>AGREEMENT</w:t>
            </w:r>
            <w:r>
              <w:rPr>
                <w:rFonts w:ascii="IBM Plex Sans" w:hAnsi="IBM Plex Sans" w:cs="IBM Plex Sans" w:eastAsia="IBM Plex Sans"/>
                <w:color w:val="000000"/>
                <w:sz w:val="50"/>
                <w:szCs w:val="50"/>
              </w:rPr>
              <w:t xml:space="preserve">
</w:t>
            </w:r>
          </w:p>
        </w:tc>
      </w:tr>
    </w:tbl>
    <w:p>
      <w:pPr>
        <w:spacing w:after="120" w:before="120" w:line="336" w:lineRule="auto"/>
        <w:ind w:firstLine="0" w:start="0"/>
        <w:jc w:val="start"/>
      </w:pPr>
      <w:r>
        <w:rPr>
          <w:rFonts w:ascii="IBM Plex Sans" w:hAnsi="IBM Plex Sans" w:cs="IBM Plex Sans" w:eastAsia="IBM Plex Sans"/>
          <w:color w:val="000000"/>
          <w:sz w:val="24"/>
          <w:szCs w:val="24"/>
        </w:rPr>
        <w:t xml:space="preserve">This business consultancy agreement is made and entered into as of </w:t>
      </w:r>
      <w:r>
        <w:rPr>
          <w:rFonts w:ascii="IBM Plex Sans" w:hAnsi="IBM Plex Sans" w:cs="IBM Plex Sans" w:eastAsia="IBM Plex Sans"/>
          <w:color w:val="000000"/>
          <w:sz w:val="24"/>
          <w:szCs w:val="24"/>
        </w:rPr>
        <w:t>Jan 1, 2030</w:t>
      </w:r>
      <w:r>
        <w:rPr>
          <w:rFonts w:ascii="IBM Plex Sans" w:hAnsi="IBM Plex Sans" w:cs="IBM Plex Sans" w:eastAsia="IBM Plex Sans"/>
          <w:color w:val="000000"/>
          <w:sz w:val="24"/>
          <w:szCs w:val="24"/>
        </w:rPr>
        <w:t xml:space="preserve">, by and between: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4515"/>
        <w:gridCol w:w="4515"/>
      </w:tblGrid>
      <w:tr>
        <w:tc>
          <w:tcPr>
            <w:tcW w:w="4515" w:type="dxa"/>
            <w:tcMar>
              <w:top w:w="0"/>
              <w:start w:w="0"/>
              <w:bottom w:w="0"/>
              <w:end w:w="0"/>
            </w:tcMar>
          </w:tcPr>
          <w:p>
            <w:pPr>
              <w:spacing w:after="120" w:before="120" w:line="336" w:lineRule="auto"/>
              <w:ind w:firstLine="0" w:start="0"/>
              <w:jc w:val="start"/>
            </w:pPr>
            <w:r>
              <w:rPr>
                <w:rFonts w:ascii="IBM Plex Sans Bold" w:hAnsi="IBM Plex Sans Bold" w:cs="IBM Plex Sans Bold" w:eastAsia="IBM Plex Sans Bold"/>
                <w:b/>
                <w:bCs/>
                <w:color w:val="000000"/>
                <w:sz w:val="24"/>
                <w:szCs w:val="24"/>
              </w:rPr>
              <w:t xml:space="preserve">Client: </w:t>
            </w:r>
            <w:r>
              <w:rPr>
                <w:rFonts w:ascii="IBM Plex Sans" w:hAnsi="IBM Plex Sans" w:cs="IBM Plex Sans" w:eastAsia="IBM Plex Sans"/>
                <w:color w:val="000000"/>
                <w:sz w:val="24"/>
                <w:szCs w:val="24"/>
              </w:rPr>
              <w:t>Full company name here</w:t>
            </w:r>
            <w:r>
              <w:rPr>
                <w:rFonts w:ascii="IBM Plex Sans" w:hAnsi="IBM Plex Sans" w:cs="IBM Plex Sans" w:eastAsia="IBM Plex Sans"/>
                <w:color w:val="000000"/>
                <w:sz w:val="24"/>
                <w:szCs w:val="24"/>
              </w:rPr>
              <w:t xml:space="preserve">
</w:t>
            </w:r>
          </w:p>
          <w:p>
            <w:pPr>
              <w:spacing w:after="120" w:before="120" w:line="336" w:lineRule="auto"/>
              <w:ind w:firstLine="0" w:start="0"/>
              <w:jc w:val="start"/>
            </w:pPr>
            <w:r>
              <w:rPr>
                <w:rFonts w:ascii="IBM Plex Sans Bold" w:hAnsi="IBM Plex Sans Bold" w:cs="IBM Plex Sans Bold" w:eastAsia="IBM Plex Sans Bold"/>
                <w:b/>
                <w:bCs/>
                <w:color w:val="000000"/>
                <w:sz w:val="24"/>
                <w:szCs w:val="24"/>
              </w:rPr>
              <w:t xml:space="preserve">Located at: </w:t>
            </w:r>
            <w:r>
              <w:rPr>
                <w:rFonts w:ascii="IBM Plex Sans" w:hAnsi="IBM Plex Sans" w:cs="IBM Plex Sans" w:eastAsia="IBM Plex Sans"/>
                <w:color w:val="000000"/>
                <w:sz w:val="24"/>
                <w:szCs w:val="24"/>
              </w:rPr>
              <w:t>Business address here</w:t>
            </w:r>
            <w:r>
              <w:rPr>
                <w:rFonts w:ascii="IBM Plex Sans" w:hAnsi="IBM Plex Sans" w:cs="IBM Plex Sans" w:eastAsia="IBM Plex Sans"/>
                <w:color w:val="000000"/>
                <w:sz w:val="24"/>
                <w:szCs w:val="24"/>
              </w:rPr>
              <w:t xml:space="preserve">
</w:t>
            </w:r>
          </w:p>
          <w:p>
            <w:pPr>
              <w:spacing w:after="120" w:before="120" w:line="336" w:lineRule="auto"/>
              <w:ind w:firstLine="0" w:start="0"/>
              <w:jc w:val="start"/>
            </w:pPr>
            <w:r>
              <w:rPr>
                <w:rFonts w:ascii="IBM Plex Sans Bold" w:hAnsi="IBM Plex Sans Bold" w:cs="IBM Plex Sans Bold" w:eastAsia="IBM Plex Sans Bold"/>
                <w:b/>
                <w:bCs/>
                <w:color w:val="000000"/>
                <w:sz w:val="24"/>
                <w:szCs w:val="24"/>
              </w:rPr>
              <w:t>Registered under:</w:t>
            </w:r>
            <w:r>
              <w:rPr>
                <w:rFonts w:ascii="IBM Plex Sans" w:hAnsi="IBM Plex Sans" w:cs="IBM Plex Sans" w:eastAsia="IBM Plex Sans"/>
                <w:color w:val="000000"/>
                <w:sz w:val="24"/>
                <w:szCs w:val="24"/>
              </w:rPr>
              <w:t xml:space="preserve"> State goes here</w:t>
            </w:r>
            <w:r>
              <w:rPr>
                <w:rFonts w:ascii="IBM Plex Sans" w:hAnsi="IBM Plex Sans" w:cs="IBM Plex Sans" w:eastAsia="IBM Plex Sans"/>
                <w:color w:val="000000"/>
                <w:sz w:val="24"/>
                <w:szCs w:val="24"/>
              </w:rPr>
              <w:t xml:space="preserve">
</w:t>
            </w:r>
          </w:p>
        </w:tc>
        <w:tc>
          <w:tcPr>
            <w:tcW w:w="4515" w:type="dxa"/>
            <w:tcMar>
              <w:top w:w="0"/>
              <w:start w:w="0"/>
              <w:bottom w:w="0"/>
              <w:end w:w="0"/>
            </w:tcMar>
          </w:tcPr>
          <w:p>
            <w:pPr>
              <w:spacing w:after="120" w:before="120" w:line="336" w:lineRule="auto"/>
              <w:ind w:firstLine="0" w:start="0"/>
              <w:jc w:val="both"/>
            </w:pPr>
            <w:r>
              <w:rPr>
                <w:rFonts w:ascii="IBM Plex Sans Bold" w:hAnsi="IBM Plex Sans Bold" w:cs="IBM Plex Sans Bold" w:eastAsia="IBM Plex Sans Bold"/>
                <w:b/>
                <w:bCs/>
                <w:color w:val="000000"/>
                <w:sz w:val="24"/>
                <w:szCs w:val="24"/>
              </w:rPr>
              <w:t xml:space="preserve">Consultant: </w:t>
            </w:r>
            <w:r>
              <w:rPr>
                <w:rFonts w:ascii="IBM Plex Sans" w:hAnsi="IBM Plex Sans" w:cs="IBM Plex Sans" w:eastAsia="IBM Plex Sans"/>
                <w:color w:val="000000"/>
                <w:sz w:val="24"/>
                <w:szCs w:val="24"/>
              </w:rPr>
              <w:t>Full company name here</w:t>
            </w:r>
            <w:r>
              <w:rPr>
                <w:rFonts w:ascii="IBM Plex Sans" w:hAnsi="IBM Plex Sans" w:cs="IBM Plex Sans" w:eastAsia="IBM Plex Sans"/>
                <w:color w:val="000000"/>
                <w:sz w:val="24"/>
                <w:szCs w:val="24"/>
              </w:rPr>
              <w:t xml:space="preserve">
</w:t>
            </w:r>
          </w:p>
          <w:p>
            <w:pPr>
              <w:spacing w:after="120" w:before="120" w:line="336" w:lineRule="auto"/>
              <w:ind w:firstLine="0" w:start="0"/>
              <w:jc w:val="both"/>
            </w:pPr>
            <w:r>
              <w:rPr>
                <w:rFonts w:ascii="IBM Plex Sans Bold" w:hAnsi="IBM Plex Sans Bold" w:cs="IBM Plex Sans Bold" w:eastAsia="IBM Plex Sans Bold"/>
                <w:b/>
                <w:bCs/>
                <w:color w:val="000000"/>
                <w:sz w:val="24"/>
                <w:szCs w:val="24"/>
              </w:rPr>
              <w:t xml:space="preserve">Located at: </w:t>
            </w:r>
            <w:r>
              <w:rPr>
                <w:rFonts w:ascii="IBM Plex Sans" w:hAnsi="IBM Plex Sans" w:cs="IBM Plex Sans" w:eastAsia="IBM Plex Sans"/>
                <w:color w:val="000000"/>
                <w:sz w:val="24"/>
                <w:szCs w:val="24"/>
              </w:rPr>
              <w:t>Business address here</w:t>
            </w:r>
            <w:r>
              <w:rPr>
                <w:rFonts w:ascii="IBM Plex Sans" w:hAnsi="IBM Plex Sans" w:cs="IBM Plex Sans" w:eastAsia="IBM Plex Sans"/>
                <w:color w:val="000000"/>
                <w:sz w:val="24"/>
                <w:szCs w:val="24"/>
              </w:rPr>
              <w:t xml:space="preserve">
</w:t>
            </w:r>
          </w:p>
          <w:p>
            <w:pPr>
              <w:spacing w:after="120" w:before="120" w:line="336" w:lineRule="auto"/>
              <w:ind w:firstLine="0" w:start="0"/>
              <w:jc w:val="both"/>
            </w:pPr>
            <w:r>
              <w:rPr>
                <w:rFonts w:ascii="IBM Plex Sans Bold" w:hAnsi="IBM Plex Sans Bold" w:cs="IBM Plex Sans Bold" w:eastAsia="IBM Plex Sans Bold"/>
                <w:b/>
                <w:bCs/>
                <w:color w:val="000000"/>
                <w:sz w:val="24"/>
                <w:szCs w:val="24"/>
              </w:rPr>
              <w:t>Registered under:</w:t>
            </w:r>
            <w:r>
              <w:rPr>
                <w:rFonts w:ascii="IBM Plex Sans" w:hAnsi="IBM Plex Sans" w:cs="IBM Plex Sans" w:eastAsia="IBM Plex Sans"/>
                <w:color w:val="000000"/>
                <w:sz w:val="24"/>
                <w:szCs w:val="24"/>
              </w:rPr>
              <w:t xml:space="preserve"> State goes here</w:t>
            </w:r>
            <w:r>
              <w:rPr>
                <w:rFonts w:ascii="IBM Plex Sans" w:hAnsi="IBM Plex Sans" w:cs="IBM Plex Sans" w:eastAsia="IBM Plex Sans"/>
                <w:color w:val="000000"/>
                <w:sz w:val="24"/>
                <w:szCs w:val="24"/>
              </w:rPr>
              <w:t xml:space="preserve">
</w:t>
            </w:r>
          </w:p>
        </w:tc>
      </w:tr>
    </w:tbl>
    <w:p>
      <w:pPr>
        <w:spacing w:after="120" w:before="120" w:line="336" w:lineRule="auto"/>
        <w:ind w:firstLine="0" w:start="0"/>
        <w:jc w:val="start"/>
      </w:pPr>
      <w:r>
        <w:rPr>
          <w:rFonts w:ascii="IBM Plex Sans" w:hAnsi="IBM Plex Sans" w:cs="IBM Plex Sans" w:eastAsia="IBM Plex Sans"/>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0"/>
      </w:tblGrid>
      <w:tr>
        <w:tc>
          <w:tcPr>
            <w:tcW w:w="9030" w:type="dxa"/>
            <w:shd w:val="clear" w:color="auto" w:fill="d6d3c6"/>
            <w:tcMar>
              <w:top w:w="90"/>
              <w:start w:w="90"/>
              <w:bottom w:w="90"/>
              <w:end w:w="90"/>
            </w:tcMar>
          </w:tcPr>
          <w:p>
            <w:pPr>
              <w:spacing w:after="120" w:before="120" w:line="336" w:lineRule="auto"/>
              <w:ind w:firstLine="0" w:start="0"/>
              <w:jc w:val="center"/>
            </w:pPr>
            <w:r>
              <w:rPr>
                <w:rFonts w:ascii="IBM Plex Sans" w:hAnsi="IBM Plex Sans" w:cs="IBM Plex Sans" w:eastAsia="IBM Plex Sans"/>
                <w:color w:val="000000"/>
                <w:sz w:val="50"/>
                <w:szCs w:val="50"/>
              </w:rPr>
              <w:t>TERM</w:t>
            </w:r>
            <w:r>
              <w:rPr>
                <w:rFonts w:ascii="IBM Plex Sans" w:hAnsi="IBM Plex Sans" w:cs="IBM Plex Sans" w:eastAsia="IBM Plex Sans"/>
                <w:color w:val="000000"/>
                <w:sz w:val="50"/>
                <w:szCs w:val="50"/>
              </w:rPr>
              <w:t xml:space="preserve">
</w:t>
            </w:r>
          </w:p>
        </w:tc>
      </w:tr>
    </w:tbl>
    <w:p>
      <w:pPr>
        <w:spacing w:after="120" w:before="120" w:line="336" w:lineRule="auto"/>
        <w:ind w:firstLine="0" w:start="0"/>
        <w:jc w:val="start"/>
      </w:pPr>
      <w:r>
        <w:rPr>
          <w:rFonts w:ascii="IBM Plex Sans" w:hAnsi="IBM Plex Sans" w:cs="IBM Plex Sans" w:eastAsia="IBM Plex Sans"/>
          <w:color w:val="000000"/>
          <w:sz w:val="24"/>
          <w:szCs w:val="24"/>
        </w:rPr>
        <w:t xml:space="preserve">This Agreement shall commence on </w:t>
      </w:r>
      <w:r>
        <w:rPr>
          <w:rFonts w:ascii="IBM Plex Sans" w:hAnsi="IBM Plex Sans" w:cs="IBM Plex Sans" w:eastAsia="IBM Plex Sans"/>
          <w:color w:val="000000"/>
          <w:sz w:val="24"/>
          <w:szCs w:val="24"/>
        </w:rPr>
        <w:t>Jan 31, 2030</w:t>
      </w:r>
      <w:r>
        <w:rPr>
          <w:rFonts w:ascii="IBM Plex Sans" w:hAnsi="IBM Plex Sans" w:cs="IBM Plex Sans" w:eastAsia="IBM Plex Sans"/>
          <w:color w:val="000000"/>
          <w:sz w:val="24"/>
          <w:szCs w:val="24"/>
        </w:rPr>
        <w:t xml:space="preserve"> and shall continue until </w:t>
      </w:r>
      <w:r>
        <w:rPr>
          <w:rFonts w:ascii="IBM Plex Sans" w:hAnsi="IBM Plex Sans" w:cs="IBM Plex Sans" w:eastAsia="IBM Plex Sans"/>
          <w:color w:val="000000"/>
          <w:sz w:val="24"/>
          <w:szCs w:val="24"/>
        </w:rPr>
        <w:t>Jan 31, 2031</w:t>
      </w:r>
      <w:r>
        <w:rPr>
          <w:rFonts w:ascii="IBM Plex Sans" w:hAnsi="IBM Plex Sans" w:cs="IBM Plex Sans" w:eastAsia="IBM Plex Sans"/>
          <w:color w:val="000000"/>
          <w:sz w:val="24"/>
          <w:szCs w:val="24"/>
        </w:rPr>
        <w:t xml:space="preserve">, unless extended or terminated earlier under any of the following circumstances:
</w:t>
      </w:r>
    </w:p>
    <w:p>
      <w:pPr>
        <w:numPr>
          <w:ilvl w:val="0"/>
          <w:numId w:val="1"/>
        </w:numPr>
        <w:spacing w:after="0" w:before="0" w:line="336" w:lineRule="auto"/>
        <w:jc w:val="start"/>
      </w:pPr>
      <w:r>
        <w:rPr>
          <w:rFonts w:ascii="IBM Plex Sans" w:hAnsi="IBM Plex Sans" w:cs="IBM Plex Sans" w:eastAsia="IBM Plex Sans"/>
          <w:color w:val="000000"/>
          <w:sz w:val="24"/>
          <w:szCs w:val="24"/>
        </w:rPr>
        <w:t>Termination by mutual agreement between both parties</w:t>
      </w:r>
      <w:r>
        <w:rPr>
          <w:rFonts w:ascii="IBM Plex Sans" w:hAnsi="IBM Plex Sans" w:cs="IBM Plex Sans" w:eastAsia="IBM Plex Sans"/>
          <w:color w:val="000000"/>
          <w:sz w:val="24"/>
          <w:szCs w:val="24"/>
        </w:rPr>
        <w:t xml:space="preserve">
</w:t>
      </w:r>
    </w:p>
    <w:p>
      <w:pPr>
        <w:numPr>
          <w:ilvl w:val="0"/>
          <w:numId w:val="1"/>
        </w:numPr>
        <w:spacing w:after="0" w:before="0" w:line="336" w:lineRule="auto"/>
        <w:jc w:val="start"/>
      </w:pPr>
      <w:r>
        <w:rPr>
          <w:rFonts w:ascii="IBM Plex Sans" w:hAnsi="IBM Plex Sans" w:cs="IBM Plex Sans" w:eastAsia="IBM Plex Sans"/>
          <w:color w:val="000000"/>
          <w:sz w:val="24"/>
          <w:szCs w:val="24"/>
        </w:rPr>
        <w:t xml:space="preserve">Upon the occurrence of an event making it unlawful or impractical to continue the partnership
</w:t>
      </w:r>
    </w:p>
    <w:p>
      <w:pPr>
        <w:numPr>
          <w:ilvl w:val="0"/>
          <w:numId w:val="1"/>
        </w:numPr>
        <w:spacing w:after="0" w:before="0" w:line="336" w:lineRule="auto"/>
        <w:jc w:val="start"/>
      </w:pPr>
      <w:r>
        <w:rPr>
          <w:rFonts w:ascii="IBM Plex Sans" w:hAnsi="IBM Plex Sans" w:cs="IBM Plex Sans" w:eastAsia="IBM Plex Sans"/>
          <w:color w:val="000000"/>
          <w:sz w:val="24"/>
          <w:szCs w:val="24"/>
        </w:rPr>
        <w:t xml:space="preserve">Upon a material breach of this agreement by any partner, leading to a decision for dissolution by the remaining Partner
</w:t>
      </w:r>
    </w:p>
    <w:p>
      <w:pPr>
        <w:spacing w:after="120" w:before="120" w:line="336" w:lineRule="auto"/>
        <w:ind w:firstLine="0" w:start="0"/>
        <w:jc w:val="start"/>
      </w:pPr>
      <w:r>
        <w:rPr>
          <w:rFonts w:ascii="IBM Plex Sans" w:hAnsi="IBM Plex Sans" w:cs="IBM Plex Sans" w:eastAsia="IBM Plex Sans"/>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0"/>
      </w:tblGrid>
      <w:tr>
        <w:tc>
          <w:tcPr>
            <w:tcW w:w="9030" w:type="dxa"/>
            <w:shd w:val="clear" w:color="auto" w:fill="d6d3c6"/>
            <w:tcMar>
              <w:top w:w="90"/>
              <w:start w:w="90"/>
              <w:bottom w:w="90"/>
              <w:end w:w="90"/>
            </w:tcMar>
          </w:tcPr>
          <w:p>
            <w:pPr>
              <w:spacing w:after="120" w:before="120" w:line="336" w:lineRule="auto"/>
              <w:ind w:firstLine="0" w:start="0"/>
              <w:jc w:val="center"/>
            </w:pPr>
            <w:r>
              <w:rPr>
                <w:rFonts w:ascii="IBM Plex Sans" w:hAnsi="IBM Plex Sans" w:cs="IBM Plex Sans" w:eastAsia="IBM Plex Sans"/>
                <w:color w:val="000000"/>
                <w:sz w:val="50"/>
                <w:szCs w:val="50"/>
              </w:rPr>
              <w:t>SCOPE OF SERVICES</w:t>
            </w:r>
            <w:r>
              <w:rPr>
                <w:rFonts w:ascii="IBM Plex Sans" w:hAnsi="IBM Plex Sans" w:cs="IBM Plex Sans" w:eastAsia="IBM Plex Sans"/>
                <w:color w:val="000000"/>
                <w:sz w:val="50"/>
                <w:szCs w:val="50"/>
              </w:rPr>
              <w:t xml:space="preserve">
</w:t>
            </w:r>
          </w:p>
        </w:tc>
      </w:tr>
    </w:tbl>
    <w:p>
      <w:pPr>
        <w:spacing w:after="120" w:before="120" w:line="336" w:lineRule="auto"/>
        <w:ind w:firstLine="0" w:start="0"/>
        <w:jc w:val="start"/>
      </w:pPr>
      <w:r>
        <w:rPr>
          <w:rFonts w:ascii="IBM Plex Sans" w:hAnsi="IBM Plex Sans" w:cs="IBM Plex Sans" w:eastAsia="IBM Plex Sans"/>
          <w:color w:val="000000"/>
          <w:sz w:val="24"/>
          <w:szCs w:val="24"/>
        </w:rPr>
        <w:t>The consultant agrees to provide business consultancy services to the client, including but not limited to the following:</w:t>
      </w:r>
      <w:r>
        <w:rPr>
          <w:rFonts w:ascii="IBM Plex Sans" w:hAnsi="IBM Plex Sans" w:cs="IBM Plex Sans" w:eastAsia="IBM Plex Sans"/>
          <w:color w:val="000000"/>
          <w:sz w:val="36"/>
          <w:szCs w:val="36"/>
        </w:rPr>
        <w:t xml:space="preserve">
</w:t>
      </w:r>
    </w:p>
    <w:p>
      <w:pPr>
        <w:numPr>
          <w:ilvl w:val="0"/>
          <w:numId w:val="2"/>
        </w:numPr>
        <w:spacing w:after="0" w:before="0" w:line="336" w:lineRule="auto"/>
        <w:jc w:val="start"/>
      </w:pPr>
      <w:r>
        <w:rPr>
          <w:rFonts w:ascii="IBM Plex Sans Bold Italics" w:hAnsi="IBM Plex Sans Bold Italics" w:cs="IBM Plex Sans Bold Italics" w:eastAsia="IBM Plex Sans Bold Italics"/>
          <w:b/>
          <w:bCs/>
          <w:i/>
          <w:iCs/>
          <w:color w:val="000000"/>
          <w:sz w:val="24"/>
          <w:szCs w:val="24"/>
        </w:rPr>
        <w:t>Sample</w:t>
      </w:r>
      <w:r>
        <w:rPr>
          <w:rFonts w:ascii="IBM Plex Sans" w:hAnsi="IBM Plex Sans" w:cs="IBM Plex Sans" w:eastAsia="IBM Plex Sans"/>
          <w:color w:val="000000"/>
          <w:sz w:val="24"/>
          <w:szCs w:val="24"/>
        </w:rPr>
        <w:t>: Organizational restructuring</w:t>
      </w:r>
      <w:r>
        <w:rPr>
          <w:rFonts w:ascii="IBM Plex Sans" w:hAnsi="IBM Plex Sans" w:cs="IBM Plex Sans" w:eastAsia="IBM Plex Sans"/>
          <w:color w:val="000000"/>
          <w:sz w:val="24"/>
          <w:szCs w:val="24"/>
        </w:rPr>
        <w:t xml:space="preserve">
</w:t>
      </w:r>
    </w:p>
    <w:p>
      <w:pPr>
        <w:numPr>
          <w:ilvl w:val="0"/>
          <w:numId w:val="2"/>
        </w:numPr>
        <w:spacing w:after="0" w:before="0" w:line="336" w:lineRule="auto"/>
        <w:jc w:val="start"/>
      </w:pPr>
      <w:r>
        <w:rPr>
          <w:rFonts w:ascii="IBM Plex Sans" w:hAnsi="IBM Plex Sans" w:cs="IBM Plex Sans" w:eastAsia="IBM Plex Sans"/>
          <w:color w:val="000000"/>
          <w:sz w:val="24"/>
          <w:szCs w:val="24"/>
        </w:rPr>
        <w:t xml:space="preserve">Mergers and acquisitions advisory
</w:t>
      </w:r>
    </w:p>
    <w:p>
      <w:pPr>
        <w:numPr>
          <w:ilvl w:val="0"/>
          <w:numId w:val="2"/>
        </w:numPr>
        <w:spacing w:after="0" w:before="0" w:line="336" w:lineRule="auto"/>
        <w:jc w:val="start"/>
      </w:pPr>
      <w:r>
        <w:rPr>
          <w:rFonts w:ascii="IBM Plex Sans" w:hAnsi="IBM Plex Sans" w:cs="IBM Plex Sans" w:eastAsia="IBM Plex Sans"/>
          <w:color w:val="000000"/>
          <w:sz w:val="24"/>
          <w:szCs w:val="24"/>
        </w:rPr>
        <w:t xml:space="preserve">Risk management
</w:t>
      </w:r>
    </w:p>
    <w:p>
      <w:pPr>
        <w:numPr>
          <w:ilvl w:val="0"/>
          <w:numId w:val="2"/>
        </w:numPr>
        <w:spacing w:after="0" w:before="0" w:line="336" w:lineRule="auto"/>
        <w:jc w:val="start"/>
      </w:pPr>
      <w:r>
        <w:rPr>
          <w:rFonts w:ascii="IBM Plex Sans" w:hAnsi="IBM Plex Sans" w:cs="IBM Plex Sans" w:eastAsia="IBM Plex Sans"/>
          <w:color w:val="000000"/>
          <w:sz w:val="24"/>
          <w:szCs w:val="24"/>
        </w:rPr>
        <w:t xml:space="preserve">Service goes here
</w:t>
      </w:r>
    </w:p>
    <w:p>
      <w:pPr>
        <w:numPr>
          <w:ilvl w:val="0"/>
          <w:numId w:val="2"/>
        </w:numPr>
        <w:spacing w:after="0" w:before="0" w:line="336" w:lineRule="auto"/>
        <w:jc w:val="start"/>
      </w:pPr>
      <w:r>
        <w:rPr>
          <w:rFonts w:ascii="IBM Plex Sans" w:hAnsi="IBM Plex Sans" w:cs="IBM Plex Sans" w:eastAsia="IBM Plex Sans"/>
          <w:color w:val="000000"/>
          <w:sz w:val="24"/>
          <w:szCs w:val="24"/>
        </w:rPr>
        <w:t xml:space="preserve">Service goes here
</w:t>
      </w:r>
    </w:p>
    <w:p>
      <w:pPr>
        <w:numPr>
          <w:ilvl w:val="0"/>
          <w:numId w:val="2"/>
        </w:numPr>
        <w:spacing w:after="0" w:before="0" w:line="336" w:lineRule="auto"/>
        <w:jc w:val="start"/>
      </w:pPr>
      <w:r>
        <w:rPr>
          <w:rFonts w:ascii="IBM Plex Sans" w:hAnsi="IBM Plex Sans" w:cs="IBM Plex Sans" w:eastAsia="IBM Plex Sans"/>
          <w:color w:val="000000"/>
          <w:sz w:val="24"/>
          <w:szCs w:val="24"/>
        </w:rPr>
        <w:t>Service goes here</w:t>
      </w:r>
      <w:r>
        <w:rPr>
          <w:rFonts w:ascii="IBM Plex Sans" w:hAnsi="IBM Plex Sans" w:cs="IBM Plex Sans" w:eastAsia="IBM Plex Sans"/>
          <w:color w:val="000000"/>
          <w:sz w:val="36"/>
          <w:szCs w:val="36"/>
        </w:rPr>
        <w:t xml:space="preserve">
</w:t>
      </w:r>
    </w:p>
    <w:p>
      <w:pPr>
        <w:spacing w:after="120" w:before="120" w:line="336" w:lineRule="auto"/>
        <w:ind w:firstLine="0" w:start="0"/>
        <w:jc w:val="start"/>
      </w:pPr>
      <w:r>
        <w:rPr>
          <w:rFonts w:ascii="IBM Plex Sans" w:hAnsi="IBM Plex Sans" w:cs="IBM Plex Sans" w:eastAsia="IBM Plex Sans"/>
          <w:color w:val="000000"/>
          <w:sz w:val="36"/>
          <w:szCs w:val="36"/>
        </w:rPr>
        <w:t xml:space="preserve">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9030"/>
      </w:tblGrid>
      <w:tr>
        <w:tc>
          <w:tcPr>
            <w:tcW w:w="9030" w:type="dxa"/>
            <w:shd w:val="clear" w:color="auto" w:fill="d6d3c6"/>
            <w:tcMar>
              <w:top w:w="90"/>
              <w:start w:w="90"/>
              <w:bottom w:w="90"/>
              <w:end w:w="90"/>
            </w:tcMar>
          </w:tcPr>
          <w:p>
            <w:pPr>
              <w:spacing w:after="120" w:before="120" w:line="336" w:lineRule="auto"/>
              <w:ind w:firstLine="0" w:start="0"/>
              <w:jc w:val="center"/>
            </w:pPr>
            <w:r>
              <w:rPr>
                <w:rFonts w:ascii="IBM Plex Sans" w:hAnsi="IBM Plex Sans" w:cs="IBM Plex Sans" w:eastAsia="IBM Plex Sans"/>
                <w:color w:val="000000"/>
                <w:sz w:val="50"/>
                <w:szCs w:val="50"/>
              </w:rPr>
              <w:t>COMPENSATION</w:t>
            </w:r>
            <w:r>
              <w:rPr>
                <w:rFonts w:ascii="IBM Plex Sans" w:hAnsi="IBM Plex Sans" w:cs="IBM Plex Sans" w:eastAsia="IBM Plex Sans"/>
                <w:color w:val="000000"/>
                <w:sz w:val="50"/>
                <w:szCs w:val="50"/>
              </w:rPr>
              <w:t xml:space="preserve">
</w:t>
            </w:r>
          </w:p>
        </w:tc>
      </w:tr>
    </w:tbl>
    <w:p>
      <w:pPr>
        <w:spacing w:after="120" w:before="120" w:line="336" w:lineRule="auto"/>
        <w:ind w:firstLine="0" w:start="0"/>
        <w:jc w:val="start"/>
      </w:pPr>
      <w:r>
        <w:rPr>
          <w:rFonts w:ascii="IBM Plex Sans" w:hAnsi="IBM Plex Sans" w:cs="IBM Plex Sans" w:eastAsia="IBM Plex Sans"/>
          <w:color w:val="000000"/>
          <w:sz w:val="24"/>
          <w:szCs w:val="24"/>
        </w:rPr>
        <w:t>The client agrees to compensate the consultant a [</w:t>
      </w:r>
      <w:r>
        <w:rPr>
          <w:rFonts w:ascii="IBM Plex Sans Bold" w:hAnsi="IBM Plex Sans Bold" w:cs="IBM Plex Sans Bold" w:eastAsia="IBM Plex Sans Bold"/>
          <w:b/>
          <w:bCs/>
          <w:color w:val="000000"/>
          <w:sz w:val="24"/>
          <w:szCs w:val="24"/>
        </w:rPr>
        <w:t>monthly/hourly</w:t>
      </w:r>
      <w:r>
        <w:rPr>
          <w:rFonts w:ascii="IBM Plex Sans" w:hAnsi="IBM Plex Sans" w:cs="IBM Plex Sans" w:eastAsia="IBM Plex Sans"/>
          <w:color w:val="000000"/>
          <w:sz w:val="24"/>
          <w:szCs w:val="24"/>
        </w:rPr>
        <w:t>] fee of [</w:t>
      </w:r>
      <w:r>
        <w:rPr>
          <w:rFonts w:ascii="IBM Plex Sans Bold" w:hAnsi="IBM Plex Sans Bold" w:cs="IBM Plex Sans Bold" w:eastAsia="IBM Plex Sans Bold"/>
          <w:b/>
          <w:bCs/>
          <w:color w:val="000000"/>
          <w:sz w:val="24"/>
          <w:szCs w:val="24"/>
        </w:rPr>
        <w:t>amount goes here</w:t>
      </w:r>
      <w:r>
        <w:rPr>
          <w:rFonts w:ascii="IBM Plex Sans" w:hAnsi="IBM Plex Sans" w:cs="IBM Plex Sans" w:eastAsia="IBM Plex Sans"/>
          <w:color w:val="000000"/>
          <w:sz w:val="24"/>
          <w:szCs w:val="24"/>
        </w:rPr>
        <w:t>], to be collected on the [</w:t>
      </w:r>
      <w:r>
        <w:rPr>
          <w:rFonts w:ascii="IBM Plex Sans Bold" w:hAnsi="IBM Plex Sans Bold" w:cs="IBM Plex Sans Bold" w:eastAsia="IBM Plex Sans Bold"/>
          <w:b/>
          <w:bCs/>
          <w:color w:val="000000"/>
          <w:sz w:val="24"/>
          <w:szCs w:val="24"/>
        </w:rPr>
        <w:t>insert day here</w:t>
      </w:r>
      <w:r>
        <w:rPr>
          <w:rFonts w:ascii="IBM Plex Sans" w:hAnsi="IBM Plex Sans" w:cs="IBM Plex Sans" w:eastAsia="IBM Plex Sans"/>
          <w:color w:val="000000"/>
          <w:sz w:val="24"/>
          <w:szCs w:val="24"/>
        </w:rPr>
        <w:t xml:space="preserve">] of each month for the duration of the consultancy term.
</w:t>
      </w:r>
    </w:p>
    <w:p>
      <w:pPr>
        <w:spacing w:after="120" w:before="120" w:line="336" w:lineRule="auto"/>
        <w:ind w:firstLine="0" w:start="0"/>
        <w:jc w:val="start"/>
      </w:pPr>
      <w:r>
        <w:rPr>
          <w:rFonts w:ascii="IBM Plex Sans" w:hAnsi="IBM Plex Sans" w:cs="IBM Plex Sans" w:eastAsia="IBM Plex Sans"/>
          <w:color w:val="000000"/>
          <w:sz w:val="24"/>
          <w:szCs w:val="24"/>
        </w:rPr>
        <w:t xml:space="preserve">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9030"/>
      </w:tblGrid>
      <w:tr>
        <w:tc>
          <w:tcPr>
            <w:tcW w:w="9030" w:type="dxa"/>
            <w:shd w:val="clear" w:color="auto" w:fill="d6d3c6"/>
            <w:tcMar>
              <w:top w:w="90"/>
              <w:start w:w="90"/>
              <w:bottom w:w="90"/>
              <w:end w:w="90"/>
            </w:tcMar>
          </w:tcPr>
          <w:p>
            <w:pPr>
              <w:spacing w:after="120" w:before="120" w:line="336" w:lineRule="auto"/>
              <w:ind w:firstLine="0" w:start="0"/>
              <w:jc w:val="center"/>
            </w:pPr>
            <w:r>
              <w:rPr>
                <w:rFonts w:ascii="IBM Plex Sans" w:hAnsi="IBM Plex Sans" w:cs="IBM Plex Sans" w:eastAsia="IBM Plex Sans"/>
                <w:color w:val="000000"/>
                <w:sz w:val="50"/>
                <w:szCs w:val="50"/>
              </w:rPr>
              <w:t>CONFIDENTIALITY AGREEMENT</w:t>
            </w:r>
            <w:r>
              <w:rPr>
                <w:rFonts w:ascii="IBM Plex Sans" w:hAnsi="IBM Plex Sans" w:cs="IBM Plex Sans" w:eastAsia="IBM Plex Sans"/>
                <w:color w:val="000000"/>
                <w:sz w:val="50"/>
                <w:szCs w:val="50"/>
              </w:rPr>
              <w:t xml:space="preserve">
</w:t>
            </w:r>
          </w:p>
        </w:tc>
      </w:tr>
    </w:tbl>
    <w:p>
      <w:pPr>
        <w:spacing w:after="120" w:before="120" w:line="336" w:lineRule="auto"/>
        <w:ind w:firstLine="0" w:start="0"/>
        <w:jc w:val="start"/>
      </w:pPr>
      <w:r>
        <w:rPr>
          <w:rFonts w:ascii="IBM Plex Sans" w:hAnsi="IBM Plex Sans" w:cs="IBM Plex Sans" w:eastAsia="IBM Plex Sans"/>
          <w:color w:val="000000"/>
          <w:sz w:val="24"/>
          <w:szCs w:val="24"/>
        </w:rPr>
        <w:t>Both the consultant and client agree to keep confidential all proprietary information shared during the course of this agreement. Confidential information shall not be disclosed to any third party without written consent unless required by law.</w:t>
      </w:r>
      <w:r>
        <w:rPr>
          <w:rFonts w:ascii="IBM Plex Sans" w:hAnsi="IBM Plex Sans" w:cs="IBM Plex Sans" w:eastAsia="IBM Plex Sans"/>
          <w:color w:val="000000"/>
          <w:sz w:val="36"/>
          <w:szCs w:val="36"/>
        </w:rPr>
        <w:t xml:space="preserve">
</w:t>
      </w:r>
    </w:p>
    <w:p>
      <w:pPr>
        <w:spacing w:after="120" w:before="120" w:line="336" w:lineRule="auto"/>
        <w:ind w:firstLine="0" w:start="0"/>
        <w:jc w:val="start"/>
      </w:pPr>
      <w:r>
        <w:rPr>
          <w:rFonts w:ascii="IBM Plex Sans" w:hAnsi="IBM Plex Sans" w:cs="IBM Plex Sans" w:eastAsia="IBM Plex Sans"/>
          <w:color w:val="000000"/>
          <w:sz w:val="64"/>
          <w:szCs w:val="64"/>
        </w:rPr>
        <w:t xml:space="preserve">
</w:t>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9030"/>
      </w:tblGrid>
      <w:tr>
        <w:tc>
          <w:tcPr>
            <w:tcW w:w="9030" w:type="dxa"/>
            <w:shd w:val="clear" w:color="auto" w:fill="d6d3c6"/>
            <w:tcMar>
              <w:top w:w="90"/>
              <w:start w:w="90"/>
              <w:bottom w:w="90"/>
              <w:end w:w="90"/>
            </w:tcMar>
          </w:tcPr>
          <w:p>
            <w:pPr>
              <w:spacing w:after="120" w:before="120" w:line="336" w:lineRule="auto"/>
              <w:ind w:firstLine="0" w:start="0"/>
              <w:jc w:val="center"/>
            </w:pPr>
            <w:r>
              <w:rPr>
                <w:rFonts w:ascii="IBM Plex Sans" w:hAnsi="IBM Plex Sans" w:cs="IBM Plex Sans" w:eastAsia="IBM Plex Sans"/>
                <w:color w:val="000000"/>
                <w:sz w:val="50"/>
                <w:szCs w:val="50"/>
              </w:rPr>
              <w:t>SIGNATURES</w:t>
            </w:r>
            <w:r>
              <w:rPr>
                <w:rFonts w:ascii="IBM Plex Sans" w:hAnsi="IBM Plex Sans" w:cs="IBM Plex Sans" w:eastAsia="IBM Plex Sans"/>
                <w:color w:val="000000"/>
                <w:sz w:val="50"/>
                <w:szCs w:val="50"/>
              </w:rPr>
              <w:t xml:space="preserve">
</w:t>
            </w:r>
          </w:p>
        </w:tc>
      </w:tr>
    </w:tbl>
    <w:tbl>
      <w:tblPr>
        <w:tblW w:w="9030" w:type="dxa"/>
        <w:tblBorders>
          <w:top w:val="none" w:color="000000" w:sz="0"/>
          <w:start w:color="000000" w:sz="0" w:val="none"/>
          <w:left w:val="single"/>
          <w:bottom w:val="none" w:color="000000" w:sz="0"/>
          <w:end w:color="000000" w:sz="0" w:val="none"/>
          <w:right w:val="single"/>
          <w:insideH w:val="none" w:color="000000" w:sz="0"/>
          <w:insideV w:val="none" w:color="000000" w:sz="0"/>
        </w:tblBorders>
      </w:tblPr>
      <w:tblGrid>
        <w:gridCol w:w="4463"/>
        <w:gridCol w:w="4566"/>
      </w:tblGrid>
      <w:tr>
        <w:tc>
          <w:tcPr>
            <w:tcW w:w="4463" w:type="dxa"/>
            <w:tcMar>
              <w:top w:w="0"/>
              <w:start w:w="0"/>
              <w:bottom w:w="0"/>
              <w:end w:w="0"/>
            </w:tcMar>
          </w:tcPr>
          <w:p>
            <w:pPr>
              <w:spacing w:after="120" w:before="120" w:line="336" w:lineRule="auto"/>
              <w:ind w:firstLine="0" w:start="0"/>
              <w:jc w:val="center"/>
            </w:pPr>
            <w:r>
              <w:rPr>
                <w:rFonts w:ascii="Alex Brush" w:hAnsi="Alex Brush" w:cs="Alex Brush" w:eastAsia="Alex Brush"/>
                <w:color w:val="000000"/>
                <w:sz w:val="90"/>
                <w:szCs w:val="90"/>
              </w:rPr>
              <w:t xml:space="preserve">signature here
</w:t>
            </w:r>
          </w:p>
          <w:p>
            <w:pPr>
              <w:spacing w:after="120" w:before="120" w:line="336" w:lineRule="auto"/>
              <w:ind w:firstLine="0" w:start="0"/>
              <w:jc w:val="center"/>
            </w:pPr>
            <w:r>
              <w:rPr>
                <w:rFonts w:ascii="IBM Plex Sans" w:hAnsi="IBM Plex Sans" w:cs="IBM Plex Sans" w:eastAsia="IBM Plex Sans"/>
                <w:color w:val="000000"/>
                <w:sz w:val="24"/>
                <w:szCs w:val="24"/>
              </w:rPr>
              <w:t xml:space="preserve">Client name here
</w:t>
            </w:r>
          </w:p>
          <w:p>
            <w:pPr>
              <w:spacing w:after="120" w:before="120" w:line="336" w:lineRule="auto"/>
              <w:ind w:firstLine="0" w:start="0"/>
              <w:jc w:val="center"/>
            </w:pPr>
            <w:r>
              <w:rPr>
                <w:rFonts w:ascii="IBM Plex Sans" w:hAnsi="IBM Plex Sans" w:cs="IBM Plex Sans" w:eastAsia="IBM Plex Sans"/>
                <w:color w:val="000000"/>
                <w:sz w:val="24"/>
                <w:szCs w:val="24"/>
              </w:rPr>
              <w:t>Date goes here</w:t>
            </w:r>
            <w:r>
              <w:rPr>
                <w:rFonts w:ascii="IBM Plex Sans" w:hAnsi="IBM Plex Sans" w:cs="IBM Plex Sans" w:eastAsia="IBM Plex Sans"/>
                <w:color w:val="000000"/>
                <w:sz w:val="24"/>
                <w:szCs w:val="24"/>
              </w:rPr>
              <w:t xml:space="preserve">
</w:t>
            </w:r>
          </w:p>
        </w:tc>
        <w:tc>
          <w:tcPr>
            <w:tcW w:w="4566" w:type="dxa"/>
            <w:tcMar>
              <w:top w:w="0"/>
              <w:start w:w="0"/>
              <w:bottom w:w="0"/>
              <w:end w:w="0"/>
            </w:tcMar>
          </w:tcPr>
          <w:p>
            <w:pPr>
              <w:spacing w:after="120" w:before="120" w:line="336" w:lineRule="auto"/>
              <w:ind w:firstLine="0" w:start="0"/>
              <w:jc w:val="center"/>
            </w:pPr>
            <w:r>
              <w:rPr>
                <w:rFonts w:ascii="Alex Brush" w:hAnsi="Alex Brush" w:cs="Alex Brush" w:eastAsia="Alex Brush"/>
                <w:color w:val="000000"/>
                <w:sz w:val="90"/>
                <w:szCs w:val="90"/>
              </w:rPr>
              <w:t xml:space="preserve">signature here
</w:t>
            </w:r>
          </w:p>
          <w:p>
            <w:pPr>
              <w:spacing w:after="120" w:before="120" w:line="336" w:lineRule="auto"/>
              <w:ind w:firstLine="0" w:start="0"/>
              <w:jc w:val="center"/>
            </w:pPr>
            <w:r>
              <w:rPr>
                <w:rFonts w:ascii="IBM Plex Sans" w:hAnsi="IBM Plex Sans" w:cs="IBM Plex Sans" w:eastAsia="IBM Plex Sans"/>
                <w:color w:val="000000"/>
                <w:sz w:val="24"/>
                <w:szCs w:val="24"/>
              </w:rPr>
              <w:t>Consultant</w:t>
            </w:r>
            <w:r>
              <w:rPr>
                <w:rFonts w:ascii="IBM Plex Sans" w:hAnsi="IBM Plex Sans" w:cs="IBM Plex Sans" w:eastAsia="IBM Plex Sans"/>
                <w:color w:val="000000"/>
                <w:sz w:val="24"/>
                <w:szCs w:val="24"/>
              </w:rPr>
              <w:t xml:space="preserve"> name here</w:t>
            </w:r>
            <w:r>
              <w:rPr>
                <w:rFonts w:ascii="IBM Plex Sans" w:hAnsi="IBM Plex Sans" w:cs="IBM Plex Sans" w:eastAsia="IBM Plex Sans"/>
                <w:color w:val="000000"/>
                <w:sz w:val="24"/>
                <w:szCs w:val="24"/>
              </w:rPr>
              <w:t xml:space="preserve">
</w:t>
            </w:r>
          </w:p>
          <w:p>
            <w:pPr>
              <w:spacing w:after="120" w:before="120" w:line="336" w:lineRule="auto"/>
              <w:ind w:firstLine="0" w:start="0"/>
              <w:jc w:val="center"/>
            </w:pPr>
            <w:r>
              <w:rPr>
                <w:rFonts w:ascii="IBM Plex Sans" w:hAnsi="IBM Plex Sans" w:cs="IBM Plex Sans" w:eastAsia="IBM Plex Sans"/>
                <w:color w:val="000000"/>
                <w:sz w:val="24"/>
                <w:szCs w:val="24"/>
              </w:rPr>
              <w:t>Date goes here</w:t>
            </w:r>
            <w:r>
              <w:rPr>
                <w:rFonts w:ascii="IBM Plex Sans" w:hAnsi="IBM Plex Sans" w:cs="IBM Plex Sans" w:eastAsia="IBM Plex Sans"/>
                <w:color w:val="000000"/>
                <w:sz w:val="24"/>
                <w:szCs w:val="24"/>
              </w:rPr>
              <w:t xml:space="preserve">
</w:t>
            </w:r>
          </w:p>
        </w:tc>
      </w:tr>
    </w:tbl>
    <w:p>
      <w:pPr>
        <w:spacing w:after="120" w:before="120" w:line="336" w:lineRule="auto"/>
        <w:ind w:firstLine="0" w:start="0"/>
        <w:jc w:val="start"/>
      </w:pPr>
      <w:r>
        <w:rPr>
          <w:rFonts w:ascii="IBM Plex Sans Bold" w:hAnsi="IBM Plex Sans Bold" w:cs="IBM Plex Sans Bold" w:eastAsia="IBM Plex Sans Bold"/>
          <w:b/>
          <w:bCs/>
          <w:color w:val="000000"/>
          <w:sz w:val="24"/>
          <w:szCs w:val="24"/>
        </w:rPr>
        <w:t xml:space="preserve">
</w:t>
      </w:r>
    </w:p>
    <w:p>
      <w:pPr>
        <w:spacing w:after="120" w:before="120" w:line="336" w:lineRule="auto"/>
        <w:ind w:firstLine="0" w:start="0"/>
        <w:jc w:val="start"/>
      </w:pPr>
      <w:r>
        <w:rPr>
          <w:rFonts w:ascii="IBM Plex Sans" w:hAnsi="IBM Plex Sans" w:cs="IBM Plex Sans" w:eastAsia="IBM Plex Sans"/>
          <w:color w:val="000000"/>
          <w:sz w:val="36"/>
          <w:szCs w:val="36"/>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3605"/>
        <w:gridCol w:w="2660"/>
        <w:gridCol w:w="2765"/>
      </w:tblGrid>
      <w:tr>
        <w:tc>
          <w:tcPr>
            <w:tcW w:w="3605" w:type="dxa"/>
            <w:shd w:val="clear" w:color="auto" w:fill="d6d3c6"/>
            <w:tcMar>
              <w:top w:w="180"/>
              <w:start w:w="180"/>
              <w:bottom w:w="180"/>
              <w:end w:w="180"/>
            </w:tcMar>
          </w:tcPr>
          <w:p>
            <w:pPr>
              <w:spacing w:after="120" w:before="120" w:line="336" w:lineRule="auto"/>
              <w:ind w:firstLine="0" w:start="0"/>
              <w:jc w:val="start"/>
            </w:pPr>
            <w:r>
              <w:rPr>
                <w:rFonts w:ascii="IBM Plex Sans" w:hAnsi="IBM Plex Sans" w:cs="IBM Plex Sans" w:eastAsia="IBM Plex Sans"/>
                <w:color w:val="000000"/>
                <w:spacing w:val="-4"/>
                <w:sz w:val="36"/>
                <w:szCs w:val="36"/>
              </w:rPr>
              <w:t xml:space="preserve">CREDITS
</w:t>
            </w:r>
          </w:p>
          <w:p>
            <w:pPr>
              <w:spacing w:after="120" w:before="120" w:line="336" w:lineRule="auto"/>
              <w:ind w:firstLine="0" w:start="0"/>
              <w:jc w:val="start"/>
            </w:pPr>
            <w:r>
              <w:rPr>
                <w:rFonts w:ascii="IBM Plex Sans" w:hAnsi="IBM Plex Sans" w:cs="IBM Plex Sans" w:eastAsia="IBM Plex Sans"/>
                <w:color w:val="000000"/>
                <w:spacing w:val="-2"/>
                <w:sz w:val="24"/>
                <w:szCs w:val="24"/>
              </w:rPr>
              <w:t>This template is free for everyone to use, thanks to the following:</w:t>
            </w:r>
            <w:r>
              <w:rPr>
                <w:rFonts w:ascii="IBM Plex Sans" w:hAnsi="IBM Plex Sans" w:cs="IBM Plex Sans" w:eastAsia="IBM Plex Sans"/>
                <w:color w:val="000000"/>
                <w:sz w:val="24"/>
                <w:szCs w:val="24"/>
              </w:rPr>
              <w:t xml:space="preserve">
</w:t>
            </w:r>
          </w:p>
        </w:tc>
        <w:tc>
          <w:tcPr>
            <w:tcW w:w="2660" w:type="dxa"/>
            <w:shd w:val="clear" w:color="auto" w:fill="d6d3c6"/>
            <w:tcMar>
              <w:top w:w="180"/>
              <w:start w:w="180"/>
              <w:bottom w:w="180"/>
              <w:end w:w="180"/>
            </w:tcMar>
          </w:tcPr>
          <w:p>
            <w:pPr>
              <w:spacing w:after="120" w:before="120"/>
              <w:jc w:val="center"/>
            </w:pPr>
            <w:r>
              <w:drawing>
                <wp:inline>
                  <wp:extent cx="1460500" cy="365125"/>
                  <wp:docPr id="1" name="Drawing 1" descr="0265786d-8bde-4883-a3a7-b788f121f8a2.png"/>
                  <wp:cNvGraphicFramePr>
                    <a:graphicFrameLocks noChangeAspect="true"/>
                  </wp:cNvGraphicFramePr>
                  <a:graphic>
                    <a:graphicData uri="http://schemas.openxmlformats.org/drawingml/2006/picture">
                      <pic:pic xmlns:pic="http://schemas.openxmlformats.org/drawingml/2006/picture">
                        <pic:nvPicPr>
                          <pic:cNvPr id="0" name="Picture 1" descr="0265786d-8bde-4883-a3a7-b788f121f8a2.png"/>
                          <pic:cNvPicPr>
                            <a:picLocks noChangeAspect="true"/>
                          </pic:cNvPicPr>
                        </pic:nvPicPr>
                        <pic:blipFill>
                          <a:blip r:embed="rId5"/>
                          <a:stretch>
                            <a:fillRect/>
                          </a:stretch>
                        </pic:blipFill>
                        <pic:spPr>
                          <a:xfrm flipH="false" flipV="false">
                            <a:off x="0" y="0"/>
                            <a:ext cx="1460500" cy="365125"/>
                          </a:xfrm>
                          <a:prstGeom prst="rect">
                            <a:avLst/>
                          </a:prstGeom>
                        </pic:spPr>
                      </pic:pic>
                    </a:graphicData>
                  </a:graphic>
                </wp:inline>
              </w:drawing>
            </w:r>
          </w:p>
          <w:p>
            <w:pPr>
              <w:spacing w:after="120" w:before="120" w:line="240" w:lineRule="auto"/>
              <w:ind w:firstLine="0" w:start="0"/>
              <w:jc w:val="center"/>
            </w:pPr>
            <w:r>
              <w:rPr>
                <w:rFonts w:ascii="IBM Plex Sans" w:hAnsi="IBM Plex Sans" w:cs="IBM Plex Sans" w:eastAsia="IBM Plex Sans"/>
                <w:color w:val="000000"/>
                <w:sz w:val="24"/>
                <w:szCs w:val="24"/>
              </w:rPr>
              <w:t>for the template</w:t>
            </w:r>
            <w:r>
              <w:rPr>
                <w:rFonts w:ascii="IBM Plex Sans" w:hAnsi="IBM Plex Sans" w:cs="IBM Plex Sans" w:eastAsia="IBM Plex Sans"/>
                <w:color w:val="000000"/>
                <w:sz w:val="24"/>
                <w:szCs w:val="24"/>
              </w:rPr>
              <w:t xml:space="preserve">
</w:t>
            </w:r>
          </w:p>
        </w:tc>
        <w:tc>
          <w:tcPr>
            <w:tcW w:w="2765" w:type="dxa"/>
            <w:shd w:val="clear" w:color="auto" w:fill="d6d3c6"/>
            <w:tcMar>
              <w:top w:w="180"/>
              <w:start w:w="180"/>
              <w:bottom w:w="180"/>
              <w:end w:w="180"/>
            </w:tcMar>
          </w:tcPr>
          <w:p>
            <w:pPr>
              <w:spacing w:after="120" w:before="120" w:line="288" w:lineRule="auto"/>
              <w:ind w:firstLine="0" w:start="0"/>
              <w:jc w:val="center"/>
            </w:pPr>
            <w:r>
              <w:rPr>
                <w:rFonts w:ascii="IBM Plex Sans" w:hAnsi="IBM Plex Sans" w:cs="IBM Plex Sans" w:eastAsia="IBM Plex Sans"/>
                <w:color w:val="000000"/>
                <w:sz w:val="40"/>
                <w:szCs w:val="40"/>
              </w:rPr>
              <w:t>Pexels, Pixabay</w:t>
            </w:r>
            <w:r>
              <w:rPr>
                <w:rFonts w:ascii="IBM Plex Sans" w:hAnsi="IBM Plex Sans" w:cs="IBM Plex Sans" w:eastAsia="IBM Plex Sans"/>
                <w:color w:val="000000"/>
                <w:sz w:val="40"/>
                <w:szCs w:val="40"/>
              </w:rPr>
              <w:t xml:space="preserve">
</w:t>
            </w:r>
          </w:p>
          <w:p>
            <w:pPr>
              <w:spacing w:after="120" w:before="120" w:line="288" w:lineRule="auto"/>
              <w:ind w:firstLine="0" w:start="0"/>
              <w:jc w:val="center"/>
            </w:pPr>
            <w:r>
              <w:rPr>
                <w:rFonts w:ascii="IBM Plex Sans" w:hAnsi="IBM Plex Sans" w:cs="IBM Plex Sans" w:eastAsia="IBM Plex Sans"/>
                <w:color w:val="000000"/>
                <w:sz w:val="24"/>
                <w:szCs w:val="24"/>
              </w:rPr>
              <w:t>for the photos</w:t>
            </w:r>
            <w:r>
              <w:rPr>
                <w:rFonts w:ascii="IBM Plex Sans" w:hAnsi="IBM Plex Sans" w:cs="IBM Plex Sans" w:eastAsia="IBM Plex Sans"/>
                <w:color w:val="000000"/>
                <w:sz w:val="24"/>
                <w:szCs w:val="24"/>
              </w:rPr>
              <w:t xml:space="preserve">
</w:t>
            </w:r>
          </w:p>
        </w:tc>
      </w:tr>
    </w:tbl>
    <w:p>
      <w:pPr>
        <w:spacing w:after="120" w:before="120" w:line="336" w:lineRule="auto"/>
        <w:ind w:firstLine="0" w:start="0"/>
        <w:jc w:val="start"/>
      </w:pPr>
      <w:r>
        <w:rPr>
          <w:rFonts w:ascii="IBM Plex Sans Bold" w:hAnsi="IBM Plex Sans Bold" w:cs="IBM Plex Sans Bold" w:eastAsia="IBM Plex Sans Bold"/>
          <w:b/>
          <w:bCs/>
          <w:color w:val="000000"/>
          <w:sz w:val="64"/>
          <w:szCs w:val="6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w:panose1 w:val="020B0604020202020204"/>
    <w:charset w:characterSet="1"/>
    <w:embedRegular r:id="rId2"/>
  </w:font>
  <w:font w:name="Arimo Bold Italics">
    <w:panose1 w:val="020B0704020202090204"/>
    <w:charset w:characterSet="1"/>
    <w:embedBoldItalic r:id="rId3"/>
  </w:font>
  <w:font w:name="Arimo Bold">
    <w:panose1 w:val="020B0704020202020204"/>
    <w:charset w:characterSet="1"/>
    <w:embedBold r:id="rId4"/>
  </w:font>
  <w:font w:name="IBM Plex Sans Italics">
    <w:panose1 w:val="020B0503050203000203"/>
    <w:charset w:characterSet="1"/>
    <w:embedItalic r:id="rId5"/>
  </w:font>
  <w:font w:name="IBM Plex Sans Thin Italics">
    <w:panose1 w:val="020B0203050203000203"/>
    <w:charset w:characterSet="1"/>
    <w:embedItalic r:id="rId6"/>
  </w:font>
  <w:font w:name="IBM Plex Sans Thin">
    <w:panose1 w:val="020B0203050203000203"/>
    <w:charset w:characterSet="1"/>
    <w:embedRegular r:id="rId7"/>
  </w:font>
  <w:font w:name="IBM Plex Sans Bold Italics">
    <w:panose1 w:val="020B0803050203000203"/>
    <w:charset w:characterSet="1"/>
    <w:embedBoldItalic r:id="rId8"/>
  </w:font>
  <w:font w:name="IBM Plex Sans">
    <w:panose1 w:val="020B0503050203000203"/>
    <w:charset w:characterSet="1"/>
    <w:embedRegular r:id="rId9"/>
  </w:font>
  <w:font w:name="IBM Plex Sans Medium">
    <w:panose1 w:val="020B0603050203000203"/>
    <w:charset w:characterSet="1"/>
    <w:embedBold r:id="rId10"/>
  </w:font>
  <w:font w:name="IBM Plex Sans Bold">
    <w:panose1 w:val="020B0803050203000203"/>
    <w:charset w:characterSet="1"/>
    <w:embedBold r:id="rId11"/>
  </w:font>
  <w:font w:name="IBM Plex Sans Medium Italics">
    <w:panose1 w:val="020B0603050203000203"/>
    <w:charset w:characterSet="1"/>
    <w:embedBoldItalic r:id="rId12"/>
  </w:font>
  <w:font w:name="Alex Brush">
    <w:panose1 w:val="00000000000000000000"/>
    <w:charset w:characterSet="1"/>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numbering.xml" Type="http://schemas.openxmlformats.org/officeDocument/2006/relationships/numbering"/><Relationship Id="rId5" Target="media/image2.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2025-04-25T05:29:57Z</dcterms:created>
  <dc:creator>Apache POI</dc:creator>
</cp:coreProperties>
</file>