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F6E" w:rsidRDefault="004B7F6E" w:rsidP="004B7F6E">
      <w:pPr>
        <w:pStyle w:val="Heading1"/>
        <w:pBdr>
          <w:bottom w:val="double" w:sz="6" w:space="1" w:color="auto"/>
        </w:pBdr>
        <w:jc w:val="center"/>
        <w:rPr>
          <w:b/>
          <w:bCs/>
        </w:rPr>
      </w:pPr>
      <w:r w:rsidRPr="004B7F6E">
        <w:rPr>
          <w:b/>
          <w:bCs/>
        </w:rPr>
        <w:t xml:space="preserve">American University of Sharjah </w:t>
      </w:r>
      <w:r>
        <w:rPr>
          <w:b/>
          <w:bCs/>
        </w:rPr>
        <w:t xml:space="preserve">(AUS) </w:t>
      </w:r>
      <w:r w:rsidRPr="004B7F6E">
        <w:rPr>
          <w:b/>
          <w:bCs/>
        </w:rPr>
        <w:t>GHG Study Data Sheet</w:t>
      </w:r>
    </w:p>
    <w:p w:rsidR="001A1302" w:rsidRDefault="00356754">
      <w:r>
        <w:rPr>
          <w:b/>
          <w:bCs/>
          <w:noProof/>
        </w:rPr>
        <mc:AlternateContent>
          <mc:Choice Requires="wps">
            <w:drawing>
              <wp:anchor distT="0" distB="0" distL="114300" distR="114300" simplePos="0" relativeHeight="251661312" behindDoc="0" locked="0" layoutInCell="1" allowOverlap="1">
                <wp:simplePos x="0" y="0"/>
                <wp:positionH relativeFrom="column">
                  <wp:posOffset>1013460</wp:posOffset>
                </wp:positionH>
                <wp:positionV relativeFrom="paragraph">
                  <wp:posOffset>1831975</wp:posOffset>
                </wp:positionV>
                <wp:extent cx="152400" cy="426720"/>
                <wp:effectExtent l="0" t="0" r="0" b="0"/>
                <wp:wrapNone/>
                <wp:docPr id="3" name="Rectangle 3"/>
                <wp:cNvGraphicFramePr/>
                <a:graphic xmlns:a="http://schemas.openxmlformats.org/drawingml/2006/main">
                  <a:graphicData uri="http://schemas.microsoft.com/office/word/2010/wordprocessingShape">
                    <wps:wsp>
                      <wps:cNvSpPr/>
                      <wps:spPr>
                        <a:xfrm>
                          <a:off x="0" y="0"/>
                          <a:ext cx="152400" cy="426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9E7F6" id="Rectangle 3" o:spid="_x0000_s1026" style="position:absolute;margin-left:79.8pt;margin-top:144.25pt;width:12pt;height:3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" fillcolor="white [3212]" stroked="f" strokeweight="1pt"/>
            </w:pict>
          </mc:Fallback>
        </mc:AlternateContent>
      </w:r>
      <w:r>
        <w:rPr>
          <w:b/>
          <w:bCs/>
          <w:noProof/>
        </w:rPr>
        <mc:AlternateContent>
          <mc:Choice Requires="wps">
            <w:drawing>
              <wp:anchor distT="0" distB="0" distL="114300" distR="114300" simplePos="0" relativeHeight="251660288" behindDoc="0" locked="0" layoutInCell="1" allowOverlap="1">
                <wp:simplePos x="0" y="0"/>
                <wp:positionH relativeFrom="column">
                  <wp:posOffset>815340</wp:posOffset>
                </wp:positionH>
                <wp:positionV relativeFrom="paragraph">
                  <wp:posOffset>2159635</wp:posOffset>
                </wp:positionV>
                <wp:extent cx="1562100" cy="89916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8991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69F14" id="Rectangle 2" o:spid="_x0000_s1026" style="position:absolute;margin-left:64.2pt;margin-top:170.05pt;width:123pt;height:7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" fillcolor="white [3212]" stroked="f" strokeweight="1pt"/>
            </w:pict>
          </mc:Fallback>
        </mc:AlternateContent>
      </w:r>
      <w:r w:rsidRPr="00356754">
        <w:rPr>
          <w:b/>
          <w:bCs/>
          <w:noProof/>
        </w:rPr>
        <mc:AlternateContent>
          <mc:Choice Requires="wps">
            <w:drawing>
              <wp:anchor distT="45720" distB="45720" distL="114300" distR="114300" simplePos="0" relativeHeight="251659264" behindDoc="1" locked="0" layoutInCell="1" allowOverlap="1">
                <wp:simplePos x="0" y="0"/>
                <wp:positionH relativeFrom="column">
                  <wp:posOffset>853440</wp:posOffset>
                </wp:positionH>
                <wp:positionV relativeFrom="paragraph">
                  <wp:posOffset>2167255</wp:posOffset>
                </wp:positionV>
                <wp:extent cx="1440180" cy="853440"/>
                <wp:effectExtent l="0" t="0" r="266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5344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rsidR="00356754" w:rsidRDefault="00356754">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2pt;margin-top:170.65pt;width:113.4pt;height:67.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">
                <v:textbox>
                  <w:txbxContent>
                    <w:sdt>
                      <w:sdtPr>
                        <w:id w:val="568603642"/>
                        <w:temporary/>
                        <w:showingPlcHdr/>
                        <w15:appearance w15:val="hidden"/>
                      </w:sdtPr>
                      <w:sdtContent>
                        <w:p w:rsidR="00356754" w:rsidRDefault="00356754">
                          <w:r>
                            <w:t>[Grab your reader’s attention with a great quote from the document or use this space to emphasize a key point. To place this text box anywhere on the page, just drag it.]</w:t>
                          </w:r>
                        </w:p>
                      </w:sdtContent>
                    </w:sdt>
                  </w:txbxContent>
                </v:textbox>
              </v:shape>
            </w:pict>
          </mc:Fallback>
        </mc:AlternateContent>
      </w:r>
      <w:r w:rsidR="001A1302" w:rsidRPr="001A1302">
        <w:rPr>
          <w:noProof/>
        </w:rPr>
        <w:drawing>
          <wp:inline distT="0" distB="0" distL="0" distR="0" wp14:anchorId="2C21ED11" wp14:editId="3E379032">
            <wp:extent cx="5601185" cy="4419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01185" cy="4419983"/>
                    </a:xfrm>
                    <a:prstGeom prst="rect">
                      <a:avLst/>
                    </a:prstGeom>
                    <a:solidFill>
                      <a:schemeClr val="bg1"/>
                    </a:solidFill>
                  </pic:spPr>
                </pic:pic>
              </a:graphicData>
            </a:graphic>
          </wp:inline>
        </w:drawing>
      </w:r>
    </w:p>
    <w:p w:rsidR="001A1302" w:rsidRDefault="001A1302"/>
    <w:p w:rsidR="001A1302" w:rsidRDefault="001A1302" w:rsidP="001A1302">
      <w:pPr>
        <w:pStyle w:val="Heading2"/>
      </w:pPr>
      <w:r>
        <w:t>Scope 1: Direct</w:t>
      </w:r>
      <w:r w:rsidR="004B7F6E">
        <w:t xml:space="preserve"> Emissions</w:t>
      </w:r>
    </w:p>
    <w:p w:rsidR="001A1302" w:rsidRDefault="001A1302" w:rsidP="001A1302">
      <w:r w:rsidRPr="004C0430">
        <w:rPr>
          <w:i/>
          <w:u w:val="single"/>
        </w:rPr>
        <w:t>University Fleet</w:t>
      </w:r>
      <w:r w:rsidRPr="004C0430">
        <w:t>: Refers to the university-based vehicles utilized in commuting either inside or outside the vicinity of the university.</w:t>
      </w:r>
    </w:p>
    <w:p w:rsidR="001A1302" w:rsidRDefault="001A1302" w:rsidP="001A1302">
      <w:pPr>
        <w:pStyle w:val="Heading2"/>
      </w:pPr>
      <w:r>
        <w:t>Scope 2: Indirect</w:t>
      </w:r>
      <w:r w:rsidR="004B7F6E">
        <w:t xml:space="preserve"> Emissions</w:t>
      </w:r>
    </w:p>
    <w:p w:rsidR="001A1302" w:rsidRDefault="001A1302" w:rsidP="001A1302">
      <w:r w:rsidRPr="004C0430">
        <w:rPr>
          <w:i/>
          <w:u w:val="single"/>
        </w:rPr>
        <w:t>Electricity Consumption:</w:t>
      </w:r>
      <w:r w:rsidRPr="004C0430">
        <w:t xml:space="preserve"> The total quantity of the electricity consumed within the premise of the university.</w:t>
      </w:r>
    </w:p>
    <w:p w:rsidR="001A1302" w:rsidRDefault="001A1302" w:rsidP="001A1302">
      <w:r w:rsidRPr="004C0430">
        <w:rPr>
          <w:i/>
          <w:u w:val="single"/>
        </w:rPr>
        <w:t>Water Consumption:</w:t>
      </w:r>
      <w:r w:rsidRPr="004C0430">
        <w:t xml:space="preserve"> The total quantity of the water consumed within the premise of the university, which </w:t>
      </w:r>
      <w:r>
        <w:t xml:space="preserve">just covers </w:t>
      </w:r>
      <w:r w:rsidRPr="004C0430">
        <w:t>the indoor water usage</w:t>
      </w:r>
    </w:p>
    <w:p w:rsidR="001A1302" w:rsidRDefault="001A1302" w:rsidP="001A1302">
      <w:pPr>
        <w:pStyle w:val="Heading2"/>
      </w:pPr>
      <w:r>
        <w:t>Scope 3: Indirect Emissions</w:t>
      </w:r>
    </w:p>
    <w:p w:rsidR="001A1302" w:rsidRDefault="001A1302" w:rsidP="001A1302">
      <w:r w:rsidRPr="004C0430">
        <w:rPr>
          <w:i/>
          <w:u w:val="single"/>
        </w:rPr>
        <w:t xml:space="preserve">University </w:t>
      </w:r>
      <w:r>
        <w:rPr>
          <w:i/>
          <w:u w:val="single"/>
        </w:rPr>
        <w:t>C</w:t>
      </w:r>
      <w:r w:rsidRPr="004C0430">
        <w:rPr>
          <w:i/>
          <w:u w:val="single"/>
        </w:rPr>
        <w:t>ommute:</w:t>
      </w:r>
      <w:r w:rsidRPr="004C0430">
        <w:t xml:space="preserve"> </w:t>
      </w:r>
      <w:r>
        <w:t>AUS conducts an annual sustainability survey with a subsection on commute. The calculations are based on</w:t>
      </w:r>
      <w:r w:rsidRPr="004C0430">
        <w:t xml:space="preserve"> the </w:t>
      </w:r>
      <w:r>
        <w:t xml:space="preserve">type </w:t>
      </w:r>
      <w:r w:rsidRPr="004C0430">
        <w:t>vehicle,</w:t>
      </w:r>
      <w:r>
        <w:t xml:space="preserve"> fuel type, and distance traveled</w:t>
      </w:r>
      <w:r w:rsidRPr="004C0430">
        <w:t xml:space="preserve"> </w:t>
      </w:r>
    </w:p>
    <w:p w:rsidR="001A1302" w:rsidRDefault="001A1302" w:rsidP="001A1302">
      <w:pPr>
        <w:rPr>
          <w:rFonts w:cstheme="minorHAnsi"/>
          <w:color w:val="3A62A1"/>
        </w:rPr>
      </w:pPr>
      <w:r w:rsidRPr="004C0430">
        <w:rPr>
          <w:i/>
          <w:u w:val="single"/>
        </w:rPr>
        <w:lastRenderedPageBreak/>
        <w:t xml:space="preserve">Business </w:t>
      </w:r>
      <w:r>
        <w:rPr>
          <w:i/>
          <w:u w:val="single"/>
        </w:rPr>
        <w:t>Air T</w:t>
      </w:r>
      <w:r w:rsidRPr="004C0430">
        <w:rPr>
          <w:i/>
          <w:u w:val="single"/>
        </w:rPr>
        <w:t>ravel:</w:t>
      </w:r>
      <w:r>
        <w:rPr>
          <w:i/>
        </w:rPr>
        <w:t xml:space="preserve"> Air travel was calculated in </w:t>
      </w:r>
      <w:r w:rsidRPr="004C0430">
        <w:t>collaborati</w:t>
      </w:r>
      <w:r>
        <w:t>o</w:t>
      </w:r>
      <w:r w:rsidRPr="004C0430">
        <w:t xml:space="preserve">n with the </w:t>
      </w:r>
      <w:r>
        <w:t xml:space="preserve">university </w:t>
      </w:r>
      <w:r w:rsidRPr="004C0430">
        <w:t>travel agency in charge of the employee</w:t>
      </w:r>
      <w:r>
        <w:t xml:space="preserve">s’ university funded </w:t>
      </w:r>
      <w:r w:rsidRPr="004C0430">
        <w:t>travel</w:t>
      </w:r>
      <w:r>
        <w:t xml:space="preserve">. The calculation was done by entering the origin and </w:t>
      </w:r>
      <w:r w:rsidRPr="001A1302">
        <w:rPr>
          <w:rFonts w:cstheme="minorHAnsi"/>
        </w:rPr>
        <w:t xml:space="preserve">destination points as well as class of travel into </w:t>
      </w:r>
      <w:hyperlink r:id="rId5" w:history="1">
        <w:r w:rsidRPr="001A1302">
          <w:rPr>
            <w:rStyle w:val="Hyperlink"/>
            <w:rFonts w:cstheme="minorHAnsi"/>
          </w:rPr>
          <w:t>ICAO Carbon Emissions Calculator</w:t>
        </w:r>
      </w:hyperlink>
      <w:r>
        <w:rPr>
          <w:rFonts w:cstheme="minorHAnsi"/>
          <w:color w:val="3A62A1"/>
        </w:rPr>
        <w:t>.</w:t>
      </w:r>
    </w:p>
    <w:p w:rsidR="001A1302" w:rsidRDefault="00FB77C4" w:rsidP="00B32768">
      <w:r w:rsidRPr="004C0430">
        <w:rPr>
          <w:i/>
          <w:u w:val="single"/>
        </w:rPr>
        <w:t xml:space="preserve">Drinking </w:t>
      </w:r>
      <w:r>
        <w:rPr>
          <w:i/>
          <w:u w:val="single"/>
        </w:rPr>
        <w:t>W</w:t>
      </w:r>
      <w:r w:rsidRPr="004C0430">
        <w:rPr>
          <w:i/>
          <w:u w:val="single"/>
        </w:rPr>
        <w:t>ater</w:t>
      </w:r>
      <w:r w:rsidRPr="00B32768">
        <w:rPr>
          <w:iCs/>
          <w:u w:val="single"/>
        </w:rPr>
        <w:t>:</w:t>
      </w:r>
      <w:r w:rsidRPr="00B32768">
        <w:rPr>
          <w:iCs/>
        </w:rPr>
        <w:t xml:space="preserve"> </w:t>
      </w:r>
      <w:r w:rsidR="00B32768" w:rsidRPr="00B32768">
        <w:rPr>
          <w:iCs/>
        </w:rPr>
        <w:t>T</w:t>
      </w:r>
      <w:r w:rsidRPr="004C0430">
        <w:t xml:space="preserve">he quantity of the drinking water consumed in the university is segregated into two sections. Firstly, the amount of single-use water bottles consumed through the outlets, as well as the vending machines provided in the university. Secondly, the water consumed through </w:t>
      </w:r>
      <w:r>
        <w:t xml:space="preserve">5-gallon water </w:t>
      </w:r>
      <w:r w:rsidRPr="004C0430">
        <w:t>coolers.</w:t>
      </w:r>
      <w:r>
        <w:t xml:space="preserve"> This later point is extremely important as the tap water in Sharjah is potable by WHO water quality standards, but is not culturally accepted as potable. </w:t>
      </w:r>
    </w:p>
    <w:p w:rsidR="00FB77C4" w:rsidRDefault="00FB77C4" w:rsidP="00FB77C4">
      <w:r w:rsidRPr="004C0430">
        <w:rPr>
          <w:i/>
          <w:u w:val="single"/>
        </w:rPr>
        <w:t>Waste</w:t>
      </w:r>
      <w:r>
        <w:rPr>
          <w:i/>
          <w:u w:val="single"/>
        </w:rPr>
        <w:t xml:space="preserve"> – Paper Consumption</w:t>
      </w:r>
      <w:r w:rsidRPr="004C0430">
        <w:rPr>
          <w:i/>
          <w:u w:val="single"/>
        </w:rPr>
        <w:t>:</w:t>
      </w:r>
      <w:r w:rsidRPr="00B32768">
        <w:rPr>
          <w:i/>
        </w:rPr>
        <w:t xml:space="preserve"> </w:t>
      </w:r>
      <w:r w:rsidR="00B32768">
        <w:t>T</w:t>
      </w:r>
      <w:r w:rsidRPr="004C0430">
        <w:t xml:space="preserve">he quantity of the waste disposed would be categorized into two sections. Firstly, the amount of paper consumed, would be quantified by obtaining the total amount of paper irrespective of the size and </w:t>
      </w:r>
      <w:r w:rsidR="00B32768">
        <w:t>calculating the</w:t>
      </w:r>
      <w:r w:rsidRPr="004C0430">
        <w:t xml:space="preserve"> emission factors.</w:t>
      </w:r>
      <w:r>
        <w:t xml:space="preserve"> </w:t>
      </w:r>
      <w:r w:rsidRPr="004C0430">
        <w:t xml:space="preserve">Secondly, the waste </w:t>
      </w:r>
      <w:r w:rsidR="00B32768">
        <w:t>sent to the landfill</w:t>
      </w:r>
      <w:r w:rsidRPr="004C0430">
        <w:t xml:space="preserve"> by</w:t>
      </w:r>
      <w:r w:rsidR="00B32768">
        <w:t xml:space="preserve"> the University</w:t>
      </w:r>
      <w:r w:rsidRPr="004C0430">
        <w:t xml:space="preserve"> will be quantified, through conducting regular waste audits conducted </w:t>
      </w:r>
      <w:r w:rsidR="00B32768">
        <w:t>as part of the</w:t>
      </w:r>
      <w:r w:rsidRPr="004C0430">
        <w:t xml:space="preserve"> Sustainable Campus Initiative.</w:t>
      </w:r>
    </w:p>
    <w:tbl>
      <w:tblPr>
        <w:tblW w:w="9085" w:type="dxa"/>
        <w:tblLook w:val="04A0" w:firstRow="1" w:lastRow="0" w:firstColumn="1" w:lastColumn="0" w:noHBand="0" w:noVBand="1"/>
      </w:tblPr>
      <w:tblGrid>
        <w:gridCol w:w="4256"/>
        <w:gridCol w:w="2129"/>
        <w:gridCol w:w="2700"/>
      </w:tblGrid>
      <w:tr w:rsidR="004B7F6E" w:rsidRPr="004B7F6E" w:rsidTr="004B7F6E">
        <w:trPr>
          <w:trHeight w:val="183"/>
        </w:trPr>
        <w:tc>
          <w:tcPr>
            <w:tcW w:w="90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B77C4" w:rsidRPr="004B7F6E" w:rsidRDefault="00FB77C4" w:rsidP="004B7F6E">
            <w:pPr>
              <w:jc w:val="center"/>
              <w:rPr>
                <w:rStyle w:val="Strong"/>
                <w:color w:val="2F5496" w:themeColor="accent1" w:themeShade="BF"/>
              </w:rPr>
            </w:pPr>
            <w:bookmarkStart w:id="0" w:name="_Hlk68424873"/>
            <w:r w:rsidRPr="004B7F6E">
              <w:rPr>
                <w:rStyle w:val="Strong"/>
                <w:color w:val="2F5496" w:themeColor="accent1" w:themeShade="BF"/>
              </w:rPr>
              <w:t>Total Carbon Footprint of the American University of Sharjah for the academic year 201</w:t>
            </w:r>
            <w:r w:rsidR="004B7F6E" w:rsidRPr="004B7F6E">
              <w:rPr>
                <w:rStyle w:val="Strong"/>
                <w:color w:val="2F5496" w:themeColor="accent1" w:themeShade="BF"/>
              </w:rPr>
              <w:t>8</w:t>
            </w:r>
            <w:r w:rsidRPr="004B7F6E">
              <w:rPr>
                <w:rStyle w:val="Strong"/>
                <w:color w:val="2F5496" w:themeColor="accent1" w:themeShade="BF"/>
              </w:rPr>
              <w:t>-201</w:t>
            </w:r>
            <w:r w:rsidR="004B7F6E" w:rsidRPr="004B7F6E">
              <w:rPr>
                <w:rStyle w:val="Strong"/>
                <w:color w:val="2F5496" w:themeColor="accent1" w:themeShade="BF"/>
              </w:rPr>
              <w:t>9</w:t>
            </w:r>
          </w:p>
        </w:tc>
      </w:tr>
      <w:tr w:rsidR="00FB77C4" w:rsidRPr="008C3AE2" w:rsidTr="004B7F6E">
        <w:trPr>
          <w:trHeight w:val="183"/>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FB77C4" w:rsidRPr="008C3AE2" w:rsidRDefault="00FB77C4" w:rsidP="004B7F6E">
            <w:r w:rsidRPr="008C3AE2">
              <w:t>Sources of Emissions</w:t>
            </w:r>
          </w:p>
        </w:tc>
        <w:tc>
          <w:tcPr>
            <w:tcW w:w="2129" w:type="dxa"/>
            <w:tcBorders>
              <w:top w:val="nil"/>
              <w:left w:val="nil"/>
              <w:bottom w:val="single" w:sz="4" w:space="0" w:color="auto"/>
              <w:right w:val="single" w:sz="4" w:space="0" w:color="auto"/>
            </w:tcBorders>
            <w:shd w:val="clear" w:color="auto" w:fill="auto"/>
            <w:noWrap/>
            <w:vAlign w:val="bottom"/>
            <w:hideMark/>
          </w:tcPr>
          <w:p w:rsidR="00FB77C4" w:rsidRPr="008C3AE2" w:rsidRDefault="00FB77C4" w:rsidP="004B7F6E">
            <w:r w:rsidRPr="008C3AE2">
              <w:t>CO2 Tons per Equivalence</w:t>
            </w:r>
          </w:p>
        </w:tc>
        <w:tc>
          <w:tcPr>
            <w:tcW w:w="2700" w:type="dxa"/>
            <w:tcBorders>
              <w:top w:val="nil"/>
              <w:left w:val="nil"/>
              <w:bottom w:val="single" w:sz="4" w:space="0" w:color="auto"/>
              <w:right w:val="single" w:sz="4" w:space="0" w:color="auto"/>
            </w:tcBorders>
            <w:shd w:val="clear" w:color="auto" w:fill="auto"/>
            <w:noWrap/>
            <w:vAlign w:val="bottom"/>
            <w:hideMark/>
          </w:tcPr>
          <w:p w:rsidR="00FB77C4" w:rsidRPr="008C3AE2" w:rsidRDefault="00FB77C4" w:rsidP="004B7F6E">
            <w:r w:rsidRPr="008C3AE2">
              <w:t>% Contributions of Total Emissions</w:t>
            </w:r>
          </w:p>
        </w:tc>
      </w:tr>
      <w:tr w:rsidR="00FB77C4" w:rsidRPr="008C3AE2" w:rsidTr="004B7F6E">
        <w:trPr>
          <w:trHeight w:val="183"/>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FB77C4" w:rsidRPr="008C3AE2" w:rsidRDefault="00FB77C4" w:rsidP="004B7F6E">
            <w:r w:rsidRPr="008C3AE2">
              <w:t>University Fleet</w:t>
            </w:r>
          </w:p>
        </w:tc>
        <w:tc>
          <w:tcPr>
            <w:tcW w:w="2129" w:type="dxa"/>
            <w:tcBorders>
              <w:top w:val="nil"/>
              <w:left w:val="nil"/>
              <w:bottom w:val="single" w:sz="4" w:space="0" w:color="auto"/>
              <w:right w:val="single" w:sz="4" w:space="0" w:color="auto"/>
            </w:tcBorders>
            <w:shd w:val="clear" w:color="auto" w:fill="auto"/>
            <w:noWrap/>
            <w:vAlign w:val="bottom"/>
            <w:hideMark/>
          </w:tcPr>
          <w:p w:rsidR="00FB77C4" w:rsidRPr="008C3AE2" w:rsidRDefault="00FB77C4" w:rsidP="004B7F6E">
            <w:r w:rsidRPr="008C3AE2">
              <w:t>352.2</w:t>
            </w:r>
          </w:p>
        </w:tc>
        <w:tc>
          <w:tcPr>
            <w:tcW w:w="2700" w:type="dxa"/>
            <w:tcBorders>
              <w:top w:val="nil"/>
              <w:left w:val="nil"/>
              <w:bottom w:val="single" w:sz="4" w:space="0" w:color="auto"/>
              <w:right w:val="single" w:sz="4" w:space="0" w:color="auto"/>
            </w:tcBorders>
            <w:shd w:val="clear" w:color="auto" w:fill="auto"/>
            <w:noWrap/>
            <w:vAlign w:val="bottom"/>
            <w:hideMark/>
          </w:tcPr>
          <w:p w:rsidR="00FB77C4" w:rsidRPr="008C3AE2" w:rsidRDefault="00FB77C4" w:rsidP="004B7F6E">
            <w:r w:rsidRPr="008C3AE2">
              <w:t>0.37</w:t>
            </w:r>
          </w:p>
        </w:tc>
      </w:tr>
      <w:tr w:rsidR="00FB77C4" w:rsidRPr="004B7F6E" w:rsidTr="004B7F6E">
        <w:trPr>
          <w:trHeight w:val="183"/>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FB77C4" w:rsidRPr="004B7F6E" w:rsidRDefault="00FB77C4" w:rsidP="004B7F6E">
            <w:pPr>
              <w:rPr>
                <w:rStyle w:val="Strong"/>
              </w:rPr>
            </w:pPr>
            <w:bookmarkStart w:id="1" w:name="_GoBack"/>
            <w:bookmarkEnd w:id="1"/>
            <w:r w:rsidRPr="004B7F6E">
              <w:rPr>
                <w:rStyle w:val="Strong"/>
              </w:rPr>
              <w:t>Total Emissions of Scope 1 (tCO2e)</w:t>
            </w:r>
          </w:p>
        </w:tc>
        <w:tc>
          <w:tcPr>
            <w:tcW w:w="2129" w:type="dxa"/>
            <w:tcBorders>
              <w:top w:val="nil"/>
              <w:left w:val="nil"/>
              <w:bottom w:val="single" w:sz="4" w:space="0" w:color="auto"/>
              <w:right w:val="single" w:sz="4" w:space="0" w:color="auto"/>
            </w:tcBorders>
            <w:shd w:val="clear" w:color="auto" w:fill="auto"/>
            <w:noWrap/>
            <w:vAlign w:val="bottom"/>
            <w:hideMark/>
          </w:tcPr>
          <w:p w:rsidR="00FB77C4" w:rsidRPr="004B7F6E" w:rsidRDefault="00FB77C4" w:rsidP="004B7F6E">
            <w:pPr>
              <w:rPr>
                <w:rStyle w:val="Strong"/>
              </w:rPr>
            </w:pPr>
            <w:r w:rsidRPr="004B7F6E">
              <w:rPr>
                <w:rStyle w:val="Strong"/>
              </w:rPr>
              <w:t>352.2</w:t>
            </w:r>
          </w:p>
        </w:tc>
        <w:tc>
          <w:tcPr>
            <w:tcW w:w="2700" w:type="dxa"/>
            <w:tcBorders>
              <w:top w:val="nil"/>
              <w:left w:val="nil"/>
              <w:bottom w:val="single" w:sz="4" w:space="0" w:color="auto"/>
              <w:right w:val="single" w:sz="4" w:space="0" w:color="auto"/>
            </w:tcBorders>
            <w:shd w:val="clear" w:color="auto" w:fill="auto"/>
            <w:noWrap/>
            <w:vAlign w:val="bottom"/>
            <w:hideMark/>
          </w:tcPr>
          <w:p w:rsidR="00FB77C4" w:rsidRPr="004B7F6E" w:rsidRDefault="00FB77C4" w:rsidP="004B7F6E">
            <w:pPr>
              <w:rPr>
                <w:rStyle w:val="Strong"/>
              </w:rPr>
            </w:pPr>
            <w:r w:rsidRPr="004B7F6E">
              <w:rPr>
                <w:rStyle w:val="Strong"/>
              </w:rPr>
              <w:t>0.37</w:t>
            </w:r>
          </w:p>
        </w:tc>
      </w:tr>
      <w:tr w:rsidR="00FB77C4" w:rsidRPr="008C3AE2" w:rsidTr="004B7F6E">
        <w:trPr>
          <w:trHeight w:val="183"/>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FB77C4" w:rsidRPr="008C3AE2" w:rsidRDefault="00FB77C4" w:rsidP="004B7F6E">
            <w:r w:rsidRPr="008C3AE2">
              <w:t>Electricity Consumption</w:t>
            </w:r>
          </w:p>
        </w:tc>
        <w:tc>
          <w:tcPr>
            <w:tcW w:w="2129" w:type="dxa"/>
            <w:tcBorders>
              <w:top w:val="nil"/>
              <w:left w:val="nil"/>
              <w:bottom w:val="single" w:sz="4" w:space="0" w:color="auto"/>
              <w:right w:val="single" w:sz="4" w:space="0" w:color="auto"/>
            </w:tcBorders>
            <w:shd w:val="clear" w:color="auto" w:fill="auto"/>
            <w:noWrap/>
            <w:vAlign w:val="bottom"/>
            <w:hideMark/>
          </w:tcPr>
          <w:p w:rsidR="00FB77C4" w:rsidRPr="008C3AE2" w:rsidRDefault="00FB77C4" w:rsidP="004B7F6E">
            <w:r w:rsidRPr="008C3AE2">
              <w:t>57,596.3</w:t>
            </w:r>
          </w:p>
        </w:tc>
        <w:tc>
          <w:tcPr>
            <w:tcW w:w="2700" w:type="dxa"/>
            <w:tcBorders>
              <w:top w:val="nil"/>
              <w:left w:val="nil"/>
              <w:bottom w:val="single" w:sz="4" w:space="0" w:color="auto"/>
              <w:right w:val="single" w:sz="4" w:space="0" w:color="auto"/>
            </w:tcBorders>
            <w:shd w:val="clear" w:color="auto" w:fill="auto"/>
            <w:noWrap/>
            <w:vAlign w:val="bottom"/>
            <w:hideMark/>
          </w:tcPr>
          <w:p w:rsidR="00FB77C4" w:rsidRPr="008C3AE2" w:rsidRDefault="00FB77C4" w:rsidP="004B7F6E">
            <w:r w:rsidRPr="008C3AE2">
              <w:t>60.85</w:t>
            </w:r>
          </w:p>
        </w:tc>
      </w:tr>
      <w:tr w:rsidR="00FB77C4" w:rsidRPr="008C3AE2" w:rsidTr="004B7F6E">
        <w:trPr>
          <w:trHeight w:val="183"/>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FB77C4" w:rsidRPr="008C3AE2" w:rsidRDefault="00FB77C4" w:rsidP="004B7F6E">
            <w:r w:rsidRPr="008C3AE2">
              <w:t>Water Consumption</w:t>
            </w:r>
          </w:p>
        </w:tc>
        <w:tc>
          <w:tcPr>
            <w:tcW w:w="2129" w:type="dxa"/>
            <w:tcBorders>
              <w:top w:val="nil"/>
              <w:left w:val="nil"/>
              <w:bottom w:val="single" w:sz="4" w:space="0" w:color="auto"/>
              <w:right w:val="single" w:sz="4" w:space="0" w:color="auto"/>
            </w:tcBorders>
            <w:shd w:val="clear" w:color="auto" w:fill="auto"/>
            <w:noWrap/>
            <w:vAlign w:val="bottom"/>
            <w:hideMark/>
          </w:tcPr>
          <w:p w:rsidR="00FB77C4" w:rsidRPr="008C3AE2" w:rsidRDefault="00FB77C4" w:rsidP="004B7F6E">
            <w:r w:rsidRPr="008C3AE2">
              <w:t>195.8</w:t>
            </w:r>
          </w:p>
        </w:tc>
        <w:tc>
          <w:tcPr>
            <w:tcW w:w="2700" w:type="dxa"/>
            <w:tcBorders>
              <w:top w:val="nil"/>
              <w:left w:val="nil"/>
              <w:bottom w:val="single" w:sz="4" w:space="0" w:color="auto"/>
              <w:right w:val="single" w:sz="4" w:space="0" w:color="auto"/>
            </w:tcBorders>
            <w:shd w:val="clear" w:color="auto" w:fill="auto"/>
            <w:noWrap/>
            <w:vAlign w:val="bottom"/>
            <w:hideMark/>
          </w:tcPr>
          <w:p w:rsidR="00FB77C4" w:rsidRPr="008C3AE2" w:rsidRDefault="00FB77C4" w:rsidP="004B7F6E">
            <w:r w:rsidRPr="008C3AE2">
              <w:t>0.21</w:t>
            </w:r>
          </w:p>
        </w:tc>
      </w:tr>
      <w:tr w:rsidR="00FB77C4" w:rsidRPr="004B7F6E" w:rsidTr="004B7F6E">
        <w:trPr>
          <w:trHeight w:val="183"/>
        </w:trPr>
        <w:tc>
          <w:tcPr>
            <w:tcW w:w="4256" w:type="dxa"/>
            <w:tcBorders>
              <w:top w:val="nil"/>
              <w:left w:val="single" w:sz="4" w:space="0" w:color="auto"/>
              <w:bottom w:val="single" w:sz="4" w:space="0" w:color="auto"/>
              <w:right w:val="single" w:sz="4" w:space="0" w:color="auto"/>
            </w:tcBorders>
            <w:shd w:val="clear" w:color="auto" w:fill="auto"/>
            <w:noWrap/>
            <w:vAlign w:val="bottom"/>
            <w:hideMark/>
          </w:tcPr>
          <w:p w:rsidR="00FB77C4" w:rsidRPr="004B7F6E" w:rsidRDefault="00FB77C4" w:rsidP="004B7F6E">
            <w:pPr>
              <w:rPr>
                <w:rStyle w:val="Strong"/>
              </w:rPr>
            </w:pPr>
            <w:r w:rsidRPr="004B7F6E">
              <w:rPr>
                <w:rStyle w:val="Strong"/>
              </w:rPr>
              <w:t>Total Emissions of Scope 2 (tCO2e)</w:t>
            </w:r>
          </w:p>
        </w:tc>
        <w:tc>
          <w:tcPr>
            <w:tcW w:w="2129" w:type="dxa"/>
            <w:tcBorders>
              <w:top w:val="nil"/>
              <w:left w:val="nil"/>
              <w:bottom w:val="single" w:sz="4" w:space="0" w:color="auto"/>
              <w:right w:val="single" w:sz="4" w:space="0" w:color="auto"/>
            </w:tcBorders>
            <w:shd w:val="clear" w:color="auto" w:fill="auto"/>
            <w:noWrap/>
            <w:vAlign w:val="bottom"/>
            <w:hideMark/>
          </w:tcPr>
          <w:p w:rsidR="00FB77C4" w:rsidRPr="004B7F6E" w:rsidRDefault="00FB77C4" w:rsidP="004B7F6E">
            <w:pPr>
              <w:rPr>
                <w:rStyle w:val="Strong"/>
              </w:rPr>
            </w:pPr>
            <w:r w:rsidRPr="004B7F6E">
              <w:rPr>
                <w:rStyle w:val="Strong"/>
              </w:rPr>
              <w:t>57,792.1</w:t>
            </w:r>
          </w:p>
        </w:tc>
        <w:tc>
          <w:tcPr>
            <w:tcW w:w="2700" w:type="dxa"/>
            <w:tcBorders>
              <w:top w:val="nil"/>
              <w:left w:val="nil"/>
              <w:bottom w:val="single" w:sz="4" w:space="0" w:color="auto"/>
              <w:right w:val="single" w:sz="4" w:space="0" w:color="auto"/>
            </w:tcBorders>
            <w:shd w:val="clear" w:color="auto" w:fill="auto"/>
            <w:noWrap/>
            <w:vAlign w:val="bottom"/>
            <w:hideMark/>
          </w:tcPr>
          <w:p w:rsidR="00FB77C4" w:rsidRPr="004B7F6E" w:rsidRDefault="00FB77C4" w:rsidP="004B7F6E">
            <w:pPr>
              <w:rPr>
                <w:rStyle w:val="Strong"/>
              </w:rPr>
            </w:pPr>
            <w:r w:rsidRPr="004B7F6E">
              <w:rPr>
                <w:rStyle w:val="Strong"/>
              </w:rPr>
              <w:t>61.05</w:t>
            </w:r>
          </w:p>
        </w:tc>
      </w:tr>
      <w:tr w:rsidR="001342B6" w:rsidRPr="004B7F6E" w:rsidTr="0014137B">
        <w:trPr>
          <w:trHeight w:val="183"/>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2B6" w:rsidRPr="004B7F6E" w:rsidRDefault="001342B6" w:rsidP="0014137B">
            <w:pPr>
              <w:rPr>
                <w:rStyle w:val="Strong"/>
                <w:color w:val="2F5496" w:themeColor="accent1" w:themeShade="BF"/>
              </w:rPr>
            </w:pPr>
            <w:r w:rsidRPr="004B7F6E">
              <w:rPr>
                <w:rStyle w:val="Strong"/>
                <w:color w:val="2F5496" w:themeColor="accent1" w:themeShade="BF"/>
              </w:rPr>
              <w:t>Sum of Emissions</w:t>
            </w:r>
            <w:r>
              <w:rPr>
                <w:rStyle w:val="Strong"/>
                <w:color w:val="2F5496" w:themeColor="accent1" w:themeShade="BF"/>
              </w:rPr>
              <w:t xml:space="preserve"> from Scope 1 &amp; 2</w:t>
            </w:r>
            <w:r w:rsidRPr="004B7F6E">
              <w:rPr>
                <w:rStyle w:val="Strong"/>
                <w:color w:val="2F5496" w:themeColor="accent1" w:themeShade="BF"/>
              </w:rPr>
              <w:t xml:space="preserve"> (tCO2e)</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2B6" w:rsidRPr="004B7F6E" w:rsidRDefault="001342B6" w:rsidP="0014137B">
            <w:pPr>
              <w:rPr>
                <w:rStyle w:val="Strong"/>
                <w:color w:val="2F5496" w:themeColor="accent1" w:themeShade="BF"/>
              </w:rPr>
            </w:pPr>
            <w:r w:rsidRPr="004B7F6E">
              <w:rPr>
                <w:rStyle w:val="Strong"/>
                <w:color w:val="2F5496" w:themeColor="accent1" w:themeShade="BF"/>
              </w:rPr>
              <w:t>58,094.18</w:t>
            </w:r>
          </w:p>
        </w:tc>
        <w:tc>
          <w:tcPr>
            <w:tcW w:w="2700" w:type="dxa"/>
            <w:tcBorders>
              <w:top w:val="single" w:sz="4" w:space="0" w:color="auto"/>
              <w:left w:val="single" w:sz="4" w:space="0" w:color="auto"/>
              <w:bottom w:val="single" w:sz="4" w:space="0" w:color="auto"/>
              <w:right w:val="single" w:sz="4" w:space="0" w:color="auto"/>
            </w:tcBorders>
            <w:noWrap/>
            <w:hideMark/>
          </w:tcPr>
          <w:p w:rsidR="001342B6" w:rsidRPr="004B7F6E" w:rsidRDefault="001342B6" w:rsidP="0014137B">
            <w:pPr>
              <w:rPr>
                <w:rStyle w:val="Strong"/>
                <w:color w:val="2F5496" w:themeColor="accent1" w:themeShade="BF"/>
              </w:rPr>
            </w:pPr>
            <w:r>
              <w:rPr>
                <w:rStyle w:val="Strong"/>
                <w:color w:val="2F5496" w:themeColor="accent1" w:themeShade="BF"/>
              </w:rPr>
              <w:t>61.42</w:t>
            </w:r>
          </w:p>
        </w:tc>
      </w:tr>
      <w:tr w:rsidR="001342B6" w:rsidRPr="004B7F6E" w:rsidTr="004B7F6E">
        <w:trPr>
          <w:trHeight w:val="183"/>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42B6" w:rsidRPr="004B7F6E" w:rsidRDefault="001342B6" w:rsidP="001342B6">
            <w:pPr>
              <w:rPr>
                <w:rStyle w:val="Strong"/>
              </w:rPr>
            </w:pPr>
            <w:r w:rsidRPr="004B7F6E">
              <w:rPr>
                <w:rStyle w:val="Strong"/>
              </w:rPr>
              <w:t>Total Emissions of Scope 3 (tCO2e)</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42B6" w:rsidRPr="001342B6" w:rsidRDefault="001342B6" w:rsidP="001342B6">
            <w:pPr>
              <w:rPr>
                <w:b/>
                <w:bCs/>
              </w:rPr>
            </w:pPr>
            <w:r w:rsidRPr="001342B6">
              <w:rPr>
                <w:b/>
                <w:bCs/>
              </w:rPr>
              <w:t>36,514.5</w:t>
            </w:r>
          </w:p>
        </w:tc>
        <w:tc>
          <w:tcPr>
            <w:tcW w:w="2700" w:type="dxa"/>
            <w:tcBorders>
              <w:top w:val="single" w:sz="4" w:space="0" w:color="auto"/>
              <w:left w:val="single" w:sz="4" w:space="0" w:color="auto"/>
              <w:bottom w:val="single" w:sz="4" w:space="0" w:color="auto"/>
              <w:right w:val="single" w:sz="4" w:space="0" w:color="auto"/>
            </w:tcBorders>
            <w:noWrap/>
          </w:tcPr>
          <w:p w:rsidR="001342B6" w:rsidRPr="004B7F6E" w:rsidRDefault="001342B6" w:rsidP="001342B6">
            <w:pPr>
              <w:rPr>
                <w:rStyle w:val="Strong"/>
              </w:rPr>
            </w:pPr>
            <w:r w:rsidRPr="004B7F6E">
              <w:rPr>
                <w:rStyle w:val="Strong"/>
              </w:rPr>
              <w:t>38.57</w:t>
            </w:r>
          </w:p>
        </w:tc>
      </w:tr>
      <w:tr w:rsidR="001342B6" w:rsidRPr="004B7F6E" w:rsidTr="0014137B">
        <w:trPr>
          <w:trHeight w:val="183"/>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2B6" w:rsidRPr="004B7F6E" w:rsidRDefault="001342B6" w:rsidP="0014137B">
            <w:pPr>
              <w:rPr>
                <w:rStyle w:val="Strong"/>
                <w:color w:val="2F5496" w:themeColor="accent1" w:themeShade="BF"/>
              </w:rPr>
            </w:pPr>
            <w:r w:rsidRPr="004B7F6E">
              <w:rPr>
                <w:rStyle w:val="Strong"/>
                <w:color w:val="2F5496" w:themeColor="accent1" w:themeShade="BF"/>
              </w:rPr>
              <w:t>Sum of Emissions</w:t>
            </w:r>
            <w:r>
              <w:rPr>
                <w:rStyle w:val="Strong"/>
                <w:color w:val="2F5496" w:themeColor="accent1" w:themeShade="BF"/>
              </w:rPr>
              <w:t xml:space="preserve"> from Scope 1 &amp; 2</w:t>
            </w:r>
            <w:r w:rsidRPr="004B7F6E">
              <w:rPr>
                <w:rStyle w:val="Strong"/>
                <w:color w:val="2F5496" w:themeColor="accent1" w:themeShade="BF"/>
              </w:rPr>
              <w:t xml:space="preserve"> (tCO2e)</w:t>
            </w:r>
          </w:p>
        </w:tc>
        <w:tc>
          <w:tcPr>
            <w:tcW w:w="2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2B6" w:rsidRPr="004B7F6E" w:rsidRDefault="001342B6" w:rsidP="0014137B">
            <w:pPr>
              <w:rPr>
                <w:rStyle w:val="Strong"/>
                <w:color w:val="2F5496" w:themeColor="accent1" w:themeShade="BF"/>
              </w:rPr>
            </w:pPr>
            <w:r>
              <w:rPr>
                <w:rStyle w:val="Strong"/>
                <w:color w:val="2F5496" w:themeColor="accent1" w:themeShade="BF"/>
              </w:rPr>
              <w:t>94,608.7</w:t>
            </w:r>
          </w:p>
        </w:tc>
        <w:tc>
          <w:tcPr>
            <w:tcW w:w="2700" w:type="dxa"/>
            <w:tcBorders>
              <w:top w:val="single" w:sz="4" w:space="0" w:color="auto"/>
              <w:left w:val="single" w:sz="4" w:space="0" w:color="auto"/>
              <w:bottom w:val="single" w:sz="4" w:space="0" w:color="auto"/>
              <w:right w:val="single" w:sz="4" w:space="0" w:color="auto"/>
            </w:tcBorders>
            <w:noWrap/>
            <w:hideMark/>
          </w:tcPr>
          <w:p w:rsidR="001342B6" w:rsidRPr="004B7F6E" w:rsidRDefault="001342B6" w:rsidP="0014137B">
            <w:pPr>
              <w:rPr>
                <w:rStyle w:val="Strong"/>
                <w:color w:val="2F5496" w:themeColor="accent1" w:themeShade="BF"/>
              </w:rPr>
            </w:pPr>
            <w:r w:rsidRPr="004B7F6E">
              <w:rPr>
                <w:rStyle w:val="Strong"/>
                <w:color w:val="2F5496" w:themeColor="accent1" w:themeShade="BF"/>
              </w:rPr>
              <w:t>100</w:t>
            </w:r>
          </w:p>
        </w:tc>
      </w:tr>
      <w:bookmarkEnd w:id="0"/>
    </w:tbl>
    <w:p w:rsidR="00FB77C4" w:rsidRPr="001A1302" w:rsidRDefault="00FB77C4" w:rsidP="00FB77C4"/>
    <w:p w:rsidR="001A1302" w:rsidRPr="001A1302" w:rsidRDefault="001A1302" w:rsidP="001A1302"/>
    <w:sectPr w:rsidR="001A1302" w:rsidRPr="001A1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02"/>
    <w:rsid w:val="001342B6"/>
    <w:rsid w:val="001A1302"/>
    <w:rsid w:val="00356754"/>
    <w:rsid w:val="004B7F6E"/>
    <w:rsid w:val="007533AD"/>
    <w:rsid w:val="00932349"/>
    <w:rsid w:val="00A53E8F"/>
    <w:rsid w:val="00B32768"/>
    <w:rsid w:val="00FB7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D83E"/>
  <w15:chartTrackingRefBased/>
  <w15:docId w15:val="{BFB56356-6FF7-4FDA-8806-C3ABC7C6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3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3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
    <w:name w:val="Endnote"/>
    <w:basedOn w:val="Normal"/>
    <w:link w:val="EndnoteChar"/>
    <w:qFormat/>
    <w:rsid w:val="00A53E8F"/>
    <w:rPr>
      <w:sz w:val="18"/>
    </w:rPr>
  </w:style>
  <w:style w:type="character" w:customStyle="1" w:styleId="EndnoteChar">
    <w:name w:val="Endnote Char"/>
    <w:basedOn w:val="DefaultParagraphFont"/>
    <w:link w:val="Endnote"/>
    <w:rsid w:val="00A53E8F"/>
    <w:rPr>
      <w:sz w:val="18"/>
    </w:rPr>
  </w:style>
  <w:style w:type="character" w:customStyle="1" w:styleId="Heading2Char">
    <w:name w:val="Heading 2 Char"/>
    <w:basedOn w:val="DefaultParagraphFont"/>
    <w:link w:val="Heading2"/>
    <w:uiPriority w:val="9"/>
    <w:rsid w:val="001A130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130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A1302"/>
    <w:rPr>
      <w:color w:val="0563C1" w:themeColor="hyperlink"/>
      <w:u w:val="single"/>
    </w:rPr>
  </w:style>
  <w:style w:type="character" w:styleId="UnresolvedMention">
    <w:name w:val="Unresolved Mention"/>
    <w:basedOn w:val="DefaultParagraphFont"/>
    <w:uiPriority w:val="99"/>
    <w:semiHidden/>
    <w:unhideWhenUsed/>
    <w:rsid w:val="001A1302"/>
    <w:rPr>
      <w:color w:val="605E5C"/>
      <w:shd w:val="clear" w:color="auto" w:fill="E1DFDD"/>
    </w:rPr>
  </w:style>
  <w:style w:type="character" w:styleId="Strong">
    <w:name w:val="Strong"/>
    <w:basedOn w:val="DefaultParagraphFont"/>
    <w:uiPriority w:val="22"/>
    <w:qFormat/>
    <w:rsid w:val="004B7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ao.int/environmental-protection/CarbonOffset/Pages/default.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2154</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Armour</dc:creator>
  <cp:keywords/>
  <dc:description/>
  <cp:lastModifiedBy>Rose Armour</cp:lastModifiedBy>
  <cp:revision>3</cp:revision>
  <dcterms:created xsi:type="dcterms:W3CDTF">2021-04-12T05:53:00Z</dcterms:created>
  <dcterms:modified xsi:type="dcterms:W3CDTF">2021-04-12T05:56:00Z</dcterms:modified>
</cp:coreProperties>
</file>