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A0E" w:rsidRPr="002C77B7" w:rsidRDefault="00D1042F" w:rsidP="006E5208">
      <w:pPr>
        <w:spacing w:after="0" w:line="240" w:lineRule="auto"/>
        <w:jc w:val="center"/>
        <w:rPr>
          <w:sz w:val="32"/>
          <w:szCs w:val="32"/>
        </w:rPr>
      </w:pPr>
      <w:r w:rsidRPr="002C77B7">
        <w:rPr>
          <w:rFonts w:ascii="Rockwell" w:eastAsia="Times New Roman" w:hAnsi="Rockwell" w:cs="Times New Roman"/>
          <w:b/>
          <w:bCs/>
          <w:color w:val="4891CE"/>
          <w:sz w:val="32"/>
          <w:szCs w:val="32"/>
        </w:rPr>
        <w:t>Tufts Office of Sustainability</w:t>
      </w:r>
      <w:r w:rsidRPr="002C77B7">
        <w:rPr>
          <w:rFonts w:ascii="Rockwell" w:eastAsia="Times New Roman" w:hAnsi="Rockwell" w:cs="Times New Roman"/>
          <w:b/>
          <w:bCs/>
          <w:color w:val="000000"/>
          <w:sz w:val="32"/>
          <w:szCs w:val="32"/>
        </w:rPr>
        <w:br/>
        <w:t>Green Of</w:t>
      </w:r>
      <w:r w:rsidR="002C77B7" w:rsidRPr="002C77B7">
        <w:rPr>
          <w:rFonts w:ascii="Rockwell" w:eastAsia="Times New Roman" w:hAnsi="Rockwell" w:cs="Times New Roman"/>
          <w:b/>
          <w:bCs/>
          <w:color w:val="000000"/>
          <w:sz w:val="32"/>
          <w:szCs w:val="32"/>
        </w:rPr>
        <w:t>fice Certification Checklist 1.2</w:t>
      </w:r>
    </w:p>
    <w:p w:rsidR="00D1042F" w:rsidRPr="006E5208" w:rsidRDefault="00D1042F" w:rsidP="00D84205">
      <w:pPr>
        <w:spacing w:after="0"/>
        <w:rPr>
          <w:sz w:val="16"/>
          <w:szCs w:val="16"/>
        </w:rPr>
      </w:pPr>
    </w:p>
    <w:p w:rsidR="006E5208" w:rsidRPr="006E5208" w:rsidRDefault="006E5208" w:rsidP="00D84205">
      <w:pPr>
        <w:spacing w:after="0"/>
        <w:rPr>
          <w:sz w:val="16"/>
          <w:szCs w:val="16"/>
        </w:rPr>
      </w:pPr>
    </w:p>
    <w:tbl>
      <w:tblPr>
        <w:tblW w:w="5000" w:type="pct"/>
        <w:tblLook w:val="04A0" w:firstRow="1" w:lastRow="0" w:firstColumn="1" w:lastColumn="0" w:noHBand="0" w:noVBand="1"/>
      </w:tblPr>
      <w:tblGrid>
        <w:gridCol w:w="11872"/>
        <w:gridCol w:w="2168"/>
      </w:tblGrid>
      <w:tr w:rsidR="00D1042F" w:rsidRPr="006E5208" w:rsidTr="002C77B7">
        <w:trPr>
          <w:trHeight w:val="585"/>
        </w:trPr>
        <w:tc>
          <w:tcPr>
            <w:tcW w:w="4228" w:type="pct"/>
            <w:tcBorders>
              <w:top w:val="nil"/>
              <w:left w:val="single" w:sz="18" w:space="0" w:color="FFFFFF" w:themeColor="background1"/>
              <w:bottom w:val="single" w:sz="4" w:space="0" w:color="auto"/>
              <w:right w:val="single" w:sz="18" w:space="0" w:color="FFFFFF" w:themeColor="background1"/>
            </w:tcBorders>
            <w:shd w:val="clear" w:color="000000" w:fill="D8E4BC"/>
            <w:vAlign w:val="center"/>
            <w:hideMark/>
          </w:tcPr>
          <w:p w:rsidR="00D1042F" w:rsidRPr="00D1042F" w:rsidRDefault="00D1042F" w:rsidP="005B7CDA">
            <w:pPr>
              <w:spacing w:after="0" w:line="240" w:lineRule="auto"/>
              <w:jc w:val="center"/>
              <w:rPr>
                <w:rFonts w:ascii="Rockwell" w:eastAsia="Times New Roman" w:hAnsi="Rockwell" w:cs="Times New Roman"/>
                <w:b/>
                <w:bCs/>
                <w:color w:val="000000"/>
                <w:sz w:val="28"/>
                <w:szCs w:val="28"/>
                <w:u w:val="single"/>
              </w:rPr>
            </w:pPr>
            <w:r w:rsidRPr="00D1042F">
              <w:rPr>
                <w:rFonts w:ascii="Rockwell" w:eastAsia="Times New Roman" w:hAnsi="Rockwell" w:cs="Times New Roman"/>
                <w:b/>
                <w:bCs/>
                <w:color w:val="000000"/>
                <w:sz w:val="28"/>
                <w:szCs w:val="28"/>
                <w:u w:val="single"/>
              </w:rPr>
              <w:t>Criteria</w:t>
            </w:r>
          </w:p>
        </w:tc>
        <w:tc>
          <w:tcPr>
            <w:tcW w:w="772" w:type="pct"/>
            <w:tcBorders>
              <w:top w:val="nil"/>
              <w:left w:val="single" w:sz="18" w:space="0" w:color="FFFFFF" w:themeColor="background1"/>
              <w:bottom w:val="single" w:sz="4" w:space="0" w:color="auto"/>
              <w:right w:val="single" w:sz="18" w:space="0" w:color="FFFFFF" w:themeColor="background1"/>
            </w:tcBorders>
            <w:shd w:val="clear" w:color="000000" w:fill="D8E4BC"/>
            <w:vAlign w:val="center"/>
            <w:hideMark/>
          </w:tcPr>
          <w:p w:rsidR="00D1042F" w:rsidRPr="00D1042F" w:rsidRDefault="00D1042F" w:rsidP="005B7CDA">
            <w:pPr>
              <w:spacing w:after="0" w:line="240" w:lineRule="auto"/>
              <w:jc w:val="center"/>
              <w:rPr>
                <w:rFonts w:ascii="Rockwell" w:eastAsia="Times New Roman" w:hAnsi="Rockwell" w:cs="Times New Roman"/>
                <w:b/>
                <w:bCs/>
                <w:color w:val="000000"/>
                <w:sz w:val="28"/>
                <w:szCs w:val="28"/>
              </w:rPr>
            </w:pPr>
            <w:r w:rsidRPr="00D1042F">
              <w:rPr>
                <w:rFonts w:ascii="Rockwell" w:eastAsia="Times New Roman" w:hAnsi="Rockwell" w:cs="Times New Roman"/>
                <w:b/>
                <w:bCs/>
                <w:color w:val="000000"/>
                <w:sz w:val="28"/>
                <w:szCs w:val="28"/>
                <w:u w:val="single"/>
              </w:rPr>
              <w:t xml:space="preserve">Do you fulfill </w:t>
            </w:r>
            <w:r w:rsidR="00D84205" w:rsidRPr="006E5208">
              <w:rPr>
                <w:rFonts w:ascii="Rockwell" w:eastAsia="Times New Roman" w:hAnsi="Rockwell" w:cs="Times New Roman"/>
                <w:b/>
                <w:bCs/>
                <w:color w:val="000000"/>
                <w:sz w:val="28"/>
                <w:szCs w:val="28"/>
                <w:u w:val="single"/>
              </w:rPr>
              <w:br/>
            </w:r>
            <w:r w:rsidRPr="00D1042F">
              <w:rPr>
                <w:rFonts w:ascii="Rockwell" w:eastAsia="Times New Roman" w:hAnsi="Rockwell" w:cs="Times New Roman"/>
                <w:b/>
                <w:bCs/>
                <w:color w:val="000000"/>
                <w:sz w:val="28"/>
                <w:szCs w:val="28"/>
                <w:u w:val="single"/>
              </w:rPr>
              <w:t>the criteria?</w:t>
            </w:r>
          </w:p>
        </w:tc>
      </w:tr>
      <w:tr w:rsidR="00D84205" w:rsidRPr="006E5208" w:rsidTr="00B14EBD">
        <w:trPr>
          <w:trHeight w:val="559"/>
        </w:trPr>
        <w:tc>
          <w:tcPr>
            <w:tcW w:w="5000" w:type="pct"/>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4891CE"/>
            <w:vAlign w:val="center"/>
            <w:hideMark/>
          </w:tcPr>
          <w:p w:rsidR="00D84205" w:rsidRPr="005A1580" w:rsidRDefault="00D84205" w:rsidP="005B7CDA">
            <w:pPr>
              <w:spacing w:after="0" w:line="240" w:lineRule="auto"/>
              <w:rPr>
                <w:rFonts w:ascii="Rockwell" w:eastAsia="Times New Roman" w:hAnsi="Rockwell" w:cs="Times New Roman"/>
                <w:color w:val="FFFFFF"/>
                <w:sz w:val="26"/>
                <w:szCs w:val="26"/>
                <w:u w:val="single"/>
              </w:rPr>
            </w:pPr>
            <w:r w:rsidRPr="005A1580">
              <w:rPr>
                <w:rFonts w:ascii="Rockwell" w:eastAsia="Times New Roman" w:hAnsi="Rockwell" w:cs="Times New Roman"/>
                <w:color w:val="FFFFFF"/>
                <w:sz w:val="26"/>
                <w:szCs w:val="26"/>
                <w:u w:val="single"/>
              </w:rPr>
              <w:t>1. Energy &amp; Water Use</w:t>
            </w:r>
            <w:r w:rsidRPr="005A1580">
              <w:rPr>
                <w:rFonts w:ascii="Calibri" w:eastAsia="Times New Roman" w:hAnsi="Calibri" w:cs="Times New Roman"/>
                <w:color w:val="000000"/>
                <w:sz w:val="26"/>
                <w:szCs w:val="26"/>
              </w:rPr>
              <w:t> </w:t>
            </w:r>
          </w:p>
        </w:tc>
      </w:tr>
      <w:tr w:rsidR="00D1042F" w:rsidRPr="005B7CDA" w:rsidTr="002D51B6">
        <w:trPr>
          <w:trHeight w:hRule="exact" w:val="1080"/>
        </w:trPr>
        <w:tc>
          <w:tcPr>
            <w:tcW w:w="422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1.1 - Lighting in our office is controlled by occupancy sensors, or we manually turn off all our lights at night and during the day in spaces that are not being used, such as kitchens, conference rooms, storage closets, and bathrooms. (Please note that lighting in stairwells or other spaces that might create a safety hazard should </w:t>
            </w:r>
            <w:r w:rsidRPr="00D1042F">
              <w:rPr>
                <w:rFonts w:ascii="Calibri" w:eastAsia="Times New Roman" w:hAnsi="Calibri" w:cs="Times New Roman"/>
                <w:i/>
                <w:iCs/>
                <w:color w:val="000000"/>
                <w:sz w:val="23"/>
                <w:szCs w:val="23"/>
              </w:rPr>
              <w:t>not</w:t>
            </w:r>
            <w:r w:rsidRPr="00D1042F">
              <w:rPr>
                <w:rFonts w:ascii="Calibri" w:eastAsia="Times New Roman" w:hAnsi="Calibri" w:cs="Times New Roman"/>
                <w:color w:val="000000"/>
                <w:sz w:val="23"/>
                <w:szCs w:val="23"/>
              </w:rPr>
              <w:t xml:space="preserve"> be shut off during the day.) (1pt) </w:t>
            </w:r>
          </w:p>
        </w:tc>
        <w:tc>
          <w:tcPr>
            <w:tcW w:w="77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6DDF0"/>
            <w:vAlign w:val="center"/>
            <w:hideMark/>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749"/>
        </w:trPr>
        <w:tc>
          <w:tcPr>
            <w:tcW w:w="422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1.2 - We have prompts posted on or next to our light switches that remind people to turn off the lights when they exit a room. (1pt)</w:t>
            </w:r>
          </w:p>
        </w:tc>
        <w:tc>
          <w:tcPr>
            <w:tcW w:w="77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1.3 - </w:t>
            </w:r>
            <w:r w:rsidRPr="00D1042F">
              <w:rPr>
                <w:rFonts w:ascii="Calibri" w:eastAsia="Times New Roman" w:hAnsi="Calibri" w:cs="Times New Roman"/>
                <w:i/>
                <w:iCs/>
                <w:color w:val="000000"/>
                <w:sz w:val="23"/>
                <w:szCs w:val="23"/>
              </w:rPr>
              <w:t xml:space="preserve">(If your office has personal desk lamps or floor lamps) </w:t>
            </w:r>
            <w:r w:rsidRPr="00D1042F">
              <w:rPr>
                <w:rFonts w:ascii="Calibri" w:eastAsia="Times New Roman" w:hAnsi="Calibri" w:cs="Times New Roman"/>
                <w:color w:val="000000"/>
                <w:sz w:val="23"/>
                <w:szCs w:val="23"/>
              </w:rPr>
              <w:t xml:space="preserve">We use energy efficient light bulbs (e.g. fluorescent tubes, CFLs, LEDs) instead of incandescent light bulbs. (2pts for &gt;50% of bulbs, 1pt for 10-50% of bulbs) </w:t>
            </w:r>
          </w:p>
        </w:tc>
        <w:tc>
          <w:tcPr>
            <w:tcW w:w="772"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nil"/>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1.4 - We have enabled energy saving modes (standby or hibernate) on our computers, and we turn off both computers and monitors at night (NOTE: If you work at the Medical School, only the energy saving mode is applicable).  (1pt)</w:t>
            </w:r>
          </w:p>
        </w:tc>
        <w:tc>
          <w:tcPr>
            <w:tcW w:w="772"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1.5 - We use power strips as central turn-off points at all of our individual work stations and switch them off each night. (1pt)</w:t>
            </w:r>
          </w:p>
        </w:tc>
        <w:tc>
          <w:tcPr>
            <w:tcW w:w="772"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1.6 - Our office equipment is Energy Star certified. (2pts for &gt;50% of office equipment, 1pt for 10-50% of office equipment)</w:t>
            </w:r>
          </w:p>
        </w:tc>
        <w:tc>
          <w:tcPr>
            <w:tcW w:w="772"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1080"/>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1.7 - We set our thermostat lower in the winter and higher in the summer to save energy and stay within the guidelines of the Tufts Temperature Policy.  We close our windows when heating or cooling systems are in use as well as at night and on the weekends. (2pts) </w:t>
            </w:r>
          </w:p>
        </w:tc>
        <w:tc>
          <w:tcPr>
            <w:tcW w:w="772"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1080"/>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1.8 - We conserve water in our office by not running the faucet for extended periods of time (e.g. when washing hands or dishes), and we have prompts posted next to the faucets in our bathroom and kitchen (if we have one) reminding people to turn off the water.  We report all water leaks or dripping faucets to Facilities in a timely manner. (2pts)</w:t>
            </w:r>
          </w:p>
        </w:tc>
        <w:tc>
          <w:tcPr>
            <w:tcW w:w="772"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bl>
    <w:p w:rsidR="002D51B6" w:rsidRDefault="002D51B6">
      <w:r>
        <w:br w:type="page"/>
      </w:r>
    </w:p>
    <w:tbl>
      <w:tblPr>
        <w:tblW w:w="5000" w:type="pct"/>
        <w:tblLook w:val="04A0" w:firstRow="1" w:lastRow="0" w:firstColumn="1" w:lastColumn="0" w:noHBand="0" w:noVBand="1"/>
      </w:tblPr>
      <w:tblGrid>
        <w:gridCol w:w="11872"/>
        <w:gridCol w:w="45"/>
        <w:gridCol w:w="2123"/>
      </w:tblGrid>
      <w:tr w:rsidR="00D84205" w:rsidRPr="006E5208" w:rsidTr="005A1580">
        <w:trPr>
          <w:trHeight w:val="420"/>
        </w:trPr>
        <w:tc>
          <w:tcPr>
            <w:tcW w:w="5000" w:type="pct"/>
            <w:gridSpan w:val="3"/>
            <w:tcBorders>
              <w:top w:val="single" w:sz="12" w:space="0" w:color="FFFFFF"/>
              <w:left w:val="single" w:sz="18" w:space="0" w:color="FFFFFF" w:themeColor="background1"/>
              <w:bottom w:val="single" w:sz="12" w:space="0" w:color="FFFFFF"/>
              <w:right w:val="single" w:sz="18" w:space="0" w:color="FFFFFF" w:themeColor="background1"/>
            </w:tcBorders>
            <w:shd w:val="clear" w:color="000000" w:fill="4891CE"/>
            <w:vAlign w:val="center"/>
            <w:hideMark/>
          </w:tcPr>
          <w:p w:rsidR="00D84205" w:rsidRPr="002C77B7" w:rsidRDefault="00D84205" w:rsidP="005B7CDA">
            <w:pPr>
              <w:spacing w:after="0" w:line="240" w:lineRule="auto"/>
              <w:rPr>
                <w:rFonts w:ascii="Rockwell" w:eastAsia="Times New Roman" w:hAnsi="Rockwell" w:cs="Times New Roman"/>
                <w:color w:val="000000"/>
                <w:sz w:val="26"/>
                <w:szCs w:val="26"/>
              </w:rPr>
            </w:pPr>
            <w:r w:rsidRPr="002C77B7">
              <w:rPr>
                <w:rFonts w:ascii="Rockwell" w:eastAsia="Times New Roman" w:hAnsi="Rockwell" w:cs="Times New Roman"/>
                <w:color w:val="FFFFFF"/>
                <w:sz w:val="26"/>
                <w:szCs w:val="26"/>
                <w:u w:val="single"/>
              </w:rPr>
              <w:lastRenderedPageBreak/>
              <w:t>2. Waste &amp; Recycling</w:t>
            </w:r>
          </w:p>
        </w:tc>
      </w:tr>
      <w:tr w:rsidR="005B7CDA" w:rsidRPr="005B7CDA" w:rsidTr="002D51B6">
        <w:trPr>
          <w:trHeight w:hRule="exact" w:val="749"/>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2.1 - We have recycling bins in all common areas where trash bins are present, such as in kitchens, break rooms, conference rooms, mail rooms, offices, copy rooms, and hallways. (1pt) </w:t>
            </w:r>
          </w:p>
        </w:tc>
        <w:tc>
          <w:tcPr>
            <w:tcW w:w="756"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2C77B7" w:rsidP="005B7CDA">
            <w:pPr>
              <w:spacing w:after="0" w:line="240" w:lineRule="auto"/>
              <w:rPr>
                <w:rFonts w:ascii="Calibri" w:eastAsia="Times New Roman" w:hAnsi="Calibri" w:cs="Times New Roman"/>
                <w:color w:val="000000"/>
                <w:sz w:val="23"/>
                <w:szCs w:val="23"/>
              </w:rPr>
            </w:pPr>
            <w:r w:rsidRPr="002C77B7">
              <w:rPr>
                <w:rFonts w:ascii="Calibri" w:eastAsia="Times New Roman" w:hAnsi="Calibri" w:cs="Times New Roman"/>
                <w:color w:val="000000"/>
                <w:sz w:val="23"/>
                <w:szCs w:val="23"/>
              </w:rPr>
              <w:t>2.2 - We have signs posted that explain what can be recycled in the mixed recycling bin. (1pt)</w:t>
            </w:r>
          </w:p>
        </w:tc>
        <w:tc>
          <w:tcPr>
            <w:tcW w:w="756"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2.3 - We provide recycling bins at events and meetings organized by our office. (2pts) </w:t>
            </w:r>
          </w:p>
        </w:tc>
        <w:tc>
          <w:tcPr>
            <w:tcW w:w="756" w:type="pct"/>
            <w:tcBorders>
              <w:top w:val="single" w:sz="18" w:space="0" w:color="FFFFFF" w:themeColor="background1"/>
              <w:left w:val="single" w:sz="18" w:space="0" w:color="FFFFFF" w:themeColor="background1"/>
              <w:bottom w:val="nil"/>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2.4 - We compost all leftover food in our office (Note: composting is not available on the Boston campus). (2pts) </w:t>
            </w:r>
          </w:p>
        </w:tc>
        <w:tc>
          <w:tcPr>
            <w:tcW w:w="756"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2.5 - We compost all leftover food at our events (Note: Composting is not available on the Boston campus). (2pts) </w:t>
            </w:r>
          </w:p>
        </w:tc>
        <w:tc>
          <w:tcPr>
            <w:tcW w:w="756"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C77B7">
        <w:trPr>
          <w:trHeight w:hRule="exact" w:val="1323"/>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2C77B7" w:rsidP="005B7CDA">
            <w:pPr>
              <w:spacing w:after="0" w:line="240" w:lineRule="auto"/>
              <w:rPr>
                <w:rFonts w:ascii="Calibri" w:eastAsia="Times New Roman" w:hAnsi="Calibri" w:cs="Times New Roman"/>
                <w:color w:val="000000"/>
                <w:sz w:val="23"/>
                <w:szCs w:val="23"/>
              </w:rPr>
            </w:pPr>
            <w:r w:rsidRPr="002C77B7">
              <w:rPr>
                <w:rFonts w:ascii="Calibri" w:eastAsia="Times New Roman" w:hAnsi="Calibri" w:cs="Times New Roman"/>
                <w:color w:val="000000"/>
                <w:sz w:val="23"/>
                <w:szCs w:val="23"/>
              </w:rPr>
              <w:t xml:space="preserve">2.6 - We dispose of Tufts electronics (e.g. computers, phones) through Facilities, recycle </w:t>
            </w:r>
            <w:bookmarkStart w:id="0" w:name="_GoBack"/>
            <w:bookmarkEnd w:id="0"/>
            <w:r w:rsidRPr="002C77B7">
              <w:rPr>
                <w:rFonts w:ascii="Calibri" w:eastAsia="Times New Roman" w:hAnsi="Calibri" w:cs="Times New Roman"/>
                <w:color w:val="000000"/>
                <w:sz w:val="23"/>
                <w:szCs w:val="23"/>
              </w:rPr>
              <w:t xml:space="preserve">our batteries in the battery bins around campus, and recycle small electronics in the designated e-waste bins.  We recycle used ink and toner cartridges by mailing them back to the company or giving them to W.B. Mason. We </w:t>
            </w:r>
            <w:r w:rsidR="009E3440">
              <w:rPr>
                <w:rFonts w:ascii="Calibri" w:eastAsia="Times New Roman" w:hAnsi="Calibri" w:cs="Times New Roman"/>
                <w:color w:val="000000"/>
                <w:sz w:val="23"/>
                <w:szCs w:val="23"/>
              </w:rPr>
              <w:t>put in a Facilities work order when a light bulb goes out, to ensure proper disposal</w:t>
            </w:r>
            <w:r w:rsidRPr="002C77B7">
              <w:rPr>
                <w:rFonts w:ascii="Calibri" w:eastAsia="Times New Roman" w:hAnsi="Calibri" w:cs="Times New Roman"/>
                <w:color w:val="000000"/>
                <w:sz w:val="23"/>
                <w:szCs w:val="23"/>
              </w:rPr>
              <w:t>. (2pts)</w:t>
            </w:r>
          </w:p>
        </w:tc>
        <w:tc>
          <w:tcPr>
            <w:tcW w:w="756"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2.7 - We minimize unwanted mail by removing our address from mailing lists. (2pts) </w:t>
            </w:r>
          </w:p>
        </w:tc>
        <w:tc>
          <w:tcPr>
            <w:tcW w:w="756"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44"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2C77B7" w:rsidP="005B7CDA">
            <w:pPr>
              <w:spacing w:after="0" w:line="240" w:lineRule="auto"/>
              <w:rPr>
                <w:rFonts w:ascii="Calibri" w:eastAsia="Times New Roman" w:hAnsi="Calibri" w:cs="Times New Roman"/>
                <w:color w:val="000000"/>
                <w:sz w:val="23"/>
                <w:szCs w:val="23"/>
              </w:rPr>
            </w:pPr>
            <w:r w:rsidRPr="002C77B7">
              <w:rPr>
                <w:rFonts w:ascii="Calibri" w:eastAsia="Times New Roman" w:hAnsi="Calibri" w:cs="Times New Roman"/>
                <w:color w:val="000000"/>
                <w:sz w:val="23"/>
                <w:szCs w:val="23"/>
              </w:rPr>
              <w:t>2.8 - It is our policy to first consider pre-owned furniture and to donate our unneeded items (e.g. through the Surplus Furniture Wish List). (3pts)</w:t>
            </w:r>
          </w:p>
        </w:tc>
        <w:tc>
          <w:tcPr>
            <w:tcW w:w="756"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84205" w:rsidRPr="00D1042F" w:rsidTr="000C3929">
        <w:trPr>
          <w:trHeight w:hRule="exact" w:val="461"/>
        </w:trPr>
        <w:tc>
          <w:tcPr>
            <w:tcW w:w="5000" w:type="pct"/>
            <w:gridSpan w:val="3"/>
            <w:tcBorders>
              <w:top w:val="nil"/>
              <w:left w:val="single" w:sz="18" w:space="0" w:color="FFFFFF" w:themeColor="background1"/>
              <w:bottom w:val="single" w:sz="12" w:space="0" w:color="FFFFFF"/>
              <w:right w:val="single" w:sz="18" w:space="0" w:color="FFFFFF" w:themeColor="background1"/>
            </w:tcBorders>
            <w:shd w:val="clear" w:color="auto" w:fill="auto"/>
            <w:noWrap/>
            <w:vAlign w:val="bottom"/>
            <w:hideMark/>
          </w:tcPr>
          <w:p w:rsidR="00D84205" w:rsidRPr="002C77B7" w:rsidRDefault="00D84205" w:rsidP="005B7CDA">
            <w:pPr>
              <w:spacing w:after="0" w:line="240" w:lineRule="auto"/>
              <w:rPr>
                <w:rFonts w:ascii="Calibri" w:eastAsia="Times New Roman" w:hAnsi="Calibri" w:cs="Times New Roman"/>
                <w:color w:val="000000"/>
                <w:sz w:val="18"/>
                <w:szCs w:val="18"/>
              </w:rPr>
            </w:pPr>
          </w:p>
        </w:tc>
      </w:tr>
      <w:tr w:rsidR="00D84205" w:rsidRPr="006E5208" w:rsidTr="005A1580">
        <w:trPr>
          <w:trHeight w:val="438"/>
        </w:trPr>
        <w:tc>
          <w:tcPr>
            <w:tcW w:w="5000" w:type="pct"/>
            <w:gridSpan w:val="3"/>
            <w:tcBorders>
              <w:top w:val="single" w:sz="12" w:space="0" w:color="FFFFFF"/>
              <w:left w:val="single" w:sz="18" w:space="0" w:color="FFFFFF" w:themeColor="background1"/>
              <w:bottom w:val="single" w:sz="12" w:space="0" w:color="FFFFFF"/>
              <w:right w:val="single" w:sz="18" w:space="0" w:color="FFFFFF" w:themeColor="background1"/>
            </w:tcBorders>
            <w:shd w:val="clear" w:color="000000" w:fill="4891CE"/>
            <w:vAlign w:val="center"/>
            <w:hideMark/>
          </w:tcPr>
          <w:p w:rsidR="00D84205" w:rsidRPr="002C77B7" w:rsidRDefault="00D84205" w:rsidP="005B7CDA">
            <w:pPr>
              <w:spacing w:after="0" w:line="240" w:lineRule="auto"/>
              <w:rPr>
                <w:rFonts w:ascii="Rockwell" w:eastAsia="Times New Roman" w:hAnsi="Rockwell" w:cs="Times New Roman"/>
                <w:color w:val="000000"/>
                <w:sz w:val="26"/>
                <w:szCs w:val="26"/>
              </w:rPr>
            </w:pPr>
            <w:r w:rsidRPr="002C77B7">
              <w:rPr>
                <w:rFonts w:ascii="Rockwell" w:eastAsia="Times New Roman" w:hAnsi="Rockwell" w:cs="Times New Roman"/>
                <w:color w:val="FFFFFF"/>
                <w:sz w:val="26"/>
                <w:szCs w:val="26"/>
                <w:u w:val="single"/>
              </w:rPr>
              <w:t>3. Paper, Printing &amp; Office Supplies</w:t>
            </w: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3.1 - We use 100% recycled content paper for letterhead, envelopes, and legal pads. (2pts for &gt; 50% of products, 1pt for 10-50% of products)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3.2 - We use 100% recycled paper or tree-free paper (e.g. from sugar cane waste)  for printing and copying, unless extenuating circumstances force us to use 30% or 50% recycled paper. We never use paper without recycled content. (5pts)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3.3 - We save one-sided paper for printing drafts and scrap paper, and/or we make it into recycled notepads. (2pts)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3.4 - Our copier defaults to double-sided printing, or we have placed a visual prompt on the machine to remind people to set it manually. (1pt)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3.5 - Our office computers are set to default to double-sided printing. (2pts)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lastRenderedPageBreak/>
              <w:t xml:space="preserve">3.6 - For all printing completed outside of our office, we ask our external printing contractors to use paper with at least 50% recycled content. (3pts)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2" w:space="0" w:color="FFFFFF"/>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3.7 - We purchase remanufactured toner cartridges and return our old cartridges to our supplier for reuse. (3pts) </w:t>
            </w:r>
          </w:p>
        </w:tc>
        <w:tc>
          <w:tcPr>
            <w:tcW w:w="772" w:type="pct"/>
            <w:gridSpan w:val="2"/>
            <w:tcBorders>
              <w:top w:val="nil"/>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3.8 - We use electronic filing and storage in lieu of paper files. (2pts for &gt;50% of the office, 1 pt for 10-50% of the office)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3.9 - If we publish a newsletter, we offer an electronic version that readers can select in lieu of the paper newsletter. (1pt)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2717D1" w:rsidP="005B7CDA">
            <w:pPr>
              <w:spacing w:after="0" w:line="240" w:lineRule="auto"/>
              <w:rPr>
                <w:rFonts w:ascii="Calibri" w:eastAsia="Times New Roman" w:hAnsi="Calibri" w:cs="Times New Roman"/>
                <w:color w:val="000000"/>
                <w:sz w:val="23"/>
                <w:szCs w:val="23"/>
              </w:rPr>
            </w:pPr>
            <w:r>
              <w:rPr>
                <w:rFonts w:ascii="Calibri" w:eastAsia="Times New Roman" w:hAnsi="Calibri" w:cs="Times New Roman"/>
                <w:color w:val="000000"/>
                <w:sz w:val="23"/>
                <w:szCs w:val="23"/>
              </w:rPr>
              <w:t>3.</w:t>
            </w:r>
            <w:r w:rsidR="00D1042F" w:rsidRPr="00D1042F">
              <w:rPr>
                <w:rFonts w:ascii="Calibri" w:eastAsia="Times New Roman" w:hAnsi="Calibri" w:cs="Times New Roman"/>
                <w:color w:val="000000"/>
                <w:sz w:val="23"/>
                <w:szCs w:val="23"/>
              </w:rPr>
              <w:t>10 - We share office supplies (e.g. staplers, scissors, tape) instead of each having our own. (2pts)</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3.11 - We have an internal reuse area for supplies such as binders and file folders. (2pts)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84205" w:rsidRPr="00D1042F" w:rsidTr="000C3929">
        <w:trPr>
          <w:trHeight w:hRule="exact" w:val="461"/>
        </w:trPr>
        <w:tc>
          <w:tcPr>
            <w:tcW w:w="5000" w:type="pct"/>
            <w:gridSpan w:val="3"/>
            <w:tcBorders>
              <w:top w:val="nil"/>
              <w:left w:val="single" w:sz="18" w:space="0" w:color="FFFFFF" w:themeColor="background1"/>
              <w:bottom w:val="single" w:sz="12" w:space="0" w:color="FFFFFF"/>
              <w:right w:val="single" w:sz="18" w:space="0" w:color="FFFFFF" w:themeColor="background1"/>
            </w:tcBorders>
            <w:shd w:val="clear" w:color="auto" w:fill="auto"/>
            <w:noWrap/>
            <w:vAlign w:val="bottom"/>
            <w:hideMark/>
          </w:tcPr>
          <w:p w:rsidR="00D84205" w:rsidRPr="00D1042F" w:rsidRDefault="00D84205" w:rsidP="005B7CDA">
            <w:pPr>
              <w:spacing w:after="0" w:line="240" w:lineRule="auto"/>
              <w:rPr>
                <w:rFonts w:ascii="Calibri" w:eastAsia="Times New Roman" w:hAnsi="Calibri" w:cs="Times New Roman"/>
                <w:color w:val="000000"/>
              </w:rPr>
            </w:pPr>
            <w:r w:rsidRPr="00D1042F">
              <w:rPr>
                <w:rFonts w:ascii="Calibri" w:eastAsia="Times New Roman" w:hAnsi="Calibri" w:cs="Times New Roman"/>
                <w:color w:val="000000"/>
              </w:rPr>
              <w:t>  </w:t>
            </w:r>
          </w:p>
        </w:tc>
      </w:tr>
      <w:tr w:rsidR="00D84205" w:rsidRPr="006E5208" w:rsidTr="005A1580">
        <w:trPr>
          <w:trHeight w:val="420"/>
        </w:trPr>
        <w:tc>
          <w:tcPr>
            <w:tcW w:w="5000" w:type="pct"/>
            <w:gridSpan w:val="3"/>
            <w:tcBorders>
              <w:top w:val="single" w:sz="12" w:space="0" w:color="FFFFFF"/>
              <w:left w:val="single" w:sz="18" w:space="0" w:color="FFFFFF" w:themeColor="background1"/>
              <w:bottom w:val="single" w:sz="12" w:space="0" w:color="FFFFFF"/>
              <w:right w:val="single" w:sz="18" w:space="0" w:color="FFFFFF" w:themeColor="background1"/>
            </w:tcBorders>
            <w:shd w:val="clear" w:color="000000" w:fill="4891CE"/>
            <w:vAlign w:val="center"/>
            <w:hideMark/>
          </w:tcPr>
          <w:p w:rsidR="00D84205" w:rsidRPr="002C77B7" w:rsidRDefault="00D84205" w:rsidP="005B7CDA">
            <w:pPr>
              <w:spacing w:after="0" w:line="240" w:lineRule="auto"/>
              <w:rPr>
                <w:rFonts w:ascii="Rockwell" w:eastAsia="Times New Roman" w:hAnsi="Rockwell" w:cs="Times New Roman"/>
                <w:color w:val="000000"/>
                <w:sz w:val="26"/>
                <w:szCs w:val="26"/>
              </w:rPr>
            </w:pPr>
            <w:r w:rsidRPr="002C77B7">
              <w:rPr>
                <w:rFonts w:ascii="Rockwell" w:eastAsia="Times New Roman" w:hAnsi="Rockwell" w:cs="Times New Roman"/>
                <w:color w:val="FFFFFF"/>
                <w:sz w:val="26"/>
                <w:szCs w:val="26"/>
                <w:u w:val="single"/>
              </w:rPr>
              <w:t>4. Food, Beverages &amp; Dishware</w:t>
            </w: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4.1 - We use durable and reusable dishes and utensils in our office. (1pt) </w:t>
            </w:r>
          </w:p>
        </w:tc>
        <w:tc>
          <w:tcPr>
            <w:tcW w:w="772" w:type="pct"/>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4.2 - We provide reusable dishes and utensils at events organized by our office. (1pt) </w:t>
            </w:r>
          </w:p>
        </w:tc>
        <w:tc>
          <w:tcPr>
            <w:tcW w:w="772" w:type="pct"/>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4.3 - We remind attendees to bring their own reusable mugs and cups to events and meetings at which reusable options will not be provided. (2pts)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C77B7">
        <w:trPr>
          <w:trHeight w:hRule="exact" w:val="46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4.4 - We use environmentally preferable dishwashing soap. (1pt)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4.5 - We provide food that is locally grown and/or organic at events. (3pts for &gt;50% of food, 2pts for 10-50% of food)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C77B7">
        <w:trPr>
          <w:trHeight w:hRule="exact" w:val="693"/>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4.6 - We serve organic and/or shade grown coffee in our office and at events. (2pts for &gt;50% of coffee, 1pt for 10-50% of coffee) </w:t>
            </w:r>
          </w:p>
        </w:tc>
        <w:tc>
          <w:tcPr>
            <w:tcW w:w="772" w:type="pct"/>
            <w:gridSpan w:val="2"/>
            <w:tcBorders>
              <w:top w:val="single" w:sz="18" w:space="0" w:color="FFFFFF" w:themeColor="background1"/>
              <w:left w:val="single" w:sz="18" w:space="0" w:color="FFFFFF" w:themeColor="background1"/>
              <w:bottom w:val="nil"/>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4.7 - We drink tap water or filtered tap water instead of bottled spring water. (2pts)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4.8 - We provide large, multi-serving beverages (e.g. 2 liter bottles, gallon jugs, pitchers) at events and for daily consumption instead of individual, disposable containers (e.g. water bottles, soda cans). (1pt)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CA3051">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4.9 - We purchase our coffee, sugar, creamer, salt, pepper and other condiments in multi-serving containers rather than in single-serving packages. (1pt)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84205" w:rsidRPr="006E5208" w:rsidTr="000C3929">
        <w:trPr>
          <w:trHeight w:val="559"/>
        </w:trPr>
        <w:tc>
          <w:tcPr>
            <w:tcW w:w="5000" w:type="pct"/>
            <w:gridSpan w:val="3"/>
            <w:tcBorders>
              <w:top w:val="single" w:sz="12" w:space="0" w:color="FFFFFF"/>
              <w:left w:val="single" w:sz="18" w:space="0" w:color="FFFFFF" w:themeColor="background1"/>
              <w:bottom w:val="single" w:sz="12" w:space="0" w:color="FFFFFF"/>
              <w:right w:val="single" w:sz="18" w:space="0" w:color="FFFFFF" w:themeColor="background1"/>
            </w:tcBorders>
            <w:shd w:val="clear" w:color="000000" w:fill="4891CE"/>
            <w:vAlign w:val="center"/>
            <w:hideMark/>
          </w:tcPr>
          <w:p w:rsidR="00D84205" w:rsidRPr="002C77B7" w:rsidRDefault="00D84205" w:rsidP="005B7CDA">
            <w:pPr>
              <w:spacing w:after="0" w:line="240" w:lineRule="auto"/>
              <w:rPr>
                <w:rFonts w:ascii="Rockwell" w:eastAsia="Times New Roman" w:hAnsi="Rockwell" w:cs="Times New Roman"/>
                <w:color w:val="000000"/>
                <w:sz w:val="26"/>
                <w:szCs w:val="26"/>
              </w:rPr>
            </w:pPr>
            <w:r w:rsidRPr="002C77B7">
              <w:rPr>
                <w:rFonts w:ascii="Rockwell" w:eastAsia="Times New Roman" w:hAnsi="Rockwell" w:cs="Times New Roman"/>
                <w:color w:val="FFFFFF"/>
                <w:sz w:val="26"/>
                <w:szCs w:val="26"/>
                <w:u w:val="single"/>
              </w:rPr>
              <w:lastRenderedPageBreak/>
              <w:t>5. Transportation</w:t>
            </w:r>
          </w:p>
        </w:tc>
      </w:tr>
      <w:tr w:rsidR="005B7CDA" w:rsidRPr="005B7CDA" w:rsidTr="002D51B6">
        <w:trPr>
          <w:trHeight w:hRule="exact" w:val="1080"/>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5.1 - We provide information on ridesharing, public transit, biking, and other alternative commuting options to our staff, and we make sure it is widely distributed and updated when necessary. We also provide information about alternate transportation options to office visitors and people traveling to campus for events. (2pts)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5.2 - Office members walk, bike, carpool, or take public transit to work at least one day per week on average. (5pts for &gt;50% of office members, 3pts for 10-50% of office members)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5.3 - Office members walk, bike, carpool, or take public transit around or between campuses. (3pts)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749"/>
        </w:trPr>
        <w:tc>
          <w:tcPr>
            <w:tcW w:w="422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5.4 - Whenever possible (e.g. for recurring meetings or meetings with colleagues we already know), we replace business travel with video, web or teleconferencing. (3pts) </w:t>
            </w:r>
          </w:p>
        </w:tc>
        <w:tc>
          <w:tcPr>
            <w:tcW w:w="772" w:type="pct"/>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5.5 - When renting vehicles, we select the most fuel-ef</w:t>
            </w:r>
            <w:r w:rsidR="00B32401" w:rsidRPr="005B7CDA">
              <w:rPr>
                <w:rFonts w:ascii="Calibri" w:eastAsia="Times New Roman" w:hAnsi="Calibri" w:cs="Times New Roman"/>
                <w:color w:val="000000"/>
                <w:sz w:val="23"/>
                <w:szCs w:val="23"/>
              </w:rPr>
              <w:t>ficient options available. (1pt</w:t>
            </w:r>
            <w:r w:rsidRPr="00D1042F">
              <w:rPr>
                <w:rFonts w:ascii="Calibri" w:eastAsia="Times New Roman" w:hAnsi="Calibri" w:cs="Times New Roman"/>
                <w:color w:val="000000"/>
                <w:sz w:val="23"/>
                <w:szCs w:val="23"/>
              </w:rPr>
              <w:t xml:space="preserve">) </w:t>
            </w:r>
          </w:p>
        </w:tc>
        <w:tc>
          <w:tcPr>
            <w:tcW w:w="772" w:type="pct"/>
            <w:gridSpan w:val="2"/>
            <w:tcBorders>
              <w:top w:val="single" w:sz="18" w:space="0" w:color="FFFFFF" w:themeColor="background1"/>
              <w:left w:val="single" w:sz="18" w:space="0" w:color="FFFFFF" w:themeColor="background1"/>
              <w:bottom w:val="nil"/>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84205" w:rsidRPr="00D1042F" w:rsidTr="006960F5">
        <w:trPr>
          <w:trHeight w:hRule="exact" w:val="461"/>
        </w:trPr>
        <w:tc>
          <w:tcPr>
            <w:tcW w:w="5000" w:type="pct"/>
            <w:gridSpan w:val="3"/>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auto" w:fill="auto"/>
            <w:noWrap/>
            <w:vAlign w:val="bottom"/>
            <w:hideMark/>
          </w:tcPr>
          <w:p w:rsidR="00D84205" w:rsidRPr="00D1042F" w:rsidRDefault="00D84205" w:rsidP="005B7CDA">
            <w:pPr>
              <w:spacing w:after="0" w:line="240" w:lineRule="auto"/>
              <w:rPr>
                <w:rFonts w:ascii="Calibri" w:eastAsia="Times New Roman" w:hAnsi="Calibri" w:cs="Times New Roman"/>
                <w:color w:val="000000"/>
              </w:rPr>
            </w:pPr>
            <w:r w:rsidRPr="00D1042F">
              <w:rPr>
                <w:rFonts w:ascii="Calibri" w:eastAsia="Times New Roman" w:hAnsi="Calibri" w:cs="Times New Roman"/>
                <w:color w:val="000000"/>
              </w:rPr>
              <w:t> </w:t>
            </w:r>
          </w:p>
        </w:tc>
      </w:tr>
      <w:tr w:rsidR="00D84205" w:rsidRPr="006E5208" w:rsidTr="000C3929">
        <w:trPr>
          <w:trHeight w:val="559"/>
        </w:trPr>
        <w:tc>
          <w:tcPr>
            <w:tcW w:w="5000" w:type="pct"/>
            <w:gridSpan w:val="3"/>
            <w:tcBorders>
              <w:top w:val="single" w:sz="12" w:space="0" w:color="FFFFFF"/>
              <w:left w:val="single" w:sz="18" w:space="0" w:color="FFFFFF" w:themeColor="background1"/>
              <w:bottom w:val="single" w:sz="12" w:space="0" w:color="FFFFFF"/>
              <w:right w:val="single" w:sz="18" w:space="0" w:color="FFFFFF" w:themeColor="background1"/>
            </w:tcBorders>
            <w:shd w:val="clear" w:color="000000" w:fill="4891CE"/>
            <w:vAlign w:val="center"/>
            <w:hideMark/>
          </w:tcPr>
          <w:p w:rsidR="00D84205" w:rsidRPr="002C77B7" w:rsidRDefault="00D84205" w:rsidP="005B7CDA">
            <w:pPr>
              <w:spacing w:after="0" w:line="240" w:lineRule="auto"/>
              <w:rPr>
                <w:rFonts w:ascii="Rockwell" w:eastAsia="Times New Roman" w:hAnsi="Rockwell" w:cs="Times New Roman"/>
                <w:color w:val="000000"/>
                <w:sz w:val="26"/>
                <w:szCs w:val="26"/>
              </w:rPr>
            </w:pPr>
            <w:r w:rsidRPr="002C77B7">
              <w:rPr>
                <w:rFonts w:ascii="Rockwell" w:eastAsia="Times New Roman" w:hAnsi="Rockwell" w:cs="Times New Roman"/>
                <w:color w:val="FFFFFF"/>
                <w:sz w:val="26"/>
                <w:szCs w:val="26"/>
                <w:u w:val="single"/>
              </w:rPr>
              <w:t>6. Sustainability Planning &amp; Leadership</w:t>
            </w:r>
          </w:p>
        </w:tc>
      </w:tr>
      <w:tr w:rsidR="005B7CDA" w:rsidRPr="005B7CDA" w:rsidTr="002D51B6">
        <w:trPr>
          <w:trHeight w:hRule="exact" w:val="518"/>
        </w:trPr>
        <w:tc>
          <w:tcPr>
            <w:tcW w:w="422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6.1 - We track our office's progress toward achieving our sustainability goals. (2pts) </w:t>
            </w:r>
          </w:p>
        </w:tc>
        <w:tc>
          <w:tcPr>
            <w:tcW w:w="772" w:type="pct"/>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6.2 - We communicate our sustainability successes at least annually (e.g. in office communications or reports). (2pts)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6.3 - We educate our staff members about sustainable actions that relate to their work, and we include office sustainability content in job trainings and new employee orientations.  (3pts)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749"/>
        </w:trPr>
        <w:tc>
          <w:tcPr>
            <w:tcW w:w="4228" w:type="pct"/>
            <w:tcBorders>
              <w:top w:val="single" w:sz="18" w:space="0" w:color="FFFFFF" w:themeColor="background1"/>
              <w:left w:val="single" w:sz="18" w:space="0" w:color="FFFFFF" w:themeColor="background1"/>
              <w:bottom w:val="nil"/>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6.4 - We include sustainability practices and responsibilities in employees’ job descriptions. (2pts for &gt;50% of job descriptions, 1 pt for 10-50% of job descriptions)</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1080"/>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6.5 - Our employees' performance plans include at least 1 sustainability-related goal (Key Performance Area) each.  Employees are evaluated on this goal(s) during the performance planning and review process. (3pts for &gt;50% of employees' performance plans, 2pts for 25-50% of employees' performance plans, 1pt for 10-25% of employees' performance plans)</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C6DDF0"/>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5B7CDA" w:rsidRPr="005B7CDA" w:rsidTr="002D51B6">
        <w:trPr>
          <w:trHeight w:hRule="exact" w:val="749"/>
        </w:trPr>
        <w:tc>
          <w:tcPr>
            <w:tcW w:w="4228" w:type="pct"/>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6.6 - At least one member of our office is an active Tufts Eco-Ambassador and is a known resource for sustainability in our office. (3pts) </w:t>
            </w:r>
          </w:p>
        </w:tc>
        <w:tc>
          <w:tcPr>
            <w:tcW w:w="772" w:type="pct"/>
            <w:gridSpan w:val="2"/>
            <w:tcBorders>
              <w:top w:val="single" w:sz="18" w:space="0" w:color="FFFFFF" w:themeColor="background1"/>
              <w:left w:val="single" w:sz="18" w:space="0" w:color="FFFFFF" w:themeColor="background1"/>
              <w:bottom w:val="single" w:sz="12" w:space="0" w:color="FFFFFF"/>
              <w:right w:val="single" w:sz="18" w:space="0" w:color="FFFFFF" w:themeColor="background1"/>
            </w:tcBorders>
            <w:shd w:val="clear" w:color="000000" w:fill="DEEBF6"/>
            <w:vAlign w:val="center"/>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r w:rsidR="00D1042F" w:rsidRPr="005B7CDA" w:rsidTr="002D51B6">
        <w:trPr>
          <w:trHeight w:hRule="exact" w:val="518"/>
        </w:trPr>
        <w:tc>
          <w:tcPr>
            <w:tcW w:w="4228" w:type="pct"/>
            <w:tcBorders>
              <w:top w:val="single" w:sz="18" w:space="0" w:color="FFFFFF" w:themeColor="background1"/>
              <w:left w:val="single" w:sz="18" w:space="0" w:color="FFFFFF" w:themeColor="background1"/>
              <w:bottom w:val="nil"/>
              <w:right w:val="single" w:sz="18" w:space="0" w:color="FFFFFF" w:themeColor="background1"/>
            </w:tcBorders>
            <w:shd w:val="clear" w:color="000000" w:fill="C6DDF0"/>
            <w:vAlign w:val="center"/>
            <w:hideMark/>
          </w:tcPr>
          <w:p w:rsidR="00D1042F" w:rsidRPr="00D1042F" w:rsidRDefault="00D1042F" w:rsidP="005B7CDA">
            <w:pPr>
              <w:spacing w:after="0" w:line="240" w:lineRule="auto"/>
              <w:rPr>
                <w:rFonts w:ascii="Calibri" w:eastAsia="Times New Roman" w:hAnsi="Calibri" w:cs="Times New Roman"/>
                <w:color w:val="000000"/>
                <w:sz w:val="23"/>
                <w:szCs w:val="23"/>
              </w:rPr>
            </w:pPr>
            <w:r w:rsidRPr="00D1042F">
              <w:rPr>
                <w:rFonts w:ascii="Calibri" w:eastAsia="Times New Roman" w:hAnsi="Calibri" w:cs="Times New Roman"/>
                <w:color w:val="000000"/>
                <w:sz w:val="23"/>
                <w:szCs w:val="23"/>
              </w:rPr>
              <w:t xml:space="preserve">6.7 - We have an active green team in our office or building that meets on a regular basis. (5pts) </w:t>
            </w:r>
          </w:p>
        </w:tc>
        <w:tc>
          <w:tcPr>
            <w:tcW w:w="772" w:type="pct"/>
            <w:gridSpan w:val="2"/>
            <w:tcBorders>
              <w:top w:val="single" w:sz="18" w:space="0" w:color="FFFFFF" w:themeColor="background1"/>
              <w:left w:val="single" w:sz="18" w:space="0" w:color="FFFFFF" w:themeColor="background1"/>
              <w:bottom w:val="nil"/>
              <w:right w:val="single" w:sz="18" w:space="0" w:color="FFFFFF" w:themeColor="background1"/>
            </w:tcBorders>
            <w:shd w:val="clear" w:color="000000" w:fill="C6DDF0"/>
            <w:vAlign w:val="center"/>
            <w:hideMark/>
          </w:tcPr>
          <w:p w:rsidR="00D1042F" w:rsidRPr="00D1042F" w:rsidRDefault="00D1042F" w:rsidP="005B7CDA">
            <w:pPr>
              <w:spacing w:after="0" w:line="240" w:lineRule="auto"/>
              <w:jc w:val="center"/>
              <w:rPr>
                <w:rFonts w:ascii="Calibri" w:eastAsia="Times New Roman" w:hAnsi="Calibri" w:cs="Times New Roman"/>
                <w:color w:val="000000"/>
                <w:sz w:val="23"/>
                <w:szCs w:val="23"/>
              </w:rPr>
            </w:pPr>
          </w:p>
        </w:tc>
      </w:tr>
    </w:tbl>
    <w:p w:rsidR="00D84205" w:rsidRPr="002D51B6" w:rsidRDefault="00D84205" w:rsidP="005B7CDA">
      <w:pPr>
        <w:rPr>
          <w:sz w:val="2"/>
          <w:szCs w:val="2"/>
        </w:rPr>
      </w:pPr>
    </w:p>
    <w:sectPr w:rsidR="00D84205" w:rsidRPr="002D51B6" w:rsidSect="002D51B6">
      <w:pgSz w:w="15840" w:h="12240" w:orient="landscape"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0E"/>
    <w:rsid w:val="00046FDF"/>
    <w:rsid w:val="000A5A0E"/>
    <w:rsid w:val="000C3929"/>
    <w:rsid w:val="00160C18"/>
    <w:rsid w:val="002717D1"/>
    <w:rsid w:val="002C77B7"/>
    <w:rsid w:val="002D51B6"/>
    <w:rsid w:val="005A1580"/>
    <w:rsid w:val="005B7CDA"/>
    <w:rsid w:val="006960F5"/>
    <w:rsid w:val="006D478D"/>
    <w:rsid w:val="006E5208"/>
    <w:rsid w:val="0075125B"/>
    <w:rsid w:val="007E4BD8"/>
    <w:rsid w:val="009E3440"/>
    <w:rsid w:val="00A309B7"/>
    <w:rsid w:val="00B03C19"/>
    <w:rsid w:val="00B14EBD"/>
    <w:rsid w:val="00B32401"/>
    <w:rsid w:val="00CA3051"/>
    <w:rsid w:val="00D1042F"/>
    <w:rsid w:val="00D84205"/>
    <w:rsid w:val="00F45CC6"/>
    <w:rsid w:val="00F6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DE8B"/>
  <w15:docId w15:val="{04ACC8AF-551A-4C73-92DC-8783F497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5A0E"/>
    <w:rPr>
      <w:b/>
      <w:bCs/>
    </w:rPr>
  </w:style>
  <w:style w:type="character" w:styleId="Hyperlink">
    <w:name w:val="Hyperlink"/>
    <w:basedOn w:val="DefaultParagraphFont"/>
    <w:uiPriority w:val="99"/>
    <w:unhideWhenUsed/>
    <w:rsid w:val="000A5A0E"/>
    <w:rPr>
      <w:color w:val="0000FF" w:themeColor="hyperlink"/>
      <w:u w:val="single"/>
    </w:rPr>
  </w:style>
  <w:style w:type="table" w:styleId="TableGrid">
    <w:name w:val="Table Grid"/>
    <w:basedOn w:val="TableNormal"/>
    <w:uiPriority w:val="59"/>
    <w:rsid w:val="00B3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5611">
      <w:bodyDiv w:val="1"/>
      <w:marLeft w:val="0"/>
      <w:marRight w:val="0"/>
      <w:marTop w:val="0"/>
      <w:marBottom w:val="0"/>
      <w:divBdr>
        <w:top w:val="none" w:sz="0" w:space="0" w:color="auto"/>
        <w:left w:val="none" w:sz="0" w:space="0" w:color="auto"/>
        <w:bottom w:val="none" w:sz="0" w:space="0" w:color="auto"/>
        <w:right w:val="none" w:sz="0" w:space="0" w:color="auto"/>
      </w:divBdr>
    </w:div>
    <w:div w:id="1999963480">
      <w:bodyDiv w:val="1"/>
      <w:marLeft w:val="0"/>
      <w:marRight w:val="0"/>
      <w:marTop w:val="0"/>
      <w:marBottom w:val="0"/>
      <w:divBdr>
        <w:top w:val="none" w:sz="0" w:space="0" w:color="auto"/>
        <w:left w:val="none" w:sz="0" w:space="0" w:color="auto"/>
        <w:bottom w:val="none" w:sz="0" w:space="0" w:color="auto"/>
        <w:right w:val="none" w:sz="0" w:space="0" w:color="auto"/>
      </w:divBdr>
    </w:div>
    <w:div w:id="20404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Byrum</dc:creator>
  <cp:lastModifiedBy>Blank, Shoshana A</cp:lastModifiedBy>
  <cp:revision>3</cp:revision>
  <cp:lastPrinted>2014-07-11T13:40:00Z</cp:lastPrinted>
  <dcterms:created xsi:type="dcterms:W3CDTF">2018-01-10T16:49:00Z</dcterms:created>
  <dcterms:modified xsi:type="dcterms:W3CDTF">2018-02-09T20:27:00Z</dcterms:modified>
</cp:coreProperties>
</file>