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A34" w:rsidRDefault="00861A34" w:rsidP="00F10144">
      <w:pPr>
        <w:jc w:val="center"/>
        <w:rPr>
          <w:rFonts w:ascii="Palatino Linotype" w:hAnsi="Palatino Linotype" w:cs="Arial"/>
          <w:b/>
          <w:bCs/>
          <w:smallCaps/>
          <w:sz w:val="64"/>
          <w:szCs w:val="64"/>
        </w:rPr>
      </w:pPr>
    </w:p>
    <w:p w:rsidR="00F10144" w:rsidRPr="00861A34" w:rsidRDefault="00E15ACC" w:rsidP="00F10144">
      <w:pPr>
        <w:jc w:val="center"/>
        <w:rPr>
          <w:rFonts w:ascii="Palatino Linotype" w:hAnsi="Palatino Linotype" w:cs="Arial"/>
          <w:b/>
          <w:bCs/>
          <w:smallCaps/>
          <w:sz w:val="64"/>
          <w:szCs w:val="64"/>
        </w:rPr>
      </w:pPr>
      <w:r w:rsidRPr="00861A34">
        <w:rPr>
          <w:rFonts w:ascii="Palatino Linotype" w:hAnsi="Palatino Linotype" w:cs="Arial"/>
          <w:b/>
          <w:bCs/>
          <w:smallCaps/>
          <w:sz w:val="64"/>
          <w:szCs w:val="64"/>
        </w:rPr>
        <w:t>Saint John’s University</w:t>
      </w:r>
    </w:p>
    <w:p w:rsidR="00F10144" w:rsidRPr="00861A34" w:rsidRDefault="00E15ACC" w:rsidP="00F10144">
      <w:pPr>
        <w:jc w:val="center"/>
        <w:rPr>
          <w:rFonts w:ascii="Palatino Linotype" w:hAnsi="Palatino Linotype" w:cs="Arial"/>
          <w:b/>
          <w:bCs/>
          <w:smallCaps/>
          <w:sz w:val="48"/>
          <w:szCs w:val="48"/>
        </w:rPr>
      </w:pPr>
      <w:r w:rsidRPr="00861A34">
        <w:rPr>
          <w:rFonts w:ascii="Palatino Linotype" w:hAnsi="Palatino Linotype" w:cs="Arial"/>
          <w:b/>
          <w:bCs/>
          <w:smallCaps/>
          <w:sz w:val="48"/>
          <w:szCs w:val="48"/>
        </w:rPr>
        <w:t>Collegeville</w:t>
      </w:r>
      <w:r w:rsidR="00F10144" w:rsidRPr="00861A34">
        <w:rPr>
          <w:rFonts w:ascii="Palatino Linotype" w:hAnsi="Palatino Linotype" w:cs="Arial"/>
          <w:b/>
          <w:bCs/>
          <w:smallCaps/>
          <w:sz w:val="48"/>
          <w:szCs w:val="48"/>
        </w:rPr>
        <w:t>, MN</w:t>
      </w:r>
    </w:p>
    <w:p w:rsidR="00861A34" w:rsidRPr="00861A34" w:rsidRDefault="00861A34" w:rsidP="00F10144">
      <w:pPr>
        <w:jc w:val="center"/>
        <w:rPr>
          <w:rFonts w:ascii="Palatino Linotype" w:hAnsi="Palatino Linotype" w:cs="Arial"/>
          <w:b/>
          <w:bCs/>
          <w:smallCaps/>
          <w:sz w:val="56"/>
          <w:szCs w:val="56"/>
        </w:rPr>
      </w:pPr>
    </w:p>
    <w:p w:rsidR="00861A34" w:rsidRPr="00861A34" w:rsidRDefault="00861A34" w:rsidP="00861A34">
      <w:pPr>
        <w:jc w:val="center"/>
        <w:rPr>
          <w:rFonts w:ascii="Palatino Linotype" w:hAnsi="Palatino Linotype" w:cs="Arial"/>
          <w:b/>
          <w:bCs/>
          <w:smallCaps/>
          <w:sz w:val="64"/>
          <w:szCs w:val="64"/>
        </w:rPr>
      </w:pPr>
      <w:r w:rsidRPr="00861A34">
        <w:rPr>
          <w:rFonts w:ascii="Palatino Linotype" w:hAnsi="Palatino Linotype" w:cs="Arial"/>
          <w:b/>
          <w:bCs/>
          <w:smallCaps/>
          <w:sz w:val="64"/>
          <w:szCs w:val="64"/>
        </w:rPr>
        <w:t xml:space="preserve">2014 </w:t>
      </w:r>
      <w:r w:rsidR="00F10144" w:rsidRPr="00861A34">
        <w:rPr>
          <w:rFonts w:ascii="Palatino Linotype" w:hAnsi="Palatino Linotype" w:cs="Arial"/>
          <w:b/>
          <w:bCs/>
          <w:smallCaps/>
          <w:sz w:val="64"/>
          <w:szCs w:val="64"/>
        </w:rPr>
        <w:t xml:space="preserve">Greenhouse Gas </w:t>
      </w:r>
    </w:p>
    <w:p w:rsidR="00861A34" w:rsidRPr="00861A34" w:rsidRDefault="00F10144" w:rsidP="00861A34">
      <w:pPr>
        <w:jc w:val="center"/>
        <w:rPr>
          <w:rFonts w:ascii="Palatino Linotype" w:hAnsi="Palatino Linotype" w:cs="Arial"/>
          <w:b/>
          <w:bCs/>
          <w:smallCaps/>
          <w:sz w:val="64"/>
          <w:szCs w:val="64"/>
        </w:rPr>
      </w:pPr>
      <w:r w:rsidRPr="00861A34">
        <w:rPr>
          <w:rFonts w:ascii="Palatino Linotype" w:hAnsi="Palatino Linotype" w:cs="Arial"/>
          <w:b/>
          <w:bCs/>
          <w:smallCaps/>
          <w:sz w:val="64"/>
          <w:szCs w:val="64"/>
        </w:rPr>
        <w:t>Emissions Inventory</w:t>
      </w:r>
    </w:p>
    <w:p w:rsidR="00F10144" w:rsidRPr="00861A34" w:rsidRDefault="00F10144" w:rsidP="00F10144">
      <w:pPr>
        <w:jc w:val="center"/>
        <w:rPr>
          <w:rFonts w:ascii="Palatino Linotype" w:hAnsi="Palatino Linotype" w:cs="Arial"/>
          <w:b/>
          <w:bCs/>
          <w:smallCaps/>
          <w:sz w:val="56"/>
          <w:szCs w:val="56"/>
        </w:rPr>
      </w:pPr>
    </w:p>
    <w:p w:rsidR="00861A34" w:rsidRPr="00861A34" w:rsidRDefault="003B2276" w:rsidP="00861A34">
      <w:pPr>
        <w:jc w:val="center"/>
        <w:rPr>
          <w:rFonts w:ascii="Palatino Linotype" w:hAnsi="Palatino Linotype" w:cs="Arial"/>
          <w:b/>
          <w:bCs/>
          <w:smallCaps/>
          <w:sz w:val="28"/>
          <w:szCs w:val="28"/>
        </w:rPr>
      </w:pPr>
      <w:r w:rsidRPr="00861A34">
        <w:rPr>
          <w:rFonts w:ascii="Palatino Linotype" w:hAnsi="Palatino Linotype" w:cs="Arial"/>
          <w:b/>
          <w:bCs/>
          <w:smallCaps/>
          <w:noProof/>
          <w:sz w:val="28"/>
          <w:szCs w:val="28"/>
        </w:rPr>
        <w:drawing>
          <wp:inline distT="0" distB="0" distL="0" distR="0" wp14:anchorId="74B091A9" wp14:editId="34D0EB51">
            <wp:extent cx="1473512" cy="12192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73512" cy="1219200"/>
                    </a:xfrm>
                    <a:prstGeom prst="rect">
                      <a:avLst/>
                    </a:prstGeom>
                    <a:noFill/>
                    <a:ln w="9525">
                      <a:noFill/>
                      <a:miter lim="800000"/>
                      <a:headEnd/>
                      <a:tailEnd/>
                    </a:ln>
                  </pic:spPr>
                </pic:pic>
              </a:graphicData>
            </a:graphic>
          </wp:inline>
        </w:drawing>
      </w:r>
    </w:p>
    <w:p w:rsidR="00861A34" w:rsidRPr="00861A34" w:rsidRDefault="00861A34" w:rsidP="00861A34">
      <w:pPr>
        <w:jc w:val="center"/>
        <w:rPr>
          <w:rFonts w:ascii="Palatino Linotype" w:hAnsi="Palatino Linotype" w:cs="Arial"/>
          <w:b/>
          <w:bCs/>
          <w:smallCaps/>
          <w:sz w:val="28"/>
          <w:szCs w:val="28"/>
        </w:rPr>
      </w:pPr>
    </w:p>
    <w:p w:rsidR="00861A34" w:rsidRPr="00861A34" w:rsidRDefault="00F10144" w:rsidP="00861A34">
      <w:pPr>
        <w:jc w:val="center"/>
        <w:rPr>
          <w:rFonts w:ascii="Palatino Linotype" w:hAnsi="Palatino Linotype" w:cs="Arial"/>
          <w:b/>
          <w:bCs/>
          <w:smallCaps/>
          <w:sz w:val="28"/>
          <w:szCs w:val="28"/>
        </w:rPr>
      </w:pPr>
      <w:r w:rsidRPr="00861A34">
        <w:rPr>
          <w:rFonts w:ascii="Palatino Linotype" w:hAnsi="Palatino Linotype" w:cs="Arial"/>
          <w:b/>
          <w:bCs/>
          <w:smallCaps/>
          <w:sz w:val="28"/>
          <w:szCs w:val="28"/>
        </w:rPr>
        <w:t xml:space="preserve">Report Issue Date: </w:t>
      </w:r>
      <w:r w:rsidR="00275AD0" w:rsidRPr="00861A34">
        <w:rPr>
          <w:rFonts w:ascii="Palatino Linotype" w:hAnsi="Palatino Linotype" w:cs="Arial"/>
          <w:b/>
          <w:bCs/>
          <w:smallCaps/>
          <w:sz w:val="28"/>
          <w:szCs w:val="28"/>
        </w:rPr>
        <w:t>October</w:t>
      </w:r>
      <w:r w:rsidR="00E27983" w:rsidRPr="00861A34">
        <w:rPr>
          <w:rFonts w:ascii="Palatino Linotype" w:hAnsi="Palatino Linotype" w:cs="Arial"/>
          <w:b/>
          <w:bCs/>
          <w:smallCaps/>
          <w:sz w:val="28"/>
          <w:szCs w:val="28"/>
        </w:rPr>
        <w:t xml:space="preserve"> 1</w:t>
      </w:r>
      <w:r w:rsidR="00C6408D">
        <w:rPr>
          <w:rFonts w:ascii="Palatino Linotype" w:hAnsi="Palatino Linotype" w:cs="Arial"/>
          <w:b/>
          <w:bCs/>
          <w:smallCaps/>
          <w:sz w:val="28"/>
          <w:szCs w:val="28"/>
        </w:rPr>
        <w:t>0</w:t>
      </w:r>
      <w:r w:rsidR="00E27983" w:rsidRPr="00861A34">
        <w:rPr>
          <w:rFonts w:ascii="Palatino Linotype" w:hAnsi="Palatino Linotype" w:cs="Arial"/>
          <w:b/>
          <w:bCs/>
          <w:smallCaps/>
          <w:sz w:val="28"/>
          <w:szCs w:val="28"/>
        </w:rPr>
        <w:t>,</w:t>
      </w:r>
      <w:r w:rsidRPr="00861A34">
        <w:rPr>
          <w:rFonts w:ascii="Palatino Linotype" w:hAnsi="Palatino Linotype" w:cs="Arial"/>
          <w:b/>
          <w:bCs/>
          <w:smallCaps/>
          <w:sz w:val="28"/>
          <w:szCs w:val="28"/>
        </w:rPr>
        <w:t xml:space="preserve"> 201</w:t>
      </w:r>
      <w:r w:rsidR="00275AD0" w:rsidRPr="00861A34">
        <w:rPr>
          <w:rFonts w:ascii="Palatino Linotype" w:hAnsi="Palatino Linotype" w:cs="Arial"/>
          <w:b/>
          <w:bCs/>
          <w:smallCaps/>
          <w:sz w:val="28"/>
          <w:szCs w:val="28"/>
        </w:rPr>
        <w:t>4</w:t>
      </w:r>
    </w:p>
    <w:p w:rsidR="00F10144" w:rsidRPr="00861A34" w:rsidRDefault="00861A34" w:rsidP="00861A34">
      <w:pPr>
        <w:rPr>
          <w:rFonts w:ascii="Palatino Linotype" w:hAnsi="Palatino Linotype" w:cs="Arial"/>
          <w:b/>
          <w:bCs/>
          <w:smallCaps/>
          <w:sz w:val="28"/>
          <w:szCs w:val="28"/>
        </w:rPr>
      </w:pPr>
      <w:r w:rsidRPr="00861A34">
        <w:rPr>
          <w:rFonts w:ascii="Palatino Linotype" w:hAnsi="Palatino Linotype" w:cs="Arial"/>
          <w:b/>
          <w:bCs/>
          <w:smallCaps/>
          <w:sz w:val="28"/>
          <w:szCs w:val="28"/>
        </w:rPr>
        <w:br w:type="textWrapping" w:clear="all"/>
      </w:r>
    </w:p>
    <w:p w:rsidR="007711E6" w:rsidRPr="00861A34" w:rsidRDefault="00F10144" w:rsidP="00861A34">
      <w:pPr>
        <w:rPr>
          <w:rFonts w:ascii="Palatino Linotype" w:hAnsi="Palatino Linotype" w:cs="Arial"/>
          <w:b/>
          <w:bCs/>
          <w:smallCaps/>
          <w:sz w:val="28"/>
          <w:szCs w:val="28"/>
        </w:rPr>
      </w:pPr>
      <w:r>
        <w:rPr>
          <w:rFonts w:ascii="Arial" w:hAnsi="Arial" w:cs="Arial"/>
          <w:b/>
          <w:bCs/>
          <w:smallCaps/>
          <w:sz w:val="28"/>
          <w:szCs w:val="28"/>
        </w:rPr>
        <w:br w:type="page"/>
      </w:r>
      <w:r w:rsidR="007711E6" w:rsidRPr="00861A34">
        <w:rPr>
          <w:rFonts w:ascii="Palatino Linotype" w:hAnsi="Palatino Linotype" w:cs="Arial"/>
          <w:b/>
          <w:bCs/>
          <w:smallCaps/>
          <w:sz w:val="28"/>
          <w:szCs w:val="28"/>
        </w:rPr>
        <w:lastRenderedPageBreak/>
        <w:t>Executive Su</w:t>
      </w:r>
      <w:r w:rsidR="002810E7" w:rsidRPr="00861A34">
        <w:rPr>
          <w:rFonts w:ascii="Palatino Linotype" w:hAnsi="Palatino Linotype" w:cs="Arial"/>
          <w:b/>
          <w:bCs/>
          <w:smallCaps/>
          <w:sz w:val="28"/>
          <w:szCs w:val="28"/>
        </w:rPr>
        <w:t>mm</w:t>
      </w:r>
      <w:r w:rsidR="007711E6" w:rsidRPr="00861A34">
        <w:rPr>
          <w:rFonts w:ascii="Palatino Linotype" w:hAnsi="Palatino Linotype" w:cs="Arial"/>
          <w:b/>
          <w:bCs/>
          <w:smallCaps/>
          <w:sz w:val="28"/>
          <w:szCs w:val="28"/>
        </w:rPr>
        <w:t>ary</w:t>
      </w:r>
    </w:p>
    <w:p w:rsidR="00660773" w:rsidRPr="00861A34" w:rsidRDefault="007711E6" w:rsidP="00660773">
      <w:pPr>
        <w:rPr>
          <w:rFonts w:ascii="Palatino Linotype" w:hAnsi="Palatino Linotype"/>
        </w:rPr>
      </w:pPr>
      <w:r w:rsidRPr="00861A34">
        <w:rPr>
          <w:rFonts w:ascii="Palatino Linotype" w:hAnsi="Palatino Linotype"/>
        </w:rPr>
        <w:t xml:space="preserve">The Office of Sustainability at </w:t>
      </w:r>
      <w:r w:rsidR="00E15ACC" w:rsidRPr="00861A34">
        <w:rPr>
          <w:rFonts w:ascii="Palatino Linotype" w:hAnsi="Palatino Linotype"/>
        </w:rPr>
        <w:t xml:space="preserve">Saint John’s University </w:t>
      </w:r>
      <w:r w:rsidR="00B82906" w:rsidRPr="00861A34">
        <w:rPr>
          <w:rFonts w:ascii="Palatino Linotype" w:hAnsi="Palatino Linotype"/>
        </w:rPr>
        <w:t>(SJU</w:t>
      </w:r>
      <w:r w:rsidRPr="00861A34">
        <w:rPr>
          <w:rFonts w:ascii="Palatino Linotype" w:hAnsi="Palatino Linotype"/>
        </w:rPr>
        <w:t>) has completed the greenhouse gas (GHG) emis</w:t>
      </w:r>
      <w:r w:rsidR="00AA50DF" w:rsidRPr="00861A34">
        <w:rPr>
          <w:rFonts w:ascii="Palatino Linotype" w:hAnsi="Palatino Linotype"/>
        </w:rPr>
        <w:t>sion inventory</w:t>
      </w:r>
      <w:r w:rsidRPr="00861A34">
        <w:rPr>
          <w:rFonts w:ascii="Palatino Linotype" w:hAnsi="Palatino Linotype"/>
        </w:rPr>
        <w:t xml:space="preserve">.  </w:t>
      </w:r>
      <w:r w:rsidR="00861A34" w:rsidRPr="00861A34">
        <w:rPr>
          <w:rFonts w:ascii="Palatino Linotype" w:eastAsia="Times New Roman" w:hAnsi="Palatino Linotype"/>
        </w:rPr>
        <w:t xml:space="preserve">Jacob Saffert, the sustainability fellow, was </w:t>
      </w:r>
      <w:r w:rsidR="00365782" w:rsidRPr="00861A34">
        <w:rPr>
          <w:rFonts w:ascii="Palatino Linotype" w:hAnsi="Palatino Linotype"/>
        </w:rPr>
        <w:t>responsible for data collect</w:t>
      </w:r>
      <w:r w:rsidR="005E3B29" w:rsidRPr="00861A34">
        <w:rPr>
          <w:rFonts w:ascii="Palatino Linotype" w:hAnsi="Palatino Linotype"/>
        </w:rPr>
        <w:t>ion</w:t>
      </w:r>
      <w:r w:rsidR="00E15ACC" w:rsidRPr="00861A34">
        <w:rPr>
          <w:rFonts w:ascii="Palatino Linotype" w:hAnsi="Palatino Linotype"/>
        </w:rPr>
        <w:t xml:space="preserve">.  </w:t>
      </w:r>
      <w:r w:rsidRPr="00861A34">
        <w:rPr>
          <w:rFonts w:ascii="Palatino Linotype" w:hAnsi="Palatino Linotype"/>
        </w:rPr>
        <w:t>This report includes the methodology used to determin</w:t>
      </w:r>
      <w:r w:rsidR="000557E6" w:rsidRPr="00861A34">
        <w:rPr>
          <w:rFonts w:ascii="Palatino Linotype" w:hAnsi="Palatino Linotype"/>
        </w:rPr>
        <w:t>e</w:t>
      </w:r>
      <w:r w:rsidR="00A8601B" w:rsidRPr="00861A34">
        <w:rPr>
          <w:rFonts w:ascii="Palatino Linotype" w:hAnsi="Palatino Linotype"/>
        </w:rPr>
        <w:t xml:space="preserve"> the footprint, emissions</w:t>
      </w:r>
      <w:r w:rsidRPr="00861A34">
        <w:rPr>
          <w:rFonts w:ascii="Palatino Linotype" w:hAnsi="Palatino Linotype"/>
        </w:rPr>
        <w:t xml:space="preserve"> data</w:t>
      </w:r>
      <w:r w:rsidR="00A8601B" w:rsidRPr="00861A34">
        <w:rPr>
          <w:rFonts w:ascii="Palatino Linotype" w:hAnsi="Palatino Linotype"/>
        </w:rPr>
        <w:t xml:space="preserve"> for fiscal year 201</w:t>
      </w:r>
      <w:r w:rsidR="00861A34" w:rsidRPr="00861A34">
        <w:rPr>
          <w:rFonts w:ascii="Palatino Linotype" w:hAnsi="Palatino Linotype"/>
        </w:rPr>
        <w:t>4</w:t>
      </w:r>
      <w:r w:rsidR="008A2F12">
        <w:rPr>
          <w:rFonts w:ascii="Palatino Linotype" w:hAnsi="Palatino Linotype"/>
        </w:rPr>
        <w:t xml:space="preserve"> (FY2014)</w:t>
      </w:r>
      <w:r w:rsidR="00861A34" w:rsidRPr="00861A34">
        <w:rPr>
          <w:rFonts w:ascii="Palatino Linotype" w:hAnsi="Palatino Linotype"/>
        </w:rPr>
        <w:t>,</w:t>
      </w:r>
      <w:r w:rsidR="00A8601B" w:rsidRPr="00861A34">
        <w:rPr>
          <w:rFonts w:ascii="Palatino Linotype" w:hAnsi="Palatino Linotype"/>
        </w:rPr>
        <w:t xml:space="preserve"> and </w:t>
      </w:r>
      <w:r w:rsidR="00861A34" w:rsidRPr="00861A34">
        <w:rPr>
          <w:rFonts w:ascii="Palatino Linotype" w:hAnsi="Palatino Linotype"/>
        </w:rPr>
        <w:t xml:space="preserve">comparative analysis between current and past GHG inventory Data. The 2011 greenhouse gas inventory was the most recent inventory prior to this report, so data </w:t>
      </w:r>
      <w:r w:rsidR="00F84628">
        <w:rPr>
          <w:rFonts w:ascii="Palatino Linotype" w:hAnsi="Palatino Linotype"/>
        </w:rPr>
        <w:t>from that report is displayed for comparison</w:t>
      </w:r>
      <w:r w:rsidR="00861A34" w:rsidRPr="00861A34">
        <w:rPr>
          <w:rFonts w:ascii="Palatino Linotype" w:hAnsi="Palatino Linotype"/>
        </w:rPr>
        <w:t xml:space="preserve"> when possible and applicable.</w:t>
      </w:r>
      <w:r w:rsidR="00F84628">
        <w:rPr>
          <w:rFonts w:ascii="Palatino Linotype" w:hAnsi="Palatino Linotype"/>
        </w:rPr>
        <w:t xml:space="preserve"> When completing the FY2014 inventory, data from fiscal years 2012 and 2013 was collected whenever possible in order to increase the completeness of Saint John’s University’s greenhouse gas emission recordkeeping. Data from 2012 and 2013 can be found in the accompanying spreadsheet calculator.</w:t>
      </w:r>
    </w:p>
    <w:p w:rsidR="005E13EA" w:rsidRDefault="00C7632B" w:rsidP="00660773">
      <w:pPr>
        <w:rPr>
          <w:rFonts w:ascii="Palatino Linotype" w:hAnsi="Palatino Linotype"/>
        </w:rPr>
      </w:pPr>
      <w:r>
        <w:rPr>
          <w:rFonts w:ascii="Palatino Linotype" w:hAnsi="Palatino Linotype"/>
        </w:rPr>
        <w:t>The carbon footprint of Saint John’s University for fiscal year 2014 was 20,1</w:t>
      </w:r>
      <w:r w:rsidR="00BF4F8F">
        <w:rPr>
          <w:rFonts w:ascii="Palatino Linotype" w:hAnsi="Palatino Linotype"/>
        </w:rPr>
        <w:t>06.3</w:t>
      </w:r>
      <w:r w:rsidR="00C6408D">
        <w:rPr>
          <w:rFonts w:ascii="Palatino Linotype" w:hAnsi="Palatino Linotype"/>
        </w:rPr>
        <w:t xml:space="preserve"> metric tons of </w:t>
      </w:r>
      <w:r w:rsidR="00C6408D" w:rsidRPr="00C6408D">
        <w:rPr>
          <w:rFonts w:ascii="Palatino Linotype" w:hAnsi="Palatino Linotype"/>
        </w:rPr>
        <w:t>CO</w:t>
      </w:r>
      <w:r w:rsidR="00C6408D" w:rsidRPr="00C6408D">
        <w:rPr>
          <w:rFonts w:ascii="Palatino Linotype" w:hAnsi="Palatino Linotype"/>
          <w:vertAlign w:val="subscript"/>
        </w:rPr>
        <w:t>2</w:t>
      </w:r>
      <w:r w:rsidR="00C6408D" w:rsidRPr="00C6408D">
        <w:rPr>
          <w:rFonts w:ascii="Palatino Linotype" w:hAnsi="Palatino Linotype"/>
        </w:rPr>
        <w:t xml:space="preserve"> equivalents</w:t>
      </w:r>
      <w:r w:rsidR="00C6408D">
        <w:rPr>
          <w:rFonts w:ascii="Palatino Linotype" w:hAnsi="Palatino Linotype"/>
        </w:rPr>
        <w:t xml:space="preserve"> (MT </w:t>
      </w:r>
      <w:r w:rsidR="00C6408D" w:rsidRPr="00C6408D">
        <w:rPr>
          <w:rFonts w:ascii="Palatino Linotype" w:hAnsi="Palatino Linotype"/>
        </w:rPr>
        <w:t>eCO</w:t>
      </w:r>
      <w:r w:rsidR="00C6408D" w:rsidRPr="00C6408D">
        <w:rPr>
          <w:rFonts w:ascii="Palatino Linotype" w:hAnsi="Palatino Linotype"/>
          <w:vertAlign w:val="subscript"/>
        </w:rPr>
        <w:t>2</w:t>
      </w:r>
      <w:r w:rsidR="00C6408D" w:rsidRPr="00C6408D">
        <w:rPr>
          <w:rFonts w:ascii="Palatino Linotype" w:hAnsi="Palatino Linotype"/>
        </w:rPr>
        <w:t>)</w:t>
      </w:r>
      <w:r w:rsidR="00C6408D">
        <w:rPr>
          <w:rFonts w:ascii="Palatino Linotype" w:hAnsi="Palatino Linotype"/>
        </w:rPr>
        <w:t xml:space="preserve">.  This indicates a significant reduction in emissions since the completion of SJU’s </w:t>
      </w:r>
      <w:r w:rsidR="00AA458F">
        <w:rPr>
          <w:rFonts w:ascii="Palatino Linotype" w:hAnsi="Palatino Linotype"/>
        </w:rPr>
        <w:t>previous</w:t>
      </w:r>
      <w:r w:rsidR="00C6408D">
        <w:rPr>
          <w:rFonts w:ascii="Palatino Linotype" w:hAnsi="Palatino Linotype"/>
        </w:rPr>
        <w:t xml:space="preserve"> GHG inventory </w:t>
      </w:r>
      <w:r w:rsidR="00AA458F">
        <w:rPr>
          <w:rFonts w:ascii="Palatino Linotype" w:hAnsi="Palatino Linotype"/>
        </w:rPr>
        <w:t>from</w:t>
      </w:r>
      <w:r w:rsidR="00C6408D">
        <w:rPr>
          <w:rFonts w:ascii="Palatino Linotype" w:hAnsi="Palatino Linotype"/>
        </w:rPr>
        <w:t xml:space="preserve"> 2011</w:t>
      </w:r>
      <w:r w:rsidR="005E13EA">
        <w:rPr>
          <w:rFonts w:ascii="Palatino Linotype" w:hAnsi="Palatino Linotype"/>
        </w:rPr>
        <w:t>,</w:t>
      </w:r>
      <w:r w:rsidR="00C6408D">
        <w:rPr>
          <w:rFonts w:ascii="Palatino Linotype" w:hAnsi="Palatino Linotype"/>
        </w:rPr>
        <w:t xml:space="preserve"> which reported</w:t>
      </w:r>
      <w:r w:rsidR="005E13EA">
        <w:rPr>
          <w:rFonts w:ascii="Palatino Linotype" w:hAnsi="Palatino Linotype"/>
        </w:rPr>
        <w:t xml:space="preserve"> total</w:t>
      </w:r>
      <w:r w:rsidR="00C6408D">
        <w:rPr>
          <w:rFonts w:ascii="Palatino Linotype" w:hAnsi="Palatino Linotype"/>
        </w:rPr>
        <w:t xml:space="preserve"> emissions </w:t>
      </w:r>
      <w:r w:rsidR="00C6408D" w:rsidRPr="00C6408D">
        <w:rPr>
          <w:rFonts w:ascii="Palatino Linotype" w:hAnsi="Palatino Linotype"/>
        </w:rPr>
        <w:t>of 28,525.1 MT eCO</w:t>
      </w:r>
      <w:r w:rsidR="00C6408D" w:rsidRPr="00C6408D">
        <w:rPr>
          <w:rFonts w:ascii="Palatino Linotype" w:hAnsi="Palatino Linotype"/>
          <w:vertAlign w:val="subscript"/>
        </w:rPr>
        <w:t>2</w:t>
      </w:r>
      <w:r w:rsidR="00C6408D" w:rsidRPr="00C6408D">
        <w:rPr>
          <w:rFonts w:ascii="Palatino Linotype" w:hAnsi="Palatino Linotype"/>
        </w:rPr>
        <w:t xml:space="preserve">.  </w:t>
      </w:r>
      <w:r w:rsidR="005E13EA">
        <w:rPr>
          <w:rFonts w:ascii="Palatino Linotype" w:hAnsi="Palatino Linotype"/>
        </w:rPr>
        <w:t>That equates to a</w:t>
      </w:r>
      <w:r w:rsidR="00C6408D" w:rsidRPr="00C6408D">
        <w:rPr>
          <w:rFonts w:ascii="Palatino Linotype" w:hAnsi="Palatino Linotype"/>
        </w:rPr>
        <w:t xml:space="preserve"> </w:t>
      </w:r>
      <w:r w:rsidR="005E13EA">
        <w:rPr>
          <w:rFonts w:ascii="Palatino Linotype" w:hAnsi="Palatino Linotype"/>
        </w:rPr>
        <w:t xml:space="preserve">reduction of </w:t>
      </w:r>
      <w:r w:rsidR="00BF4F8F">
        <w:rPr>
          <w:rFonts w:ascii="Palatino Linotype" w:hAnsi="Palatino Linotype"/>
        </w:rPr>
        <w:t>8,418.8</w:t>
      </w:r>
      <w:r w:rsidR="00C6408D" w:rsidRPr="00C6408D">
        <w:rPr>
          <w:rFonts w:ascii="Palatino Linotype" w:hAnsi="Palatino Linotype"/>
        </w:rPr>
        <w:t xml:space="preserve"> MT eCO</w:t>
      </w:r>
      <w:r w:rsidR="00C6408D" w:rsidRPr="00C6408D">
        <w:rPr>
          <w:rFonts w:ascii="Palatino Linotype" w:hAnsi="Palatino Linotype"/>
          <w:vertAlign w:val="subscript"/>
        </w:rPr>
        <w:t>2</w:t>
      </w:r>
      <w:r w:rsidR="00C6408D" w:rsidRPr="00C6408D">
        <w:rPr>
          <w:rFonts w:ascii="Palatino Linotype" w:hAnsi="Palatino Linotype"/>
        </w:rPr>
        <w:t xml:space="preserve"> </w:t>
      </w:r>
      <w:r w:rsidR="005E13EA">
        <w:rPr>
          <w:rFonts w:ascii="Palatino Linotype" w:hAnsi="Palatino Linotype"/>
        </w:rPr>
        <w:t xml:space="preserve">in annual greenhouse gas emissions </w:t>
      </w:r>
      <w:r w:rsidR="00C6408D" w:rsidRPr="00C6408D">
        <w:rPr>
          <w:rFonts w:ascii="Palatino Linotype" w:hAnsi="Palatino Linotype"/>
        </w:rPr>
        <w:t xml:space="preserve">since </w:t>
      </w:r>
      <w:r w:rsidR="00C6408D">
        <w:rPr>
          <w:rFonts w:ascii="Palatino Linotype" w:hAnsi="Palatino Linotype"/>
        </w:rPr>
        <w:t xml:space="preserve">fiscal year </w:t>
      </w:r>
      <w:r w:rsidR="00C6408D" w:rsidRPr="00C6408D">
        <w:rPr>
          <w:rFonts w:ascii="Palatino Linotype" w:hAnsi="Palatino Linotype"/>
        </w:rPr>
        <w:t xml:space="preserve">2011.  </w:t>
      </w:r>
    </w:p>
    <w:p w:rsidR="00C7632B" w:rsidRPr="00C6408D" w:rsidRDefault="00C6408D" w:rsidP="00660773">
      <w:pPr>
        <w:rPr>
          <w:rFonts w:ascii="Palatino Linotype" w:hAnsi="Palatino Linotype"/>
        </w:rPr>
      </w:pPr>
      <w:r>
        <w:rPr>
          <w:rFonts w:ascii="Palatino Linotype" w:hAnsi="Palatino Linotype"/>
        </w:rPr>
        <w:t>Saint J</w:t>
      </w:r>
      <w:r w:rsidR="005E13EA">
        <w:rPr>
          <w:rFonts w:ascii="Palatino Linotype" w:hAnsi="Palatino Linotype"/>
        </w:rPr>
        <w:t xml:space="preserve">ohn’s University became a charter signatory of the American College and University Presidents’ Climate Commitment in 2007.  By signing that agreement, the university pledged to take notable steps towards reducing the carbon impact of its operation.  Specifically, the University pledged to reduce carbon emissions by 15 percent by 2015, 50 percent by 2030, and to be carbon neutral by 2035.  The 2014 GHG inventory affirms that Saint John’s University is meeting and exceeding its emissions </w:t>
      </w:r>
      <w:r w:rsidR="00622EE7">
        <w:rPr>
          <w:rFonts w:ascii="Palatino Linotype" w:hAnsi="Palatino Linotype"/>
        </w:rPr>
        <w:t xml:space="preserve">reduction </w:t>
      </w:r>
      <w:r w:rsidR="005E13EA">
        <w:rPr>
          <w:rFonts w:ascii="Palatino Linotype" w:hAnsi="Palatino Linotype"/>
        </w:rPr>
        <w:t>goals.  Emissions have been reduced by 25,83</w:t>
      </w:r>
      <w:r w:rsidR="00BF4F8F">
        <w:rPr>
          <w:rFonts w:ascii="Palatino Linotype" w:hAnsi="Palatino Linotype"/>
        </w:rPr>
        <w:t>9</w:t>
      </w:r>
      <w:r w:rsidR="005E13EA">
        <w:rPr>
          <w:rFonts w:ascii="Palatino Linotype" w:hAnsi="Palatino Linotype"/>
        </w:rPr>
        <w:t>.</w:t>
      </w:r>
      <w:r w:rsidR="00BF4F8F">
        <w:rPr>
          <w:rFonts w:ascii="Palatino Linotype" w:hAnsi="Palatino Linotype"/>
        </w:rPr>
        <w:t>8</w:t>
      </w:r>
      <w:r w:rsidR="005E13EA">
        <w:rPr>
          <w:rFonts w:ascii="Palatino Linotype" w:hAnsi="Palatino Linotype"/>
        </w:rPr>
        <w:t xml:space="preserve"> MT </w:t>
      </w:r>
      <w:r w:rsidR="005E13EA" w:rsidRPr="00C6408D">
        <w:rPr>
          <w:rFonts w:ascii="Palatino Linotype" w:hAnsi="Palatino Linotype"/>
        </w:rPr>
        <w:t>eCO</w:t>
      </w:r>
      <w:r w:rsidR="005E13EA" w:rsidRPr="00C6408D">
        <w:rPr>
          <w:rFonts w:ascii="Palatino Linotype" w:hAnsi="Palatino Linotype"/>
          <w:vertAlign w:val="subscript"/>
        </w:rPr>
        <w:t>2</w:t>
      </w:r>
      <w:r w:rsidR="005E13EA">
        <w:rPr>
          <w:rFonts w:ascii="Palatino Linotype" w:hAnsi="Palatino Linotype"/>
        </w:rPr>
        <w:t>, or</w:t>
      </w:r>
      <w:r w:rsidR="005E13EA" w:rsidRPr="00C6408D">
        <w:rPr>
          <w:rFonts w:ascii="Palatino Linotype" w:hAnsi="Palatino Linotype"/>
        </w:rPr>
        <w:t xml:space="preserve"> </w:t>
      </w:r>
      <w:r w:rsidR="005E13EA">
        <w:rPr>
          <w:rFonts w:ascii="Palatino Linotype" w:hAnsi="Palatino Linotype"/>
        </w:rPr>
        <w:t>56.2</w:t>
      </w:r>
      <w:r w:rsidR="00BF4F8F">
        <w:rPr>
          <w:rFonts w:ascii="Palatino Linotype" w:hAnsi="Palatino Linotype"/>
        </w:rPr>
        <w:t>4</w:t>
      </w:r>
      <w:r w:rsidR="005E13EA">
        <w:rPr>
          <w:rFonts w:ascii="Palatino Linotype" w:hAnsi="Palatino Linotype"/>
        </w:rPr>
        <w:t xml:space="preserve"> percent, since the 2008 inventory.</w:t>
      </w:r>
      <w:r w:rsidR="004E660C">
        <w:rPr>
          <w:rFonts w:ascii="Palatino Linotype" w:hAnsi="Palatino Linotype"/>
        </w:rPr>
        <w:t xml:space="preserve">  Refer to Graph 1 on Page 3 for visual representation of Saint John’s University’s annual carbon emissions.</w:t>
      </w:r>
    </w:p>
    <w:p w:rsidR="00AA50DF" w:rsidRDefault="00C6408D" w:rsidP="00660773">
      <w:pPr>
        <w:rPr>
          <w:rFonts w:ascii="Palatino Linotype" w:hAnsi="Palatino Linotype"/>
        </w:rPr>
      </w:pPr>
      <w:r w:rsidRPr="00C6408D">
        <w:rPr>
          <w:rFonts w:ascii="Palatino Linotype" w:hAnsi="Palatino Linotype"/>
        </w:rPr>
        <w:t>This d</w:t>
      </w:r>
      <w:r w:rsidR="00B16116" w:rsidRPr="00C6408D">
        <w:rPr>
          <w:rFonts w:ascii="Palatino Linotype" w:hAnsi="Palatino Linotype"/>
        </w:rPr>
        <w:t>ecrease</w:t>
      </w:r>
      <w:r w:rsidRPr="00C6408D">
        <w:rPr>
          <w:rFonts w:ascii="Palatino Linotype" w:hAnsi="Palatino Linotype"/>
        </w:rPr>
        <w:t xml:space="preserve"> in</w:t>
      </w:r>
      <w:r w:rsidR="00696A89" w:rsidRPr="00C6408D">
        <w:rPr>
          <w:rFonts w:ascii="Palatino Linotype" w:hAnsi="Palatino Linotype"/>
        </w:rPr>
        <w:t xml:space="preserve"> emissions </w:t>
      </w:r>
      <w:r w:rsidRPr="00C6408D">
        <w:rPr>
          <w:rFonts w:ascii="Palatino Linotype" w:hAnsi="Palatino Linotype"/>
        </w:rPr>
        <w:t>can largely be</w:t>
      </w:r>
      <w:r w:rsidR="00696A89" w:rsidRPr="00C6408D">
        <w:rPr>
          <w:rFonts w:ascii="Palatino Linotype" w:hAnsi="Palatino Linotype"/>
        </w:rPr>
        <w:t xml:space="preserve"> attributed to a</w:t>
      </w:r>
      <w:r w:rsidR="00660773" w:rsidRPr="00C6408D">
        <w:rPr>
          <w:rFonts w:ascii="Palatino Linotype" w:hAnsi="Palatino Linotype"/>
        </w:rPr>
        <w:t xml:space="preserve"> </w:t>
      </w:r>
      <w:r w:rsidR="00B16116" w:rsidRPr="00C6408D">
        <w:rPr>
          <w:rFonts w:ascii="Palatino Linotype" w:hAnsi="Palatino Linotype"/>
        </w:rPr>
        <w:t>switch</w:t>
      </w:r>
      <w:r w:rsidR="00696A89" w:rsidRPr="00C6408D">
        <w:rPr>
          <w:rFonts w:ascii="Palatino Linotype" w:hAnsi="Palatino Linotype"/>
        </w:rPr>
        <w:t xml:space="preserve"> in </w:t>
      </w:r>
      <w:r w:rsidR="00B16116" w:rsidRPr="00C6408D">
        <w:rPr>
          <w:rFonts w:ascii="Palatino Linotype" w:hAnsi="Palatino Linotype"/>
        </w:rPr>
        <w:t>primary heating source from coal to natural gas</w:t>
      </w:r>
      <w:r w:rsidR="00AA50DF" w:rsidRPr="00C6408D">
        <w:rPr>
          <w:rFonts w:ascii="Palatino Linotype" w:hAnsi="Palatino Linotype"/>
        </w:rPr>
        <w:t xml:space="preserve">.  </w:t>
      </w:r>
      <w:r w:rsidRPr="00C6408D">
        <w:rPr>
          <w:rFonts w:ascii="Palatino Linotype" w:hAnsi="Palatino Linotype"/>
        </w:rPr>
        <w:t xml:space="preserve">Coal was still burned in the on-campus cogeneration facility during part of fiscal year 2011.  The university has since switched over </w:t>
      </w:r>
      <w:r w:rsidR="00AE0244">
        <w:rPr>
          <w:rFonts w:ascii="Palatino Linotype" w:hAnsi="Palatino Linotype"/>
        </w:rPr>
        <w:t>to natural gas.  Additionally, Saint John’s University has undertaken a number of energy retrofit and efficiency projects.  M</w:t>
      </w:r>
      <w:r w:rsidRPr="00C6408D">
        <w:rPr>
          <w:rFonts w:ascii="Palatino Linotype" w:hAnsi="Palatino Linotype"/>
        </w:rPr>
        <w:t xml:space="preserve">ore accurate methods for calculating emissions could be responsible for some of the reduction, as well.  Since more accurate data exists, the sustainability staff does not need to rely </w:t>
      </w:r>
      <w:r w:rsidR="00AE0244">
        <w:rPr>
          <w:rFonts w:ascii="Palatino Linotype" w:hAnsi="Palatino Linotype"/>
        </w:rPr>
        <w:t xml:space="preserve">so heavily </w:t>
      </w:r>
      <w:r w:rsidRPr="00C6408D">
        <w:rPr>
          <w:rFonts w:ascii="Palatino Linotype" w:hAnsi="Palatino Linotype"/>
        </w:rPr>
        <w:t xml:space="preserve">on worst-case estimates any more to complete the inventory. </w:t>
      </w:r>
    </w:p>
    <w:p w:rsidR="005E13EA" w:rsidRDefault="005E13EA" w:rsidP="00660773">
      <w:pPr>
        <w:rPr>
          <w:rFonts w:ascii="Palatino Linotype" w:hAnsi="Palatino Linotype"/>
        </w:rPr>
      </w:pPr>
    </w:p>
    <w:p w:rsidR="00AE0244" w:rsidRDefault="00AE0244" w:rsidP="00660773">
      <w:pPr>
        <w:rPr>
          <w:rFonts w:ascii="Palatino Linotype" w:hAnsi="Palatino Linotype"/>
        </w:rPr>
      </w:pPr>
    </w:p>
    <w:p w:rsidR="005E13EA" w:rsidRPr="004E660C" w:rsidRDefault="005B7E29" w:rsidP="004E660C">
      <w:pPr>
        <w:overflowPunct w:val="0"/>
        <w:autoSpaceDE w:val="0"/>
        <w:autoSpaceDN w:val="0"/>
        <w:adjustRightInd w:val="0"/>
        <w:ind w:left="-540"/>
        <w:jc w:val="center"/>
        <w:textAlignment w:val="baseline"/>
        <w:rPr>
          <w:rFonts w:ascii="Palatino Linotype" w:hAnsi="Palatino Linotype" w:cs="Times New Roman"/>
          <w:b/>
        </w:rPr>
      </w:pPr>
      <w:r>
        <w:rPr>
          <w:rFonts w:ascii="Palatino Linotype" w:hAnsi="Palatino Linotype" w:cs="Arial"/>
          <w:b/>
          <w:bCs/>
          <w:smallCaps/>
          <w:noProof/>
          <w:sz w:val="28"/>
          <w:szCs w:val="28"/>
        </w:rPr>
        <w:lastRenderedPageBreak/>
        <w:drawing>
          <wp:anchor distT="0" distB="0" distL="114300" distR="114300" simplePos="0" relativeHeight="251658240" behindDoc="0" locked="0" layoutInCell="1" allowOverlap="1" wp14:anchorId="7091B121" wp14:editId="20453FDE">
            <wp:simplePos x="0" y="0"/>
            <wp:positionH relativeFrom="margin">
              <wp:posOffset>-190500</wp:posOffset>
            </wp:positionH>
            <wp:positionV relativeFrom="paragraph">
              <wp:posOffset>247650</wp:posOffset>
            </wp:positionV>
            <wp:extent cx="6766571" cy="3333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77549" cy="3339159"/>
                    </a:xfrm>
                    <a:prstGeom prst="rect">
                      <a:avLst/>
                    </a:prstGeom>
                    <a:noFill/>
                    <a:ln>
                      <a:noFill/>
                    </a:ln>
                  </pic:spPr>
                </pic:pic>
              </a:graphicData>
            </a:graphic>
            <wp14:sizeRelH relativeFrom="page">
              <wp14:pctWidth>0</wp14:pctWidth>
            </wp14:sizeRelH>
            <wp14:sizeRelV relativeFrom="page">
              <wp14:pctHeight>0</wp14:pctHeight>
            </wp14:sizeRelV>
          </wp:anchor>
        </w:drawing>
      </w:r>
      <w:r w:rsidR="004E660C">
        <w:rPr>
          <w:rFonts w:ascii="Palatino Linotype" w:hAnsi="Palatino Linotype" w:cs="Times New Roman"/>
          <w:b/>
        </w:rPr>
        <w:t>Graph</w:t>
      </w:r>
      <w:r w:rsidR="005E13EA">
        <w:rPr>
          <w:rFonts w:ascii="Palatino Linotype" w:hAnsi="Palatino Linotype" w:cs="Times New Roman"/>
          <w:b/>
        </w:rPr>
        <w:t xml:space="preserve"> 1. </w:t>
      </w:r>
      <w:r w:rsidR="004E660C">
        <w:rPr>
          <w:rFonts w:ascii="Palatino Linotype" w:hAnsi="Palatino Linotype" w:cs="Times New Roman"/>
          <w:b/>
        </w:rPr>
        <w:t>Total Emissions (MT eCO</w:t>
      </w:r>
      <w:r w:rsidR="004E660C">
        <w:rPr>
          <w:rFonts w:ascii="Palatino Linotype" w:hAnsi="Palatino Linotype" w:cs="Times New Roman"/>
          <w:b/>
          <w:vertAlign w:val="subscript"/>
        </w:rPr>
        <w:t>2</w:t>
      </w:r>
      <w:r w:rsidR="004E660C">
        <w:rPr>
          <w:rFonts w:ascii="Palatino Linotype" w:hAnsi="Palatino Linotype" w:cs="Times New Roman"/>
          <w:b/>
        </w:rPr>
        <w:t>) 2007-2014 by Sector</w:t>
      </w:r>
    </w:p>
    <w:p w:rsidR="005E13EA" w:rsidRDefault="005E13EA" w:rsidP="000763D6">
      <w:pPr>
        <w:keepNext/>
        <w:spacing w:before="240" w:after="60"/>
        <w:outlineLvl w:val="3"/>
        <w:rPr>
          <w:rFonts w:ascii="Palatino Linotype" w:hAnsi="Palatino Linotype" w:cs="Arial"/>
          <w:b/>
          <w:bCs/>
          <w:smallCaps/>
          <w:sz w:val="28"/>
          <w:szCs w:val="28"/>
        </w:rPr>
      </w:pPr>
    </w:p>
    <w:p w:rsidR="000763D6" w:rsidRPr="00861A34" w:rsidRDefault="000763D6" w:rsidP="000763D6">
      <w:pPr>
        <w:keepNext/>
        <w:spacing w:before="240" w:after="60"/>
        <w:outlineLvl w:val="3"/>
        <w:rPr>
          <w:rFonts w:ascii="Palatino Linotype" w:hAnsi="Palatino Linotype" w:cs="Arial"/>
          <w:b/>
          <w:bCs/>
          <w:smallCaps/>
          <w:sz w:val="28"/>
          <w:szCs w:val="28"/>
        </w:rPr>
      </w:pPr>
      <w:r w:rsidRPr="00861A34">
        <w:rPr>
          <w:rFonts w:ascii="Palatino Linotype" w:hAnsi="Palatino Linotype" w:cs="Arial"/>
          <w:b/>
          <w:bCs/>
          <w:smallCaps/>
          <w:sz w:val="28"/>
          <w:szCs w:val="28"/>
        </w:rPr>
        <w:t>Greenhouse Gas Emissions Inventory Methodology</w:t>
      </w:r>
    </w:p>
    <w:p w:rsidR="000763D6" w:rsidRPr="00861A34" w:rsidRDefault="000763D6" w:rsidP="000763D6">
      <w:pPr>
        <w:pStyle w:val="RegularText"/>
        <w:spacing w:before="120" w:after="120" w:line="300" w:lineRule="auto"/>
        <w:rPr>
          <w:rFonts w:ascii="Palatino Linotype" w:hAnsi="Palatino Linotype"/>
          <w:szCs w:val="22"/>
        </w:rPr>
      </w:pPr>
      <w:r w:rsidRPr="00861A34">
        <w:rPr>
          <w:rFonts w:ascii="Palatino Linotype" w:hAnsi="Palatino Linotype"/>
          <w:szCs w:val="22"/>
        </w:rPr>
        <w:t>The GHG emi</w:t>
      </w:r>
      <w:r w:rsidR="008A2F12">
        <w:rPr>
          <w:rFonts w:ascii="Palatino Linotype" w:hAnsi="Palatino Linotype"/>
          <w:szCs w:val="22"/>
        </w:rPr>
        <w:t>ssions inventory was conducted in accordance with</w:t>
      </w:r>
      <w:r w:rsidRPr="00861A34">
        <w:rPr>
          <w:rFonts w:ascii="Palatino Linotype" w:hAnsi="Palatino Linotype"/>
          <w:szCs w:val="22"/>
        </w:rPr>
        <w:t xml:space="preserve"> the </w:t>
      </w:r>
      <w:r w:rsidR="00E16918" w:rsidRPr="00861A34">
        <w:rPr>
          <w:rFonts w:ascii="Palatino Linotype" w:hAnsi="Palatino Linotype"/>
          <w:szCs w:val="22"/>
        </w:rPr>
        <w:t>American College and University Presidents Climate Co</w:t>
      </w:r>
      <w:r w:rsidR="002810E7" w:rsidRPr="00861A34">
        <w:rPr>
          <w:rFonts w:ascii="Palatino Linotype" w:hAnsi="Palatino Linotype"/>
          <w:szCs w:val="22"/>
        </w:rPr>
        <w:t>mm</w:t>
      </w:r>
      <w:r w:rsidR="00E16918" w:rsidRPr="00861A34">
        <w:rPr>
          <w:rFonts w:ascii="Palatino Linotype" w:hAnsi="Palatino Linotype"/>
          <w:szCs w:val="22"/>
        </w:rPr>
        <w:t>itment (</w:t>
      </w:r>
      <w:r w:rsidRPr="00861A34">
        <w:rPr>
          <w:rFonts w:ascii="Palatino Linotype" w:hAnsi="Palatino Linotype"/>
          <w:szCs w:val="22"/>
        </w:rPr>
        <w:t>ACUPCC</w:t>
      </w:r>
      <w:r w:rsidR="00E16918" w:rsidRPr="00861A34">
        <w:rPr>
          <w:rFonts w:ascii="Palatino Linotype" w:hAnsi="Palatino Linotype"/>
          <w:szCs w:val="22"/>
        </w:rPr>
        <w:t>)</w:t>
      </w:r>
      <w:r w:rsidR="008A2F12">
        <w:rPr>
          <w:rFonts w:ascii="Palatino Linotype" w:hAnsi="Palatino Linotype"/>
          <w:szCs w:val="22"/>
        </w:rPr>
        <w:t>.  The Saint John’s</w:t>
      </w:r>
      <w:r w:rsidRPr="00861A34">
        <w:rPr>
          <w:rFonts w:ascii="Palatino Linotype" w:hAnsi="Palatino Linotype"/>
          <w:szCs w:val="22"/>
        </w:rPr>
        <w:t xml:space="preserve"> </w:t>
      </w:r>
      <w:r w:rsidR="008A2F12">
        <w:rPr>
          <w:rFonts w:ascii="Palatino Linotype" w:hAnsi="Palatino Linotype"/>
          <w:szCs w:val="22"/>
        </w:rPr>
        <w:t xml:space="preserve">University sustainability staff selected the </w:t>
      </w:r>
      <w:r w:rsidRPr="00861A34">
        <w:rPr>
          <w:rFonts w:ascii="Palatino Linotype" w:hAnsi="Palatino Linotype"/>
          <w:szCs w:val="22"/>
        </w:rPr>
        <w:t>Clean Air-Cool Planet (CA-CP) calculation tool</w:t>
      </w:r>
      <w:r w:rsidR="002E77B4">
        <w:rPr>
          <w:rFonts w:ascii="Palatino Linotype" w:hAnsi="Palatino Linotype"/>
          <w:szCs w:val="22"/>
        </w:rPr>
        <w:t xml:space="preserve">, version </w:t>
      </w:r>
      <w:r w:rsidR="00B16116" w:rsidRPr="00861A34">
        <w:rPr>
          <w:rFonts w:ascii="Palatino Linotype" w:hAnsi="Palatino Linotype"/>
          <w:szCs w:val="22"/>
        </w:rPr>
        <w:t>7</w:t>
      </w:r>
      <w:r w:rsidR="002E77B4">
        <w:rPr>
          <w:rFonts w:ascii="Palatino Linotype" w:hAnsi="Palatino Linotype"/>
          <w:szCs w:val="22"/>
        </w:rPr>
        <w:t>.0</w:t>
      </w:r>
      <w:r w:rsidRPr="00861A34">
        <w:rPr>
          <w:rFonts w:ascii="Palatino Linotype" w:hAnsi="Palatino Linotype"/>
          <w:szCs w:val="22"/>
        </w:rPr>
        <w:t xml:space="preserve">, supplemented by the World Resources Institute’s </w:t>
      </w:r>
      <w:r w:rsidR="00E16918" w:rsidRPr="00861A34">
        <w:rPr>
          <w:rFonts w:ascii="Palatino Linotype" w:hAnsi="Palatino Linotype"/>
          <w:szCs w:val="22"/>
        </w:rPr>
        <w:t xml:space="preserve">(WRI) </w:t>
      </w:r>
      <w:r w:rsidR="008A2F12">
        <w:rPr>
          <w:rFonts w:ascii="Palatino Linotype" w:hAnsi="Palatino Linotype"/>
          <w:szCs w:val="22"/>
        </w:rPr>
        <w:t>Greenhouse Gas</w:t>
      </w:r>
      <w:r w:rsidRPr="00861A34">
        <w:rPr>
          <w:rFonts w:ascii="Palatino Linotype" w:hAnsi="Palatino Linotype"/>
          <w:szCs w:val="22"/>
        </w:rPr>
        <w:t xml:space="preserve"> Protocol. The </w:t>
      </w:r>
      <w:r w:rsidR="008A2F12">
        <w:rPr>
          <w:rFonts w:ascii="Palatino Linotype" w:hAnsi="Palatino Linotype"/>
          <w:szCs w:val="22"/>
        </w:rPr>
        <w:t xml:space="preserve">WRI </w:t>
      </w:r>
      <w:r w:rsidRPr="00861A34">
        <w:rPr>
          <w:rFonts w:ascii="Palatino Linotype" w:hAnsi="Palatino Linotype"/>
          <w:szCs w:val="22"/>
        </w:rPr>
        <w:t xml:space="preserve">GHG Protocol is the most widely accepted international standard for GHG accounting and is the basis of the CA-CP tool.  The inventory of emissions included those arising from </w:t>
      </w:r>
      <w:r w:rsidR="002E77B4">
        <w:rPr>
          <w:rFonts w:ascii="Palatino Linotype" w:hAnsi="Palatino Linotype"/>
          <w:szCs w:val="22"/>
        </w:rPr>
        <w:t xml:space="preserve">on-campus energy production, purchased electricity, </w:t>
      </w:r>
      <w:r w:rsidRPr="00861A34">
        <w:rPr>
          <w:rFonts w:ascii="Palatino Linotype" w:hAnsi="Palatino Linotype"/>
          <w:szCs w:val="22"/>
        </w:rPr>
        <w:t>heating and cooling, vehicle fleet opera</w:t>
      </w:r>
      <w:r w:rsidR="00B82906" w:rsidRPr="00861A34">
        <w:rPr>
          <w:rFonts w:ascii="Palatino Linotype" w:hAnsi="Palatino Linotype"/>
          <w:szCs w:val="22"/>
        </w:rPr>
        <w:t xml:space="preserve">tions, business travel (by air and </w:t>
      </w:r>
      <w:r w:rsidRPr="00861A34">
        <w:rPr>
          <w:rFonts w:ascii="Palatino Linotype" w:hAnsi="Palatino Linotype"/>
          <w:szCs w:val="22"/>
        </w:rPr>
        <w:t>personal vehicle),</w:t>
      </w:r>
      <w:r w:rsidR="002E77B4">
        <w:rPr>
          <w:rFonts w:ascii="Palatino Linotype" w:hAnsi="Palatino Linotype"/>
          <w:szCs w:val="22"/>
        </w:rPr>
        <w:t xml:space="preserve"> faculty and student commuting, solid</w:t>
      </w:r>
      <w:r w:rsidRPr="00861A34">
        <w:rPr>
          <w:rFonts w:ascii="Palatino Linotype" w:hAnsi="Palatino Linotype"/>
          <w:szCs w:val="22"/>
        </w:rPr>
        <w:t xml:space="preserve"> waste management, </w:t>
      </w:r>
      <w:r w:rsidR="00B82906" w:rsidRPr="00861A34">
        <w:rPr>
          <w:rFonts w:ascii="Palatino Linotype" w:hAnsi="Palatino Linotype"/>
          <w:szCs w:val="22"/>
        </w:rPr>
        <w:t xml:space="preserve">refrigerants, fertilizer use, </w:t>
      </w:r>
      <w:r w:rsidR="002E77B4">
        <w:rPr>
          <w:rFonts w:ascii="Palatino Linotype" w:hAnsi="Palatino Linotype"/>
          <w:szCs w:val="22"/>
        </w:rPr>
        <w:t xml:space="preserve">and </w:t>
      </w:r>
      <w:r w:rsidRPr="00861A34">
        <w:rPr>
          <w:rFonts w:ascii="Palatino Linotype" w:hAnsi="Palatino Linotype"/>
          <w:szCs w:val="22"/>
        </w:rPr>
        <w:t>wastewater treatment.</w:t>
      </w:r>
    </w:p>
    <w:p w:rsidR="005B7E29" w:rsidRDefault="005B7E29" w:rsidP="000763D6">
      <w:pPr>
        <w:overflowPunct w:val="0"/>
        <w:autoSpaceDE w:val="0"/>
        <w:autoSpaceDN w:val="0"/>
        <w:adjustRightInd w:val="0"/>
        <w:spacing w:before="120" w:after="120" w:line="300" w:lineRule="auto"/>
        <w:textAlignment w:val="baseline"/>
        <w:rPr>
          <w:rFonts w:ascii="Palatino Linotype" w:eastAsia="Times New Roman" w:hAnsi="Palatino Linotype"/>
          <w:b/>
          <w:smallCaps/>
        </w:rPr>
      </w:pPr>
    </w:p>
    <w:p w:rsidR="000763D6" w:rsidRPr="00945B29" w:rsidRDefault="000763D6" w:rsidP="000763D6">
      <w:pPr>
        <w:overflowPunct w:val="0"/>
        <w:autoSpaceDE w:val="0"/>
        <w:autoSpaceDN w:val="0"/>
        <w:adjustRightInd w:val="0"/>
        <w:spacing w:before="120" w:after="120" w:line="300" w:lineRule="auto"/>
        <w:textAlignment w:val="baseline"/>
        <w:rPr>
          <w:rFonts w:ascii="Palatino Linotype" w:eastAsia="Times New Roman" w:hAnsi="Palatino Linotype"/>
          <w:b/>
          <w:smallCaps/>
        </w:rPr>
      </w:pPr>
      <w:r w:rsidRPr="00945B29">
        <w:rPr>
          <w:rFonts w:ascii="Palatino Linotype" w:eastAsia="Times New Roman" w:hAnsi="Palatino Linotype"/>
          <w:b/>
          <w:smallCaps/>
        </w:rPr>
        <w:t>Boundary and Data</w:t>
      </w:r>
    </w:p>
    <w:p w:rsidR="00AB1EA9" w:rsidRDefault="00945B29" w:rsidP="006E03C8">
      <w:pPr>
        <w:spacing w:before="120" w:after="120" w:line="300" w:lineRule="auto"/>
        <w:rPr>
          <w:rFonts w:ascii="Palatino Linotype" w:eastAsia="Times New Roman" w:hAnsi="Palatino Linotype"/>
        </w:rPr>
      </w:pPr>
      <w:r w:rsidRPr="00945B29">
        <w:rPr>
          <w:rFonts w:ascii="Palatino Linotype" w:eastAsia="Times New Roman" w:hAnsi="Palatino Linotype"/>
        </w:rPr>
        <w:t xml:space="preserve">The </w:t>
      </w:r>
      <w:r w:rsidR="000763D6" w:rsidRPr="00945B29">
        <w:rPr>
          <w:rFonts w:ascii="Palatino Linotype" w:eastAsia="Times New Roman" w:hAnsi="Palatino Linotype"/>
        </w:rPr>
        <w:t xml:space="preserve">boundary for the carbon footprint </w:t>
      </w:r>
      <w:r w:rsidRPr="00945B29">
        <w:rPr>
          <w:rFonts w:ascii="Palatino Linotype" w:eastAsia="Times New Roman" w:hAnsi="Palatino Linotype"/>
        </w:rPr>
        <w:t xml:space="preserve">was set </w:t>
      </w:r>
      <w:r w:rsidR="000763D6" w:rsidRPr="00945B29">
        <w:rPr>
          <w:rFonts w:ascii="Palatino Linotype" w:eastAsia="Times New Roman" w:hAnsi="Palatino Linotype"/>
        </w:rPr>
        <w:t xml:space="preserve">to include the </w:t>
      </w:r>
      <w:r w:rsidR="00B82906" w:rsidRPr="00945B29">
        <w:rPr>
          <w:rFonts w:ascii="Palatino Linotype" w:eastAsia="Times New Roman" w:hAnsi="Palatino Linotype"/>
        </w:rPr>
        <w:t>SJU</w:t>
      </w:r>
      <w:r w:rsidR="001208D0" w:rsidRPr="00945B29">
        <w:rPr>
          <w:rFonts w:ascii="Palatino Linotype" w:eastAsia="Times New Roman" w:hAnsi="Palatino Linotype"/>
        </w:rPr>
        <w:t xml:space="preserve"> campus demographics (detailed in Table 1), the buildings and grounds of the campus related </w:t>
      </w:r>
      <w:r w:rsidR="00B82906" w:rsidRPr="00945B29">
        <w:rPr>
          <w:rFonts w:ascii="Palatino Linotype" w:eastAsia="Times New Roman" w:hAnsi="Palatino Linotype"/>
        </w:rPr>
        <w:t xml:space="preserve">to University </w:t>
      </w:r>
      <w:r w:rsidR="001208D0" w:rsidRPr="00945B29">
        <w:rPr>
          <w:rFonts w:ascii="Palatino Linotype" w:eastAsia="Times New Roman" w:hAnsi="Palatino Linotype"/>
        </w:rPr>
        <w:t xml:space="preserve">operations </w:t>
      </w:r>
      <w:bookmarkStart w:id="0" w:name="_GoBack"/>
      <w:bookmarkEnd w:id="0"/>
      <w:r w:rsidR="001208D0" w:rsidRPr="00945B29">
        <w:rPr>
          <w:rFonts w:ascii="Palatino Linotype" w:eastAsia="Times New Roman" w:hAnsi="Palatino Linotype"/>
        </w:rPr>
        <w:t>and activities</w:t>
      </w:r>
      <w:r w:rsidR="00E15ACC" w:rsidRPr="00945B29">
        <w:rPr>
          <w:rFonts w:ascii="Palatino Linotype" w:eastAsia="Times New Roman" w:hAnsi="Palatino Linotype"/>
        </w:rPr>
        <w:t xml:space="preserve"> located in Collegeville</w:t>
      </w:r>
      <w:r w:rsidR="000763D6" w:rsidRPr="00945B29">
        <w:rPr>
          <w:rFonts w:ascii="Palatino Linotype" w:eastAsia="Times New Roman" w:hAnsi="Palatino Linotype"/>
        </w:rPr>
        <w:t>, MN</w:t>
      </w:r>
      <w:r w:rsidR="002612D3">
        <w:rPr>
          <w:rFonts w:ascii="Palatino Linotype" w:eastAsia="Times New Roman" w:hAnsi="Palatino Linotype"/>
        </w:rPr>
        <w:t xml:space="preserve">.  Saint John’s University’s </w:t>
      </w:r>
      <w:r w:rsidR="002612D3" w:rsidRPr="00945B29">
        <w:rPr>
          <w:rFonts w:ascii="Palatino Linotype" w:eastAsia="Times New Roman" w:hAnsi="Palatino Linotype"/>
        </w:rPr>
        <w:t xml:space="preserve">1,346,820 gross square feet of building </w:t>
      </w:r>
      <w:r w:rsidR="002612D3">
        <w:rPr>
          <w:rFonts w:ascii="Palatino Linotype" w:eastAsia="Times New Roman" w:hAnsi="Palatino Linotype"/>
        </w:rPr>
        <w:t>space sits on</w:t>
      </w:r>
      <w:r w:rsidR="000763D6" w:rsidRPr="00945B29">
        <w:rPr>
          <w:rFonts w:ascii="Palatino Linotype" w:eastAsia="Times New Roman" w:hAnsi="Palatino Linotype"/>
        </w:rPr>
        <w:t xml:space="preserve"> </w:t>
      </w:r>
      <w:r w:rsidR="006F2F04">
        <w:rPr>
          <w:rFonts w:ascii="Palatino Linotype" w:eastAsia="Times New Roman" w:hAnsi="Palatino Linotype"/>
        </w:rPr>
        <w:t>302</w:t>
      </w:r>
      <w:r w:rsidR="00325C88" w:rsidRPr="00945B29">
        <w:rPr>
          <w:rFonts w:ascii="Palatino Linotype" w:eastAsia="Times New Roman" w:hAnsi="Palatino Linotype"/>
        </w:rPr>
        <w:t xml:space="preserve"> </w:t>
      </w:r>
      <w:r w:rsidR="000763D6" w:rsidRPr="00945B29">
        <w:rPr>
          <w:rFonts w:ascii="Palatino Linotype" w:eastAsia="Times New Roman" w:hAnsi="Palatino Linotype"/>
        </w:rPr>
        <w:t>acres</w:t>
      </w:r>
      <w:r w:rsidR="002612D3">
        <w:rPr>
          <w:rFonts w:ascii="Palatino Linotype" w:eastAsia="Times New Roman" w:hAnsi="Palatino Linotype"/>
        </w:rPr>
        <w:t xml:space="preserve"> of land as of</w:t>
      </w:r>
      <w:r w:rsidRPr="00945B29">
        <w:rPr>
          <w:rFonts w:ascii="Palatino Linotype" w:eastAsia="Times New Roman" w:hAnsi="Palatino Linotype"/>
        </w:rPr>
        <w:t xml:space="preserve"> 2014</w:t>
      </w:r>
      <w:r w:rsidR="002612D3">
        <w:rPr>
          <w:rFonts w:ascii="Palatino Linotype" w:eastAsia="Times New Roman" w:hAnsi="Palatino Linotype"/>
        </w:rPr>
        <w:t xml:space="preserve">. </w:t>
      </w:r>
      <w:r w:rsidR="000763D6" w:rsidRPr="00945B29">
        <w:rPr>
          <w:rFonts w:ascii="Palatino Linotype" w:eastAsia="Times New Roman" w:hAnsi="Palatino Linotype"/>
        </w:rPr>
        <w:t xml:space="preserve"> </w:t>
      </w:r>
      <w:r w:rsidR="00311C7A">
        <w:rPr>
          <w:rFonts w:ascii="Palatino Linotype" w:eastAsia="Times New Roman" w:hAnsi="Palatino Linotype"/>
        </w:rPr>
        <w:t>The FY2014 greenhouse gas inventory includes data related to carbon emissions originating from on-campus electricity and steam generation, purchased electricity</w:t>
      </w:r>
      <w:r w:rsidR="000763D6" w:rsidRPr="00945B29">
        <w:rPr>
          <w:rFonts w:ascii="Palatino Linotype" w:eastAsia="Times New Roman" w:hAnsi="Palatino Linotype"/>
        </w:rPr>
        <w:t xml:space="preserve">, </w:t>
      </w:r>
      <w:r w:rsidR="00311C7A">
        <w:rPr>
          <w:rFonts w:ascii="Palatino Linotype" w:eastAsia="Times New Roman" w:hAnsi="Palatino Linotype"/>
        </w:rPr>
        <w:t xml:space="preserve">transportation, </w:t>
      </w:r>
      <w:r w:rsidR="000763D6" w:rsidRPr="00945B29">
        <w:rPr>
          <w:rFonts w:ascii="Palatino Linotype" w:eastAsia="Times New Roman" w:hAnsi="Palatino Linotype"/>
        </w:rPr>
        <w:t xml:space="preserve">business </w:t>
      </w:r>
      <w:r w:rsidR="001208D0" w:rsidRPr="00945B29">
        <w:rPr>
          <w:rFonts w:ascii="Palatino Linotype" w:eastAsia="Times New Roman" w:hAnsi="Palatino Linotype"/>
        </w:rPr>
        <w:t xml:space="preserve">and study abroad </w:t>
      </w:r>
      <w:r w:rsidR="000763D6" w:rsidRPr="00945B29">
        <w:rPr>
          <w:rFonts w:ascii="Palatino Linotype" w:eastAsia="Times New Roman" w:hAnsi="Palatino Linotype"/>
        </w:rPr>
        <w:t xml:space="preserve">travel, </w:t>
      </w:r>
      <w:r w:rsidRPr="00945B29">
        <w:rPr>
          <w:rFonts w:ascii="Palatino Linotype" w:eastAsia="Times New Roman" w:hAnsi="Palatino Linotype"/>
        </w:rPr>
        <w:t>employee</w:t>
      </w:r>
      <w:r w:rsidR="001208D0" w:rsidRPr="00945B29">
        <w:rPr>
          <w:rFonts w:ascii="Palatino Linotype" w:eastAsia="Times New Roman" w:hAnsi="Palatino Linotype"/>
        </w:rPr>
        <w:t xml:space="preserve"> and student </w:t>
      </w:r>
      <w:r w:rsidR="002810E7" w:rsidRPr="00945B29">
        <w:rPr>
          <w:rFonts w:ascii="Palatino Linotype" w:eastAsia="Times New Roman" w:hAnsi="Palatino Linotype"/>
        </w:rPr>
        <w:t>commuting</w:t>
      </w:r>
      <w:r w:rsidR="00311C7A">
        <w:rPr>
          <w:rFonts w:ascii="Palatino Linotype" w:eastAsia="Times New Roman" w:hAnsi="Palatino Linotype"/>
        </w:rPr>
        <w:t xml:space="preserve">, </w:t>
      </w:r>
      <w:r w:rsidRPr="00945B29">
        <w:rPr>
          <w:rFonts w:ascii="Palatino Linotype" w:eastAsia="Times New Roman" w:hAnsi="Palatino Linotype"/>
        </w:rPr>
        <w:t xml:space="preserve">wastewater </w:t>
      </w:r>
      <w:r w:rsidR="00311C7A">
        <w:rPr>
          <w:rFonts w:ascii="Palatino Linotype" w:eastAsia="Times New Roman" w:hAnsi="Palatino Linotype"/>
        </w:rPr>
        <w:t>treatment</w:t>
      </w:r>
      <w:r w:rsidRPr="00945B29">
        <w:rPr>
          <w:rFonts w:ascii="Palatino Linotype" w:eastAsia="Times New Roman" w:hAnsi="Palatino Linotype"/>
        </w:rPr>
        <w:t xml:space="preserve">, </w:t>
      </w:r>
      <w:r w:rsidR="00311C7A" w:rsidRPr="00945B29">
        <w:rPr>
          <w:rFonts w:ascii="Palatino Linotype" w:eastAsia="Times New Roman" w:hAnsi="Palatino Linotype"/>
        </w:rPr>
        <w:t>refrigerants</w:t>
      </w:r>
      <w:r w:rsidR="00311C7A">
        <w:rPr>
          <w:rFonts w:ascii="Palatino Linotype" w:eastAsia="Times New Roman" w:hAnsi="Palatino Linotype"/>
        </w:rPr>
        <w:t>, fertilizer usage,</w:t>
      </w:r>
      <w:r w:rsidR="00311C7A" w:rsidRPr="00945B29">
        <w:rPr>
          <w:rFonts w:ascii="Palatino Linotype" w:eastAsia="Times New Roman" w:hAnsi="Palatino Linotype"/>
        </w:rPr>
        <w:t xml:space="preserve"> </w:t>
      </w:r>
      <w:r w:rsidR="000763D6" w:rsidRPr="00945B29">
        <w:rPr>
          <w:rFonts w:ascii="Palatino Linotype" w:eastAsia="Times New Roman" w:hAnsi="Palatino Linotype"/>
        </w:rPr>
        <w:t>solid waste management</w:t>
      </w:r>
      <w:r w:rsidR="005E3B29" w:rsidRPr="00945B29">
        <w:rPr>
          <w:rFonts w:ascii="Palatino Linotype" w:eastAsia="Times New Roman" w:hAnsi="Palatino Linotype"/>
        </w:rPr>
        <w:t xml:space="preserve">, and paper </w:t>
      </w:r>
      <w:r w:rsidR="00311C7A">
        <w:rPr>
          <w:rFonts w:ascii="Palatino Linotype" w:eastAsia="Times New Roman" w:hAnsi="Palatino Linotype"/>
        </w:rPr>
        <w:t>usage</w:t>
      </w:r>
      <w:r w:rsidR="000763D6" w:rsidRPr="00945B29">
        <w:rPr>
          <w:rFonts w:ascii="Palatino Linotype" w:eastAsia="Times New Roman" w:hAnsi="Palatino Linotype"/>
        </w:rPr>
        <w:t xml:space="preserve">. </w:t>
      </w:r>
      <w:r w:rsidR="006E03C8" w:rsidRPr="00945B29">
        <w:rPr>
          <w:rFonts w:ascii="Palatino Linotype" w:eastAsia="Times New Roman" w:hAnsi="Palatino Linotype"/>
        </w:rPr>
        <w:t xml:space="preserve"> </w:t>
      </w:r>
    </w:p>
    <w:p w:rsidR="006E03C8" w:rsidRDefault="00AB1EA9" w:rsidP="006E03C8">
      <w:pPr>
        <w:spacing w:before="120" w:after="120" w:line="300" w:lineRule="auto"/>
        <w:rPr>
          <w:rFonts w:ascii="Palatino Linotype" w:eastAsia="Times New Roman" w:hAnsi="Palatino Linotype"/>
        </w:rPr>
      </w:pPr>
      <w:r w:rsidRPr="00AB1EA9">
        <w:rPr>
          <w:rFonts w:ascii="Palatino Linotype" w:eastAsia="Times New Roman" w:hAnsi="Palatino Linotype"/>
        </w:rPr>
        <w:t xml:space="preserve">Certain pieces of data include both university use and use by non-university sources such as the Abbey, the Hill </w:t>
      </w:r>
      <w:r w:rsidR="00696A89" w:rsidRPr="00AB1EA9">
        <w:rPr>
          <w:rFonts w:ascii="Palatino Linotype" w:eastAsia="Times New Roman" w:hAnsi="Palatino Linotype"/>
        </w:rPr>
        <w:t>M</w:t>
      </w:r>
      <w:r w:rsidRPr="00AB1EA9">
        <w:rPr>
          <w:rFonts w:ascii="Palatino Linotype" w:eastAsia="Times New Roman" w:hAnsi="Palatino Linotype"/>
        </w:rPr>
        <w:t xml:space="preserve">useum and </w:t>
      </w:r>
      <w:r w:rsidR="00696A89" w:rsidRPr="00AB1EA9">
        <w:rPr>
          <w:rFonts w:ascii="Palatino Linotype" w:eastAsia="Times New Roman" w:hAnsi="Palatino Linotype"/>
        </w:rPr>
        <w:t>M</w:t>
      </w:r>
      <w:r w:rsidRPr="00AB1EA9">
        <w:rPr>
          <w:rFonts w:ascii="Palatino Linotype" w:eastAsia="Times New Roman" w:hAnsi="Palatino Linotype"/>
        </w:rPr>
        <w:t>anuscript Library, the Ecumenical Institute, etc.  I</w:t>
      </w:r>
      <w:r w:rsidR="006E03C8" w:rsidRPr="00AB1EA9">
        <w:rPr>
          <w:rFonts w:ascii="Palatino Linotype" w:eastAsia="Times New Roman" w:hAnsi="Palatino Linotype"/>
        </w:rPr>
        <w:t>n order to calcu</w:t>
      </w:r>
      <w:r w:rsidRPr="00AB1EA9">
        <w:rPr>
          <w:rFonts w:ascii="Palatino Linotype" w:eastAsia="Times New Roman" w:hAnsi="Palatino Linotype"/>
        </w:rPr>
        <w:t xml:space="preserve">late the percentage of emissions which are attributable to Saint John’s University only, the data </w:t>
      </w:r>
      <w:r w:rsidR="00AB2DD3" w:rsidRPr="00AB1EA9">
        <w:rPr>
          <w:rFonts w:ascii="Palatino Linotype" w:eastAsia="Times New Roman" w:hAnsi="Palatino Linotype"/>
        </w:rPr>
        <w:t xml:space="preserve">was multiplied by </w:t>
      </w:r>
      <w:r w:rsidRPr="00AB1EA9">
        <w:rPr>
          <w:rFonts w:ascii="Palatino Linotype" w:eastAsia="Times New Roman" w:hAnsi="Palatino Linotype"/>
        </w:rPr>
        <w:t>68.85</w:t>
      </w:r>
      <w:r w:rsidR="00AB2DD3" w:rsidRPr="00AB1EA9">
        <w:rPr>
          <w:rFonts w:ascii="Palatino Linotype" w:eastAsia="Times New Roman" w:hAnsi="Palatino Linotype"/>
        </w:rPr>
        <w:t>%</w:t>
      </w:r>
      <w:r w:rsidRPr="00AB1EA9">
        <w:rPr>
          <w:rFonts w:ascii="Palatino Linotype" w:eastAsia="Times New Roman" w:hAnsi="Palatino Linotype"/>
        </w:rPr>
        <w:t xml:space="preserve">.  That percentage represents the portion of the gross square footage of building space which is occupied by buildings which are used for university functions.  </w:t>
      </w:r>
      <w:r w:rsidR="006E03C8" w:rsidRPr="00AB1EA9">
        <w:rPr>
          <w:rFonts w:ascii="Palatino Linotype" w:eastAsia="Times New Roman" w:hAnsi="Palatino Linotype"/>
        </w:rPr>
        <w:t>Previous</w:t>
      </w:r>
      <w:r w:rsidRPr="00AB1EA9">
        <w:rPr>
          <w:rFonts w:ascii="Palatino Linotype" w:eastAsia="Times New Roman" w:hAnsi="Palatino Linotype"/>
        </w:rPr>
        <w:t xml:space="preserve"> greenhouse gas</w:t>
      </w:r>
      <w:r w:rsidR="006E03C8" w:rsidRPr="00AB1EA9">
        <w:rPr>
          <w:rFonts w:ascii="Palatino Linotype" w:eastAsia="Times New Roman" w:hAnsi="Palatino Linotype"/>
        </w:rPr>
        <w:t xml:space="preserve"> </w:t>
      </w:r>
      <w:r w:rsidRPr="00AB1EA9">
        <w:rPr>
          <w:rFonts w:ascii="Palatino Linotype" w:eastAsia="Times New Roman" w:hAnsi="Palatino Linotype"/>
        </w:rPr>
        <w:t>inventories</w:t>
      </w:r>
      <w:r w:rsidR="006E03C8" w:rsidRPr="00AB1EA9">
        <w:rPr>
          <w:rFonts w:ascii="Palatino Linotype" w:eastAsia="Times New Roman" w:hAnsi="Palatino Linotype"/>
        </w:rPr>
        <w:t xml:space="preserve"> </w:t>
      </w:r>
      <w:r w:rsidRPr="00AB1EA9">
        <w:rPr>
          <w:rFonts w:ascii="Palatino Linotype" w:eastAsia="Times New Roman" w:hAnsi="Palatino Linotype"/>
        </w:rPr>
        <w:t xml:space="preserve">for Saint John’s University also </w:t>
      </w:r>
      <w:r w:rsidR="006E03C8" w:rsidRPr="00AB1EA9">
        <w:rPr>
          <w:rFonts w:ascii="Palatino Linotype" w:eastAsia="Times New Roman" w:hAnsi="Palatino Linotype"/>
        </w:rPr>
        <w:t xml:space="preserve">relied on this type of quantification </w:t>
      </w:r>
      <w:r w:rsidRPr="00AB1EA9">
        <w:rPr>
          <w:rFonts w:ascii="Palatino Linotype" w:eastAsia="Times New Roman" w:hAnsi="Palatino Linotype"/>
        </w:rPr>
        <w:t>so the data can still be reasonably compared despite this approximation</w:t>
      </w:r>
      <w:r w:rsidR="00BC3DA3" w:rsidRPr="00AB1EA9">
        <w:rPr>
          <w:rFonts w:ascii="Palatino Linotype" w:eastAsia="Times New Roman" w:hAnsi="Palatino Linotype"/>
        </w:rPr>
        <w:t>.</w:t>
      </w:r>
      <w:r w:rsidR="006E03C8" w:rsidRPr="00AB1EA9">
        <w:rPr>
          <w:rFonts w:ascii="Palatino Linotype" w:eastAsia="Times New Roman" w:hAnsi="Palatino Linotype"/>
        </w:rPr>
        <w:t xml:space="preserve"> </w:t>
      </w:r>
      <w:r w:rsidR="0042765F">
        <w:rPr>
          <w:rFonts w:ascii="Palatino Linotype" w:eastAsia="Times New Roman" w:hAnsi="Palatino Linotype"/>
        </w:rPr>
        <w:t>The explanation of the calculation methodology for each section will make note if this technique was used for that data.</w:t>
      </w:r>
    </w:p>
    <w:p w:rsidR="0042765F" w:rsidRPr="002E77B4" w:rsidRDefault="0042765F" w:rsidP="006E03C8">
      <w:pPr>
        <w:spacing w:before="120" w:after="120" w:line="300" w:lineRule="auto"/>
        <w:rPr>
          <w:rFonts w:ascii="Palatino Linotype" w:eastAsia="Times New Roman" w:hAnsi="Palatino Linotype"/>
          <w:highlight w:val="yellow"/>
        </w:rPr>
      </w:pPr>
      <w:r>
        <w:rPr>
          <w:rFonts w:ascii="Palatino Linotype" w:eastAsia="Times New Roman" w:hAnsi="Palatino Linotype"/>
        </w:rPr>
        <w:lastRenderedPageBreak/>
        <w:t>Additionally, some of the data provided to the Office of Sustainability included both College of Saint Benedict and Saint John’s University. If possible, SJU activities were separated from CSB activities. When it was not possible to separate the activities of the two universities, the emissions data was divided by two in order to represent the portion of the emissions which are roughly attributable to Saint John’s. Since CSB and SJU have very similar numbers for students and staff, this approximation technique is believed to be fairly accurate.  The explanation of the calculation methodology for each section will make note if this technique was used for that data.</w:t>
      </w:r>
    </w:p>
    <w:p w:rsidR="004E660C" w:rsidRDefault="0042765F" w:rsidP="004E660C">
      <w:pPr>
        <w:spacing w:before="120" w:after="120" w:line="300" w:lineRule="auto"/>
        <w:rPr>
          <w:rFonts w:ascii="Palatino Linotype" w:eastAsia="Times New Roman" w:hAnsi="Palatino Linotype"/>
        </w:rPr>
      </w:pPr>
      <w:r w:rsidRPr="0042765F">
        <w:rPr>
          <w:rFonts w:ascii="Palatino Linotype" w:eastAsia="Times New Roman" w:hAnsi="Palatino Linotype"/>
        </w:rPr>
        <w:t>It should also be noted that t</w:t>
      </w:r>
      <w:r w:rsidR="000763D6" w:rsidRPr="0042765F">
        <w:rPr>
          <w:rFonts w:ascii="Palatino Linotype" w:eastAsia="Times New Roman" w:hAnsi="Palatino Linotype"/>
        </w:rPr>
        <w:t>he energy embedded in goods and products cons</w:t>
      </w:r>
      <w:r w:rsidRPr="0042765F">
        <w:rPr>
          <w:rFonts w:ascii="Palatino Linotype" w:eastAsia="Times New Roman" w:hAnsi="Palatino Linotype"/>
        </w:rPr>
        <w:t>umed during</w:t>
      </w:r>
      <w:r w:rsidR="000763D6" w:rsidRPr="0042765F">
        <w:rPr>
          <w:rFonts w:ascii="Palatino Linotype" w:eastAsia="Times New Roman" w:hAnsi="Palatino Linotype"/>
        </w:rPr>
        <w:t xml:space="preserve"> the regular course of doing business</w:t>
      </w:r>
      <w:r w:rsidRPr="0042765F">
        <w:rPr>
          <w:rFonts w:ascii="Palatino Linotype" w:eastAsia="Times New Roman" w:hAnsi="Palatino Linotype"/>
        </w:rPr>
        <w:t xml:space="preserve"> was</w:t>
      </w:r>
      <w:r w:rsidR="000763D6" w:rsidRPr="0042765F">
        <w:rPr>
          <w:rFonts w:ascii="Palatino Linotype" w:eastAsia="Times New Roman" w:hAnsi="Palatino Linotype"/>
        </w:rPr>
        <w:t xml:space="preserve"> n</w:t>
      </w:r>
      <w:r w:rsidR="00E15ACC" w:rsidRPr="0042765F">
        <w:rPr>
          <w:rFonts w:ascii="Palatino Linotype" w:eastAsia="Times New Roman" w:hAnsi="Palatino Linotype"/>
        </w:rPr>
        <w:t>ot included in this analysis</w:t>
      </w:r>
      <w:r w:rsidRPr="0042765F">
        <w:rPr>
          <w:rFonts w:ascii="Palatino Linotype" w:eastAsia="Times New Roman" w:hAnsi="Palatino Linotype"/>
        </w:rPr>
        <w:t xml:space="preserve">. The only exception to this is paper usage </w:t>
      </w:r>
      <w:r w:rsidR="008E048E">
        <w:rPr>
          <w:rFonts w:ascii="Palatino Linotype" w:eastAsia="Times New Roman" w:hAnsi="Palatino Linotype"/>
        </w:rPr>
        <w:t>on campus</w:t>
      </w:r>
      <w:r w:rsidR="00012C7F" w:rsidRPr="0042765F">
        <w:rPr>
          <w:rFonts w:ascii="Palatino Linotype" w:eastAsia="Times New Roman" w:hAnsi="Palatino Linotype"/>
        </w:rPr>
        <w:t xml:space="preserve">.  </w:t>
      </w:r>
      <w:r w:rsidRPr="0042765F">
        <w:rPr>
          <w:rFonts w:ascii="Palatino Linotype" w:eastAsia="Times New Roman" w:hAnsi="Palatino Linotype"/>
        </w:rPr>
        <w:t>The capture and storage of carbon was also not included in this inventory beyond any capture and storage which was accounted for within the Clean Air-Cool Planet emissions calculator.</w:t>
      </w:r>
    </w:p>
    <w:p w:rsidR="004E660C" w:rsidRDefault="004E660C" w:rsidP="004E660C">
      <w:pPr>
        <w:spacing w:before="120" w:after="120" w:line="300" w:lineRule="auto"/>
        <w:rPr>
          <w:rFonts w:ascii="Palatino Linotype" w:eastAsia="Times New Roman" w:hAnsi="Palatino Linotype"/>
        </w:rPr>
      </w:pPr>
    </w:p>
    <w:p w:rsidR="004E660C" w:rsidRDefault="004E660C" w:rsidP="004E660C">
      <w:pPr>
        <w:spacing w:before="120" w:after="120" w:line="300" w:lineRule="auto"/>
        <w:rPr>
          <w:rFonts w:ascii="Palatino Linotype" w:eastAsia="Times New Roman" w:hAnsi="Palatino Linotype"/>
        </w:rPr>
      </w:pPr>
    </w:p>
    <w:p w:rsidR="004E660C" w:rsidRDefault="004E660C" w:rsidP="004E660C">
      <w:pPr>
        <w:spacing w:before="120" w:after="120" w:line="300" w:lineRule="auto"/>
        <w:rPr>
          <w:rFonts w:ascii="Palatino Linotype" w:eastAsia="Times New Roman" w:hAnsi="Palatino Linotype"/>
        </w:rPr>
      </w:pPr>
    </w:p>
    <w:p w:rsidR="004E660C" w:rsidRDefault="004E660C" w:rsidP="004E660C">
      <w:pPr>
        <w:spacing w:before="120" w:after="120" w:line="300" w:lineRule="auto"/>
        <w:rPr>
          <w:rFonts w:ascii="Palatino Linotype" w:eastAsia="Times New Roman" w:hAnsi="Palatino Linotype"/>
        </w:rPr>
      </w:pPr>
    </w:p>
    <w:p w:rsidR="004E660C" w:rsidRDefault="004E660C" w:rsidP="004E660C">
      <w:pPr>
        <w:spacing w:before="120" w:after="120" w:line="300" w:lineRule="auto"/>
        <w:rPr>
          <w:rFonts w:ascii="Palatino Linotype" w:eastAsia="Times New Roman" w:hAnsi="Palatino Linotype"/>
        </w:rPr>
      </w:pPr>
    </w:p>
    <w:p w:rsidR="004E660C" w:rsidRDefault="004E660C" w:rsidP="004E660C">
      <w:pPr>
        <w:spacing w:before="120" w:after="120" w:line="300" w:lineRule="auto"/>
        <w:rPr>
          <w:rFonts w:ascii="Palatino Linotype" w:eastAsia="Times New Roman" w:hAnsi="Palatino Linotype"/>
        </w:rPr>
      </w:pPr>
    </w:p>
    <w:p w:rsidR="004E660C" w:rsidRDefault="004E660C" w:rsidP="004E660C">
      <w:pPr>
        <w:spacing w:before="120" w:after="120" w:line="300" w:lineRule="auto"/>
        <w:rPr>
          <w:rFonts w:ascii="Palatino Linotype" w:eastAsia="Times New Roman" w:hAnsi="Palatino Linotype"/>
        </w:rPr>
      </w:pPr>
    </w:p>
    <w:p w:rsidR="0042765F" w:rsidRPr="004E660C" w:rsidRDefault="0042765F" w:rsidP="004E660C">
      <w:pPr>
        <w:spacing w:before="120" w:after="120" w:line="300" w:lineRule="auto"/>
        <w:rPr>
          <w:rFonts w:ascii="Palatino Linotype" w:eastAsia="Times New Roman" w:hAnsi="Palatino Linotype"/>
        </w:rPr>
      </w:pPr>
      <w:r>
        <w:rPr>
          <w:rFonts w:ascii="Palatino Linotype" w:eastAsia="Times New Roman" w:hAnsi="Palatino Linotype"/>
          <w:b/>
          <w:smallCaps/>
        </w:rPr>
        <w:t>Campus Demographics</w:t>
      </w:r>
    </w:p>
    <w:p w:rsidR="00A8601B" w:rsidRPr="0042765F" w:rsidRDefault="0042765F" w:rsidP="0042765F">
      <w:pPr>
        <w:overflowPunct w:val="0"/>
        <w:autoSpaceDE w:val="0"/>
        <w:autoSpaceDN w:val="0"/>
        <w:adjustRightInd w:val="0"/>
        <w:spacing w:before="120" w:after="120" w:line="300" w:lineRule="auto"/>
        <w:textAlignment w:val="baseline"/>
        <w:rPr>
          <w:rFonts w:ascii="Palatino Linotype" w:eastAsia="Times New Roman" w:hAnsi="Palatino Linotype"/>
        </w:rPr>
      </w:pPr>
      <w:r>
        <w:rPr>
          <w:rFonts w:ascii="Palatino Linotype" w:eastAsia="Times New Roman" w:hAnsi="Palatino Linotype"/>
        </w:rPr>
        <w:t xml:space="preserve">Data for Table 1 was provided by </w:t>
      </w:r>
      <w:r w:rsidR="00AC7311">
        <w:rPr>
          <w:rFonts w:ascii="Palatino Linotype" w:eastAsia="Times New Roman" w:hAnsi="Palatino Linotype"/>
        </w:rPr>
        <w:t xml:space="preserve">the </w:t>
      </w:r>
      <w:r>
        <w:rPr>
          <w:rFonts w:ascii="Palatino Linotype" w:eastAsia="Times New Roman" w:hAnsi="Palatino Linotype"/>
        </w:rPr>
        <w:t xml:space="preserve">Office of the Registrar and </w:t>
      </w:r>
      <w:r w:rsidR="00AC7311">
        <w:rPr>
          <w:rFonts w:ascii="Palatino Linotype" w:eastAsia="Times New Roman" w:hAnsi="Palatino Linotype"/>
        </w:rPr>
        <w:t xml:space="preserve">the </w:t>
      </w:r>
      <w:r>
        <w:rPr>
          <w:rFonts w:ascii="Palatino Linotype" w:eastAsia="Times New Roman" w:hAnsi="Palatino Linotype"/>
        </w:rPr>
        <w:t>Human Resources</w:t>
      </w:r>
      <w:r w:rsidR="00AC7311">
        <w:rPr>
          <w:rFonts w:ascii="Palatino Linotype" w:eastAsia="Times New Roman" w:hAnsi="Palatino Linotype"/>
        </w:rPr>
        <w:t xml:space="preserve"> office</w:t>
      </w:r>
      <w:r>
        <w:rPr>
          <w:rFonts w:ascii="Palatino Linotype" w:eastAsia="Times New Roman" w:hAnsi="Palatino Linotype"/>
        </w:rPr>
        <w:t xml:space="preserve">. </w:t>
      </w:r>
    </w:p>
    <w:p w:rsidR="001208D0" w:rsidRPr="00861A34" w:rsidRDefault="0042765F" w:rsidP="00F10144">
      <w:pPr>
        <w:overflowPunct w:val="0"/>
        <w:autoSpaceDE w:val="0"/>
        <w:autoSpaceDN w:val="0"/>
        <w:adjustRightInd w:val="0"/>
        <w:jc w:val="center"/>
        <w:textAlignment w:val="baseline"/>
        <w:rPr>
          <w:rFonts w:ascii="Palatino Linotype" w:hAnsi="Palatino Linotype" w:cs="Times New Roman"/>
          <w:b/>
        </w:rPr>
      </w:pPr>
      <w:r>
        <w:rPr>
          <w:rFonts w:ascii="Palatino Linotype" w:hAnsi="Palatino Linotype" w:cs="Times New Roman"/>
          <w:b/>
        </w:rPr>
        <w:t>Table 1. Campus D</w:t>
      </w:r>
      <w:r w:rsidR="001208D0" w:rsidRPr="00861A34">
        <w:rPr>
          <w:rFonts w:ascii="Palatino Linotype" w:hAnsi="Palatino Linotype" w:cs="Times New Roman"/>
          <w:b/>
        </w:rPr>
        <w:t xml:space="preserve">emographics for </w:t>
      </w:r>
      <w:r w:rsidR="002E77B4">
        <w:rPr>
          <w:rFonts w:ascii="Palatino Linotype" w:hAnsi="Palatino Linotype" w:cs="Times New Roman"/>
          <w:b/>
        </w:rPr>
        <w:t>2014</w:t>
      </w:r>
    </w:p>
    <w:tbl>
      <w:tblPr>
        <w:tblStyle w:val="TableGrid"/>
        <w:tblW w:w="3747" w:type="pct"/>
        <w:tblInd w:w="1102" w:type="dxa"/>
        <w:tblLook w:val="04A0" w:firstRow="1" w:lastRow="0" w:firstColumn="1" w:lastColumn="0" w:noHBand="0" w:noVBand="1"/>
      </w:tblPr>
      <w:tblGrid>
        <w:gridCol w:w="2422"/>
        <w:gridCol w:w="2246"/>
        <w:gridCol w:w="2339"/>
      </w:tblGrid>
      <w:tr w:rsidR="00B16116" w:rsidRPr="00861A34" w:rsidTr="008B734C">
        <w:trPr>
          <w:trHeight w:val="20"/>
        </w:trPr>
        <w:tc>
          <w:tcPr>
            <w:tcW w:w="1728" w:type="pct"/>
            <w:shd w:val="clear" w:color="auto" w:fill="000000" w:themeFill="text1"/>
          </w:tcPr>
          <w:p w:rsidR="00B16116" w:rsidRPr="00861A34" w:rsidRDefault="00B16116" w:rsidP="00EE10BE">
            <w:pPr>
              <w:overflowPunct w:val="0"/>
              <w:autoSpaceDE w:val="0"/>
              <w:autoSpaceDN w:val="0"/>
              <w:adjustRightInd w:val="0"/>
              <w:spacing w:before="120" w:after="120" w:line="300" w:lineRule="auto"/>
              <w:jc w:val="center"/>
              <w:textAlignment w:val="baseline"/>
              <w:rPr>
                <w:rFonts w:ascii="Palatino Linotype" w:hAnsi="Palatino Linotype"/>
                <w:b/>
                <w:bCs/>
                <w:color w:val="FFFFFF" w:themeColor="background1"/>
                <w:sz w:val="20"/>
                <w:szCs w:val="20"/>
              </w:rPr>
            </w:pPr>
            <w:r w:rsidRPr="00861A34">
              <w:rPr>
                <w:rFonts w:ascii="Palatino Linotype" w:hAnsi="Palatino Linotype"/>
                <w:b/>
                <w:bCs/>
                <w:color w:val="FFFFFF" w:themeColor="background1"/>
                <w:sz w:val="20"/>
                <w:szCs w:val="20"/>
              </w:rPr>
              <w:t>Sector</w:t>
            </w:r>
          </w:p>
        </w:tc>
        <w:tc>
          <w:tcPr>
            <w:tcW w:w="1603" w:type="pct"/>
            <w:shd w:val="clear" w:color="auto" w:fill="000000" w:themeFill="text1"/>
          </w:tcPr>
          <w:p w:rsidR="00B16116" w:rsidRPr="00861A34" w:rsidRDefault="00B16116" w:rsidP="00EE10BE">
            <w:pPr>
              <w:overflowPunct w:val="0"/>
              <w:autoSpaceDE w:val="0"/>
              <w:autoSpaceDN w:val="0"/>
              <w:adjustRightInd w:val="0"/>
              <w:spacing w:before="120" w:after="120" w:line="300" w:lineRule="auto"/>
              <w:jc w:val="center"/>
              <w:textAlignment w:val="baseline"/>
              <w:rPr>
                <w:rFonts w:ascii="Palatino Linotype" w:hAnsi="Palatino Linotype"/>
                <w:b/>
                <w:bCs/>
                <w:color w:val="FFFFFF" w:themeColor="background1"/>
                <w:sz w:val="20"/>
                <w:szCs w:val="20"/>
              </w:rPr>
            </w:pPr>
            <w:r w:rsidRPr="00861A34">
              <w:rPr>
                <w:rFonts w:ascii="Palatino Linotype" w:hAnsi="Palatino Linotype"/>
                <w:b/>
                <w:bCs/>
                <w:color w:val="FFFFFF" w:themeColor="background1"/>
                <w:sz w:val="20"/>
                <w:szCs w:val="20"/>
              </w:rPr>
              <w:t>Status</w:t>
            </w:r>
          </w:p>
        </w:tc>
        <w:tc>
          <w:tcPr>
            <w:tcW w:w="1669" w:type="pct"/>
            <w:shd w:val="clear" w:color="auto" w:fill="000000" w:themeFill="text1"/>
          </w:tcPr>
          <w:p w:rsidR="00B16116" w:rsidRPr="00861A34" w:rsidRDefault="002E77B4" w:rsidP="001208D0">
            <w:pPr>
              <w:overflowPunct w:val="0"/>
              <w:autoSpaceDE w:val="0"/>
              <w:autoSpaceDN w:val="0"/>
              <w:adjustRightInd w:val="0"/>
              <w:spacing w:before="120" w:after="120" w:line="300" w:lineRule="auto"/>
              <w:jc w:val="center"/>
              <w:textAlignment w:val="baseline"/>
              <w:rPr>
                <w:rFonts w:ascii="Palatino Linotype" w:hAnsi="Palatino Linotype"/>
                <w:b/>
                <w:bCs/>
                <w:color w:val="FFFFFF" w:themeColor="background1"/>
                <w:sz w:val="20"/>
                <w:szCs w:val="20"/>
              </w:rPr>
            </w:pPr>
            <w:r>
              <w:rPr>
                <w:rFonts w:ascii="Palatino Linotype" w:hAnsi="Palatino Linotype"/>
                <w:b/>
                <w:bCs/>
                <w:color w:val="FFFFFF" w:themeColor="background1"/>
                <w:sz w:val="20"/>
                <w:szCs w:val="20"/>
              </w:rPr>
              <w:t>2014</w:t>
            </w:r>
          </w:p>
        </w:tc>
      </w:tr>
      <w:tr w:rsidR="00B16116" w:rsidRPr="00861A34" w:rsidTr="008B734C">
        <w:trPr>
          <w:trHeight w:val="20"/>
        </w:trPr>
        <w:tc>
          <w:tcPr>
            <w:tcW w:w="1728" w:type="pct"/>
          </w:tcPr>
          <w:p w:rsidR="00B16116" w:rsidRPr="00861A34" w:rsidRDefault="00B16116" w:rsidP="00EE10BE">
            <w:pPr>
              <w:overflowPunct w:val="0"/>
              <w:autoSpaceDE w:val="0"/>
              <w:autoSpaceDN w:val="0"/>
              <w:adjustRightInd w:val="0"/>
              <w:spacing w:before="120" w:after="120" w:line="300" w:lineRule="auto"/>
              <w:textAlignment w:val="baseline"/>
              <w:rPr>
                <w:rFonts w:ascii="Palatino Linotype" w:hAnsi="Palatino Linotype"/>
                <w:b/>
                <w:bCs/>
                <w:sz w:val="20"/>
                <w:szCs w:val="20"/>
              </w:rPr>
            </w:pPr>
            <w:r w:rsidRPr="00861A34">
              <w:rPr>
                <w:rFonts w:ascii="Palatino Linotype" w:hAnsi="Palatino Linotype"/>
                <w:b/>
                <w:bCs/>
                <w:sz w:val="20"/>
                <w:szCs w:val="20"/>
              </w:rPr>
              <w:t>Students</w:t>
            </w:r>
          </w:p>
        </w:tc>
        <w:tc>
          <w:tcPr>
            <w:tcW w:w="1603" w:type="pct"/>
          </w:tcPr>
          <w:p w:rsidR="00B16116" w:rsidRPr="00861A34" w:rsidRDefault="0042765F" w:rsidP="00EE10BE">
            <w:pPr>
              <w:overflowPunct w:val="0"/>
              <w:autoSpaceDE w:val="0"/>
              <w:autoSpaceDN w:val="0"/>
              <w:adjustRightInd w:val="0"/>
              <w:spacing w:before="120" w:after="120" w:line="300" w:lineRule="auto"/>
              <w:textAlignment w:val="baseline"/>
              <w:rPr>
                <w:rFonts w:ascii="Palatino Linotype" w:hAnsi="Palatino Linotype"/>
                <w:sz w:val="20"/>
                <w:szCs w:val="20"/>
              </w:rPr>
            </w:pPr>
            <w:r>
              <w:rPr>
                <w:rFonts w:ascii="Palatino Linotype" w:hAnsi="Palatino Linotype"/>
                <w:sz w:val="20"/>
                <w:szCs w:val="20"/>
              </w:rPr>
              <w:t>Full-</w:t>
            </w:r>
            <w:r w:rsidR="00B16116" w:rsidRPr="00861A34">
              <w:rPr>
                <w:rFonts w:ascii="Palatino Linotype" w:hAnsi="Palatino Linotype"/>
                <w:sz w:val="20"/>
                <w:szCs w:val="20"/>
              </w:rPr>
              <w:t>Time</w:t>
            </w:r>
          </w:p>
        </w:tc>
        <w:tc>
          <w:tcPr>
            <w:tcW w:w="1669" w:type="pct"/>
          </w:tcPr>
          <w:p w:rsidR="00B16116" w:rsidRPr="00861A34" w:rsidRDefault="002E77B4" w:rsidP="002E77B4">
            <w:pPr>
              <w:overflowPunct w:val="0"/>
              <w:autoSpaceDE w:val="0"/>
              <w:autoSpaceDN w:val="0"/>
              <w:adjustRightInd w:val="0"/>
              <w:spacing w:before="120" w:after="120" w:line="300" w:lineRule="auto"/>
              <w:jc w:val="center"/>
              <w:textAlignment w:val="baseline"/>
              <w:rPr>
                <w:rFonts w:ascii="Palatino Linotype" w:hAnsi="Palatino Linotype"/>
                <w:sz w:val="20"/>
                <w:szCs w:val="20"/>
              </w:rPr>
            </w:pPr>
            <w:r>
              <w:rPr>
                <w:rFonts w:ascii="Palatino Linotype" w:hAnsi="Palatino Linotype"/>
                <w:sz w:val="20"/>
                <w:szCs w:val="20"/>
              </w:rPr>
              <w:t>1859</w:t>
            </w:r>
          </w:p>
        </w:tc>
      </w:tr>
      <w:tr w:rsidR="00B16116" w:rsidRPr="00861A34" w:rsidTr="008B734C">
        <w:trPr>
          <w:trHeight w:val="20"/>
        </w:trPr>
        <w:tc>
          <w:tcPr>
            <w:tcW w:w="1728" w:type="pct"/>
          </w:tcPr>
          <w:p w:rsidR="00B16116" w:rsidRPr="00861A34" w:rsidRDefault="00B16116" w:rsidP="00EE10BE">
            <w:pPr>
              <w:overflowPunct w:val="0"/>
              <w:autoSpaceDE w:val="0"/>
              <w:autoSpaceDN w:val="0"/>
              <w:adjustRightInd w:val="0"/>
              <w:spacing w:before="120" w:after="120" w:line="300" w:lineRule="auto"/>
              <w:jc w:val="right"/>
              <w:textAlignment w:val="baseline"/>
              <w:rPr>
                <w:rFonts w:ascii="Palatino Linotype" w:hAnsi="Palatino Linotype"/>
                <w:b/>
                <w:bCs/>
                <w:sz w:val="20"/>
                <w:szCs w:val="20"/>
              </w:rPr>
            </w:pPr>
          </w:p>
        </w:tc>
        <w:tc>
          <w:tcPr>
            <w:tcW w:w="1603" w:type="pct"/>
          </w:tcPr>
          <w:p w:rsidR="00B16116" w:rsidRPr="00861A34" w:rsidRDefault="0042765F" w:rsidP="00EE10BE">
            <w:pPr>
              <w:overflowPunct w:val="0"/>
              <w:autoSpaceDE w:val="0"/>
              <w:autoSpaceDN w:val="0"/>
              <w:adjustRightInd w:val="0"/>
              <w:spacing w:before="120" w:after="120" w:line="300" w:lineRule="auto"/>
              <w:textAlignment w:val="baseline"/>
              <w:rPr>
                <w:rFonts w:ascii="Palatino Linotype" w:hAnsi="Palatino Linotype"/>
                <w:sz w:val="20"/>
                <w:szCs w:val="20"/>
              </w:rPr>
            </w:pPr>
            <w:r>
              <w:rPr>
                <w:rFonts w:ascii="Palatino Linotype" w:hAnsi="Palatino Linotype"/>
                <w:sz w:val="20"/>
                <w:szCs w:val="20"/>
              </w:rPr>
              <w:t>Part-</w:t>
            </w:r>
            <w:r w:rsidR="00B16116" w:rsidRPr="00861A34">
              <w:rPr>
                <w:rFonts w:ascii="Palatino Linotype" w:hAnsi="Palatino Linotype"/>
                <w:sz w:val="20"/>
                <w:szCs w:val="20"/>
              </w:rPr>
              <w:t>Time</w:t>
            </w:r>
          </w:p>
        </w:tc>
        <w:tc>
          <w:tcPr>
            <w:tcW w:w="1669" w:type="pct"/>
          </w:tcPr>
          <w:p w:rsidR="00B16116" w:rsidRPr="00861A34" w:rsidRDefault="002E77B4" w:rsidP="00EE10BE">
            <w:pPr>
              <w:overflowPunct w:val="0"/>
              <w:autoSpaceDE w:val="0"/>
              <w:autoSpaceDN w:val="0"/>
              <w:adjustRightInd w:val="0"/>
              <w:spacing w:before="120" w:after="120" w:line="300" w:lineRule="auto"/>
              <w:jc w:val="center"/>
              <w:textAlignment w:val="baseline"/>
              <w:rPr>
                <w:rFonts w:ascii="Palatino Linotype" w:hAnsi="Palatino Linotype"/>
                <w:sz w:val="20"/>
                <w:szCs w:val="20"/>
              </w:rPr>
            </w:pPr>
            <w:r>
              <w:rPr>
                <w:rFonts w:ascii="Palatino Linotype" w:hAnsi="Palatino Linotype"/>
                <w:sz w:val="20"/>
                <w:szCs w:val="20"/>
              </w:rPr>
              <w:t>74</w:t>
            </w:r>
          </w:p>
        </w:tc>
      </w:tr>
      <w:tr w:rsidR="00B16116" w:rsidRPr="00861A34" w:rsidTr="008B734C">
        <w:trPr>
          <w:trHeight w:val="20"/>
        </w:trPr>
        <w:tc>
          <w:tcPr>
            <w:tcW w:w="1728" w:type="pct"/>
          </w:tcPr>
          <w:p w:rsidR="00B16116" w:rsidRPr="00861A34" w:rsidRDefault="00B16116" w:rsidP="00EE10BE">
            <w:pPr>
              <w:overflowPunct w:val="0"/>
              <w:autoSpaceDE w:val="0"/>
              <w:autoSpaceDN w:val="0"/>
              <w:adjustRightInd w:val="0"/>
              <w:spacing w:before="120" w:after="120" w:line="300" w:lineRule="auto"/>
              <w:jc w:val="right"/>
              <w:textAlignment w:val="baseline"/>
              <w:rPr>
                <w:rFonts w:ascii="Palatino Linotype" w:hAnsi="Palatino Linotype"/>
                <w:b/>
                <w:bCs/>
                <w:sz w:val="20"/>
                <w:szCs w:val="20"/>
              </w:rPr>
            </w:pPr>
          </w:p>
        </w:tc>
        <w:tc>
          <w:tcPr>
            <w:tcW w:w="1603" w:type="pct"/>
          </w:tcPr>
          <w:p w:rsidR="00B16116" w:rsidRPr="005349AD" w:rsidRDefault="0042765F" w:rsidP="00EE10BE">
            <w:pPr>
              <w:overflowPunct w:val="0"/>
              <w:autoSpaceDE w:val="0"/>
              <w:autoSpaceDN w:val="0"/>
              <w:adjustRightInd w:val="0"/>
              <w:spacing w:before="120" w:after="120" w:line="300" w:lineRule="auto"/>
              <w:textAlignment w:val="baseline"/>
              <w:rPr>
                <w:rFonts w:ascii="Palatino Linotype" w:hAnsi="Palatino Linotype"/>
                <w:sz w:val="20"/>
                <w:szCs w:val="20"/>
              </w:rPr>
            </w:pPr>
            <w:r w:rsidRPr="005349AD">
              <w:rPr>
                <w:rFonts w:ascii="Palatino Linotype" w:hAnsi="Palatino Linotype"/>
                <w:sz w:val="20"/>
                <w:szCs w:val="20"/>
              </w:rPr>
              <w:t>Full-</w:t>
            </w:r>
            <w:r w:rsidR="00B16116" w:rsidRPr="005349AD">
              <w:rPr>
                <w:rFonts w:ascii="Palatino Linotype" w:hAnsi="Palatino Linotype"/>
                <w:sz w:val="20"/>
                <w:szCs w:val="20"/>
              </w:rPr>
              <w:t>time equivalent*</w:t>
            </w:r>
          </w:p>
        </w:tc>
        <w:tc>
          <w:tcPr>
            <w:tcW w:w="1669" w:type="pct"/>
          </w:tcPr>
          <w:p w:rsidR="00B16116" w:rsidRPr="005349AD" w:rsidRDefault="002E77B4" w:rsidP="00EE10BE">
            <w:pPr>
              <w:overflowPunct w:val="0"/>
              <w:autoSpaceDE w:val="0"/>
              <w:autoSpaceDN w:val="0"/>
              <w:adjustRightInd w:val="0"/>
              <w:spacing w:before="120" w:after="120" w:line="300" w:lineRule="auto"/>
              <w:jc w:val="center"/>
              <w:textAlignment w:val="baseline"/>
              <w:rPr>
                <w:rFonts w:ascii="Palatino Linotype" w:hAnsi="Palatino Linotype"/>
                <w:sz w:val="20"/>
                <w:szCs w:val="20"/>
              </w:rPr>
            </w:pPr>
            <w:r w:rsidRPr="005349AD">
              <w:rPr>
                <w:rFonts w:ascii="Palatino Linotype" w:hAnsi="Palatino Linotype"/>
                <w:sz w:val="20"/>
                <w:szCs w:val="20"/>
              </w:rPr>
              <w:t>1896</w:t>
            </w:r>
          </w:p>
        </w:tc>
      </w:tr>
      <w:tr w:rsidR="00B16116" w:rsidRPr="00861A34" w:rsidTr="008B734C">
        <w:trPr>
          <w:trHeight w:val="20"/>
        </w:trPr>
        <w:tc>
          <w:tcPr>
            <w:tcW w:w="1728" w:type="pct"/>
          </w:tcPr>
          <w:p w:rsidR="00B16116" w:rsidRPr="00861A34" w:rsidRDefault="00B16116" w:rsidP="00EE10BE">
            <w:pPr>
              <w:overflowPunct w:val="0"/>
              <w:autoSpaceDE w:val="0"/>
              <w:autoSpaceDN w:val="0"/>
              <w:adjustRightInd w:val="0"/>
              <w:spacing w:before="120" w:after="120" w:line="300" w:lineRule="auto"/>
              <w:textAlignment w:val="baseline"/>
              <w:rPr>
                <w:rFonts w:ascii="Palatino Linotype" w:hAnsi="Palatino Linotype"/>
                <w:b/>
                <w:bCs/>
                <w:sz w:val="20"/>
                <w:szCs w:val="20"/>
              </w:rPr>
            </w:pPr>
            <w:r w:rsidRPr="00861A34">
              <w:rPr>
                <w:rFonts w:ascii="Palatino Linotype" w:hAnsi="Palatino Linotype"/>
                <w:b/>
                <w:bCs/>
                <w:sz w:val="20"/>
                <w:szCs w:val="20"/>
              </w:rPr>
              <w:lastRenderedPageBreak/>
              <w:t>Faculty</w:t>
            </w:r>
          </w:p>
        </w:tc>
        <w:tc>
          <w:tcPr>
            <w:tcW w:w="1603" w:type="pct"/>
          </w:tcPr>
          <w:p w:rsidR="00B16116" w:rsidRPr="00861A34" w:rsidRDefault="00B16116" w:rsidP="00EE10BE">
            <w:pPr>
              <w:overflowPunct w:val="0"/>
              <w:autoSpaceDE w:val="0"/>
              <w:autoSpaceDN w:val="0"/>
              <w:adjustRightInd w:val="0"/>
              <w:spacing w:before="120" w:after="120" w:line="300" w:lineRule="auto"/>
              <w:textAlignment w:val="baseline"/>
              <w:rPr>
                <w:rFonts w:ascii="Palatino Linotype" w:hAnsi="Palatino Linotype"/>
                <w:sz w:val="20"/>
                <w:szCs w:val="20"/>
              </w:rPr>
            </w:pPr>
            <w:r w:rsidRPr="00861A34">
              <w:rPr>
                <w:rFonts w:ascii="Palatino Linotype" w:hAnsi="Palatino Linotype"/>
                <w:sz w:val="20"/>
                <w:szCs w:val="20"/>
              </w:rPr>
              <w:t>Full time</w:t>
            </w:r>
          </w:p>
        </w:tc>
        <w:tc>
          <w:tcPr>
            <w:tcW w:w="1669" w:type="pct"/>
          </w:tcPr>
          <w:p w:rsidR="00B16116" w:rsidRPr="00861A34" w:rsidRDefault="008B734C" w:rsidP="00EE10BE">
            <w:pPr>
              <w:overflowPunct w:val="0"/>
              <w:autoSpaceDE w:val="0"/>
              <w:autoSpaceDN w:val="0"/>
              <w:adjustRightInd w:val="0"/>
              <w:spacing w:before="120" w:after="120" w:line="300" w:lineRule="auto"/>
              <w:jc w:val="center"/>
              <w:textAlignment w:val="baseline"/>
              <w:rPr>
                <w:rFonts w:ascii="Palatino Linotype" w:hAnsi="Palatino Linotype"/>
                <w:sz w:val="20"/>
                <w:szCs w:val="20"/>
              </w:rPr>
            </w:pPr>
            <w:r>
              <w:rPr>
                <w:rFonts w:ascii="Palatino Linotype" w:hAnsi="Palatino Linotype"/>
                <w:sz w:val="20"/>
                <w:szCs w:val="20"/>
              </w:rPr>
              <w:t>166</w:t>
            </w:r>
          </w:p>
        </w:tc>
      </w:tr>
      <w:tr w:rsidR="00B16116" w:rsidRPr="00861A34" w:rsidTr="008B734C">
        <w:trPr>
          <w:trHeight w:val="20"/>
        </w:trPr>
        <w:tc>
          <w:tcPr>
            <w:tcW w:w="1728" w:type="pct"/>
          </w:tcPr>
          <w:p w:rsidR="00B16116" w:rsidRPr="00861A34" w:rsidRDefault="00B16116" w:rsidP="00EE10BE">
            <w:pPr>
              <w:overflowPunct w:val="0"/>
              <w:autoSpaceDE w:val="0"/>
              <w:autoSpaceDN w:val="0"/>
              <w:adjustRightInd w:val="0"/>
              <w:spacing w:before="120" w:after="120" w:line="300" w:lineRule="auto"/>
              <w:textAlignment w:val="baseline"/>
              <w:rPr>
                <w:rFonts w:ascii="Palatino Linotype" w:hAnsi="Palatino Linotype"/>
                <w:b/>
                <w:bCs/>
                <w:sz w:val="20"/>
                <w:szCs w:val="20"/>
              </w:rPr>
            </w:pPr>
            <w:r w:rsidRPr="00861A34">
              <w:rPr>
                <w:rFonts w:ascii="Palatino Linotype" w:hAnsi="Palatino Linotype"/>
                <w:b/>
                <w:bCs/>
                <w:sz w:val="20"/>
                <w:szCs w:val="20"/>
              </w:rPr>
              <w:t>Staff</w:t>
            </w:r>
          </w:p>
        </w:tc>
        <w:tc>
          <w:tcPr>
            <w:tcW w:w="1603" w:type="pct"/>
          </w:tcPr>
          <w:p w:rsidR="00B16116" w:rsidRPr="00861A34" w:rsidRDefault="00B16116" w:rsidP="00EE10BE">
            <w:pPr>
              <w:overflowPunct w:val="0"/>
              <w:autoSpaceDE w:val="0"/>
              <w:autoSpaceDN w:val="0"/>
              <w:adjustRightInd w:val="0"/>
              <w:spacing w:before="120" w:after="120" w:line="300" w:lineRule="auto"/>
              <w:textAlignment w:val="baseline"/>
              <w:rPr>
                <w:rFonts w:ascii="Palatino Linotype" w:hAnsi="Palatino Linotype"/>
                <w:sz w:val="20"/>
                <w:szCs w:val="20"/>
              </w:rPr>
            </w:pPr>
            <w:r w:rsidRPr="00861A34">
              <w:rPr>
                <w:rFonts w:ascii="Palatino Linotype" w:hAnsi="Palatino Linotype"/>
                <w:sz w:val="20"/>
                <w:szCs w:val="20"/>
              </w:rPr>
              <w:t>Full time</w:t>
            </w:r>
          </w:p>
        </w:tc>
        <w:tc>
          <w:tcPr>
            <w:tcW w:w="1669" w:type="pct"/>
          </w:tcPr>
          <w:p w:rsidR="00B16116" w:rsidRPr="00861A34" w:rsidRDefault="008B734C" w:rsidP="00B82906">
            <w:pPr>
              <w:overflowPunct w:val="0"/>
              <w:autoSpaceDE w:val="0"/>
              <w:autoSpaceDN w:val="0"/>
              <w:adjustRightInd w:val="0"/>
              <w:spacing w:before="120" w:after="120" w:line="300" w:lineRule="auto"/>
              <w:jc w:val="center"/>
              <w:textAlignment w:val="baseline"/>
              <w:rPr>
                <w:rFonts w:ascii="Palatino Linotype" w:hAnsi="Palatino Linotype"/>
                <w:sz w:val="20"/>
                <w:szCs w:val="20"/>
              </w:rPr>
            </w:pPr>
            <w:r>
              <w:rPr>
                <w:rFonts w:ascii="Palatino Linotype" w:hAnsi="Palatino Linotype"/>
                <w:sz w:val="20"/>
                <w:szCs w:val="20"/>
              </w:rPr>
              <w:t>340</w:t>
            </w:r>
          </w:p>
        </w:tc>
      </w:tr>
    </w:tbl>
    <w:p w:rsidR="0042765F" w:rsidRDefault="005349AD" w:rsidP="0042765F">
      <w:pPr>
        <w:overflowPunct w:val="0"/>
        <w:autoSpaceDE w:val="0"/>
        <w:autoSpaceDN w:val="0"/>
        <w:adjustRightInd w:val="0"/>
        <w:spacing w:before="120" w:after="120" w:line="300" w:lineRule="auto"/>
        <w:textAlignment w:val="baseline"/>
        <w:rPr>
          <w:rFonts w:ascii="Palatino Linotype" w:eastAsia="Times New Roman" w:hAnsi="Palatino Linotype"/>
        </w:rPr>
      </w:pPr>
      <w:r>
        <w:rPr>
          <w:rFonts w:ascii="Palatino Linotype" w:eastAsia="Times New Roman" w:hAnsi="Palatino Linotype"/>
        </w:rPr>
        <w:t>* For calculating full-time equivalent students (FTE), two part-time students equal one full-time student.</w:t>
      </w:r>
    </w:p>
    <w:p w:rsidR="004E660C" w:rsidRPr="00861A34" w:rsidRDefault="004E660C" w:rsidP="004E660C">
      <w:pPr>
        <w:overflowPunct w:val="0"/>
        <w:autoSpaceDE w:val="0"/>
        <w:autoSpaceDN w:val="0"/>
        <w:adjustRightInd w:val="0"/>
        <w:spacing w:after="120" w:line="300" w:lineRule="auto"/>
        <w:textAlignment w:val="baseline"/>
        <w:rPr>
          <w:rFonts w:ascii="Palatino Linotype" w:eastAsia="Times New Roman" w:hAnsi="Palatino Linotype"/>
          <w:b/>
          <w:smallCaps/>
        </w:rPr>
      </w:pPr>
      <w:r w:rsidRPr="00861A34">
        <w:rPr>
          <w:rFonts w:ascii="Palatino Linotype" w:eastAsia="Times New Roman" w:hAnsi="Palatino Linotype"/>
          <w:b/>
          <w:smallCaps/>
        </w:rPr>
        <w:t>Carbon Footprint Timeframe</w:t>
      </w:r>
    </w:p>
    <w:p w:rsidR="004E660C" w:rsidRPr="00861A34" w:rsidRDefault="004E660C" w:rsidP="004E660C">
      <w:pPr>
        <w:overflowPunct w:val="0"/>
        <w:autoSpaceDE w:val="0"/>
        <w:autoSpaceDN w:val="0"/>
        <w:adjustRightInd w:val="0"/>
        <w:spacing w:before="120" w:after="120" w:line="300" w:lineRule="auto"/>
        <w:textAlignment w:val="baseline"/>
        <w:rPr>
          <w:rFonts w:ascii="Palatino Linotype" w:eastAsia="Times New Roman" w:hAnsi="Palatino Linotype"/>
          <w:b/>
          <w:smallCaps/>
        </w:rPr>
      </w:pPr>
      <w:r w:rsidRPr="00861A34">
        <w:rPr>
          <w:rFonts w:ascii="Palatino Linotype" w:eastAsia="Times New Roman" w:hAnsi="Palatino Linotype"/>
        </w:rPr>
        <w:t>SJU operates on a fiscal year that r</w:t>
      </w:r>
      <w:r>
        <w:rPr>
          <w:rFonts w:ascii="Palatino Linotype" w:eastAsia="Times New Roman" w:hAnsi="Palatino Linotype"/>
        </w:rPr>
        <w:t>uns from July 1 through June 30. The greenhouse gas inventory report contains data for fiscal year 2014</w:t>
      </w:r>
      <w:r w:rsidRPr="00861A34">
        <w:rPr>
          <w:rFonts w:ascii="Palatino Linotype" w:eastAsia="Times New Roman" w:hAnsi="Palatino Linotype"/>
        </w:rPr>
        <w:t xml:space="preserve">. </w:t>
      </w:r>
      <w:r>
        <w:rPr>
          <w:rFonts w:ascii="Palatino Linotype" w:eastAsia="Times New Roman" w:hAnsi="Palatino Linotype"/>
        </w:rPr>
        <w:t xml:space="preserve">The accompanying calculation spreadsheet also contains data for fiscal years 2012 and 2013, which was gathered at the same time as FY2014 data. </w:t>
      </w:r>
      <w:r w:rsidRPr="00861A34">
        <w:rPr>
          <w:rFonts w:ascii="Palatino Linotype" w:eastAsia="Times New Roman" w:hAnsi="Palatino Linotype"/>
        </w:rPr>
        <w:t xml:space="preserve"> </w:t>
      </w:r>
      <w:r>
        <w:rPr>
          <w:rFonts w:ascii="Palatino Linotype" w:eastAsia="Times New Roman" w:hAnsi="Palatino Linotype"/>
        </w:rPr>
        <w:t>T</w:t>
      </w:r>
      <w:r w:rsidRPr="00861A34">
        <w:rPr>
          <w:rFonts w:ascii="Palatino Linotype" w:eastAsia="Times New Roman" w:hAnsi="Palatino Linotype"/>
        </w:rPr>
        <w:t xml:space="preserve">he final inventory was </w:t>
      </w:r>
      <w:r>
        <w:rPr>
          <w:rFonts w:ascii="Palatino Linotype" w:eastAsia="Times New Roman" w:hAnsi="Palatino Linotype"/>
        </w:rPr>
        <w:t>completed</w:t>
      </w:r>
      <w:r w:rsidRPr="00861A34">
        <w:rPr>
          <w:rFonts w:ascii="Palatino Linotype" w:eastAsia="Times New Roman" w:hAnsi="Palatino Linotype"/>
        </w:rPr>
        <w:t xml:space="preserve"> on </w:t>
      </w:r>
      <w:r w:rsidRPr="00C7632B">
        <w:rPr>
          <w:rFonts w:ascii="Palatino Linotype" w:eastAsia="Times New Roman" w:hAnsi="Palatino Linotype"/>
        </w:rPr>
        <w:t>October 10</w:t>
      </w:r>
      <w:r w:rsidRPr="00C7632B">
        <w:rPr>
          <w:rFonts w:ascii="Palatino Linotype" w:eastAsia="Times New Roman" w:hAnsi="Palatino Linotype"/>
          <w:vertAlign w:val="superscript"/>
        </w:rPr>
        <w:t>th</w:t>
      </w:r>
      <w:r w:rsidRPr="00C7632B">
        <w:rPr>
          <w:rFonts w:ascii="Palatino Linotype" w:eastAsia="Times New Roman" w:hAnsi="Palatino Linotype"/>
        </w:rPr>
        <w:t>, 2014.</w:t>
      </w:r>
    </w:p>
    <w:p w:rsidR="004E660C" w:rsidRDefault="004E660C" w:rsidP="0042765F">
      <w:pPr>
        <w:overflowPunct w:val="0"/>
        <w:autoSpaceDE w:val="0"/>
        <w:autoSpaceDN w:val="0"/>
        <w:adjustRightInd w:val="0"/>
        <w:spacing w:before="120" w:after="120" w:line="300" w:lineRule="auto"/>
        <w:textAlignment w:val="baseline"/>
        <w:rPr>
          <w:rFonts w:ascii="Palatino Linotype" w:eastAsia="Times New Roman" w:hAnsi="Palatino Linotype"/>
          <w:b/>
          <w:smallCaps/>
        </w:rPr>
      </w:pPr>
    </w:p>
    <w:p w:rsidR="004E660C" w:rsidRDefault="004E660C" w:rsidP="0042765F">
      <w:pPr>
        <w:overflowPunct w:val="0"/>
        <w:autoSpaceDE w:val="0"/>
        <w:autoSpaceDN w:val="0"/>
        <w:adjustRightInd w:val="0"/>
        <w:spacing w:before="120" w:after="120" w:line="300" w:lineRule="auto"/>
        <w:textAlignment w:val="baseline"/>
        <w:rPr>
          <w:rFonts w:ascii="Palatino Linotype" w:eastAsia="Times New Roman" w:hAnsi="Palatino Linotype"/>
          <w:b/>
          <w:smallCaps/>
        </w:rPr>
      </w:pPr>
    </w:p>
    <w:p w:rsidR="004E660C" w:rsidRDefault="004E660C" w:rsidP="0042765F">
      <w:pPr>
        <w:overflowPunct w:val="0"/>
        <w:autoSpaceDE w:val="0"/>
        <w:autoSpaceDN w:val="0"/>
        <w:adjustRightInd w:val="0"/>
        <w:spacing w:before="120" w:after="120" w:line="300" w:lineRule="auto"/>
        <w:textAlignment w:val="baseline"/>
        <w:rPr>
          <w:rFonts w:ascii="Palatino Linotype" w:eastAsia="Times New Roman" w:hAnsi="Palatino Linotype"/>
          <w:b/>
          <w:smallCaps/>
        </w:rPr>
      </w:pPr>
    </w:p>
    <w:p w:rsidR="004E660C" w:rsidRDefault="004E660C" w:rsidP="0042765F">
      <w:pPr>
        <w:overflowPunct w:val="0"/>
        <w:autoSpaceDE w:val="0"/>
        <w:autoSpaceDN w:val="0"/>
        <w:adjustRightInd w:val="0"/>
        <w:spacing w:before="120" w:after="120" w:line="300" w:lineRule="auto"/>
        <w:textAlignment w:val="baseline"/>
        <w:rPr>
          <w:rFonts w:ascii="Palatino Linotype" w:eastAsia="Times New Roman" w:hAnsi="Palatino Linotype"/>
          <w:b/>
          <w:smallCaps/>
        </w:rPr>
      </w:pPr>
    </w:p>
    <w:p w:rsidR="004E660C" w:rsidRDefault="004E660C" w:rsidP="0042765F">
      <w:pPr>
        <w:overflowPunct w:val="0"/>
        <w:autoSpaceDE w:val="0"/>
        <w:autoSpaceDN w:val="0"/>
        <w:adjustRightInd w:val="0"/>
        <w:spacing w:before="120" w:after="120" w:line="300" w:lineRule="auto"/>
        <w:textAlignment w:val="baseline"/>
        <w:rPr>
          <w:rFonts w:ascii="Palatino Linotype" w:eastAsia="Times New Roman" w:hAnsi="Palatino Linotype"/>
          <w:b/>
          <w:smallCaps/>
        </w:rPr>
      </w:pPr>
    </w:p>
    <w:p w:rsidR="004E660C" w:rsidRDefault="004E660C" w:rsidP="0042765F">
      <w:pPr>
        <w:overflowPunct w:val="0"/>
        <w:autoSpaceDE w:val="0"/>
        <w:autoSpaceDN w:val="0"/>
        <w:adjustRightInd w:val="0"/>
        <w:spacing w:before="120" w:after="120" w:line="300" w:lineRule="auto"/>
        <w:textAlignment w:val="baseline"/>
        <w:rPr>
          <w:rFonts w:ascii="Palatino Linotype" w:eastAsia="Times New Roman" w:hAnsi="Palatino Linotype"/>
          <w:b/>
          <w:smallCaps/>
        </w:rPr>
      </w:pPr>
    </w:p>
    <w:p w:rsidR="004E660C" w:rsidRDefault="004E660C" w:rsidP="0042765F">
      <w:pPr>
        <w:overflowPunct w:val="0"/>
        <w:autoSpaceDE w:val="0"/>
        <w:autoSpaceDN w:val="0"/>
        <w:adjustRightInd w:val="0"/>
        <w:spacing w:before="120" w:after="120" w:line="300" w:lineRule="auto"/>
        <w:textAlignment w:val="baseline"/>
        <w:rPr>
          <w:rFonts w:ascii="Palatino Linotype" w:eastAsia="Times New Roman" w:hAnsi="Palatino Linotype"/>
          <w:b/>
          <w:smallCaps/>
        </w:rPr>
      </w:pPr>
    </w:p>
    <w:p w:rsidR="004E660C" w:rsidRDefault="004E660C" w:rsidP="0042765F">
      <w:pPr>
        <w:overflowPunct w:val="0"/>
        <w:autoSpaceDE w:val="0"/>
        <w:autoSpaceDN w:val="0"/>
        <w:adjustRightInd w:val="0"/>
        <w:spacing w:before="120" w:after="120" w:line="300" w:lineRule="auto"/>
        <w:textAlignment w:val="baseline"/>
        <w:rPr>
          <w:rFonts w:ascii="Palatino Linotype" w:eastAsia="Times New Roman" w:hAnsi="Palatino Linotype"/>
          <w:b/>
          <w:smallCaps/>
        </w:rPr>
      </w:pPr>
    </w:p>
    <w:p w:rsidR="004E660C" w:rsidRDefault="004E660C" w:rsidP="0042765F">
      <w:pPr>
        <w:overflowPunct w:val="0"/>
        <w:autoSpaceDE w:val="0"/>
        <w:autoSpaceDN w:val="0"/>
        <w:adjustRightInd w:val="0"/>
        <w:spacing w:before="120" w:after="120" w:line="300" w:lineRule="auto"/>
        <w:textAlignment w:val="baseline"/>
        <w:rPr>
          <w:rFonts w:ascii="Palatino Linotype" w:eastAsia="Times New Roman" w:hAnsi="Palatino Linotype"/>
          <w:b/>
          <w:smallCaps/>
        </w:rPr>
      </w:pPr>
    </w:p>
    <w:p w:rsidR="004E660C" w:rsidRDefault="004E660C" w:rsidP="0042765F">
      <w:pPr>
        <w:overflowPunct w:val="0"/>
        <w:autoSpaceDE w:val="0"/>
        <w:autoSpaceDN w:val="0"/>
        <w:adjustRightInd w:val="0"/>
        <w:spacing w:before="120" w:after="120" w:line="300" w:lineRule="auto"/>
        <w:textAlignment w:val="baseline"/>
        <w:rPr>
          <w:rFonts w:ascii="Palatino Linotype" w:eastAsia="Times New Roman" w:hAnsi="Palatino Linotype"/>
          <w:b/>
          <w:smallCaps/>
        </w:rPr>
      </w:pPr>
    </w:p>
    <w:p w:rsidR="0042765F" w:rsidRDefault="00567055" w:rsidP="0042765F">
      <w:pPr>
        <w:overflowPunct w:val="0"/>
        <w:autoSpaceDE w:val="0"/>
        <w:autoSpaceDN w:val="0"/>
        <w:adjustRightInd w:val="0"/>
        <w:spacing w:before="120" w:after="120" w:line="300" w:lineRule="auto"/>
        <w:textAlignment w:val="baseline"/>
        <w:rPr>
          <w:rFonts w:ascii="Palatino Linotype" w:eastAsia="Times New Roman" w:hAnsi="Palatino Linotype"/>
          <w:b/>
          <w:smallCaps/>
        </w:rPr>
      </w:pPr>
      <w:r>
        <w:rPr>
          <w:rFonts w:ascii="Palatino Linotype" w:eastAsia="Times New Roman" w:hAnsi="Palatino Linotype"/>
          <w:b/>
          <w:smallCaps/>
        </w:rPr>
        <w:t>Data Sources</w:t>
      </w:r>
    </w:p>
    <w:p w:rsidR="000763D6" w:rsidRPr="00861A34" w:rsidRDefault="000763D6" w:rsidP="0042765F">
      <w:pPr>
        <w:overflowPunct w:val="0"/>
        <w:autoSpaceDE w:val="0"/>
        <w:autoSpaceDN w:val="0"/>
        <w:adjustRightInd w:val="0"/>
        <w:spacing w:before="120" w:after="120" w:line="300" w:lineRule="auto"/>
        <w:jc w:val="center"/>
        <w:textAlignment w:val="baseline"/>
        <w:rPr>
          <w:rFonts w:ascii="Palatino Linotype" w:eastAsia="Times New Roman" w:hAnsi="Palatino Linotype" w:cs="Times New Roman"/>
        </w:rPr>
      </w:pPr>
      <w:r w:rsidRPr="00861A34">
        <w:rPr>
          <w:rFonts w:ascii="Palatino Linotype" w:eastAsia="Times New Roman" w:hAnsi="Palatino Linotype" w:cs="Times New Roman"/>
          <w:b/>
        </w:rPr>
        <w:t xml:space="preserve">Table </w:t>
      </w:r>
      <w:r w:rsidR="001208D0" w:rsidRPr="00861A34">
        <w:rPr>
          <w:rFonts w:ascii="Palatino Linotype" w:eastAsia="Times New Roman" w:hAnsi="Palatino Linotype" w:cs="Times New Roman"/>
          <w:b/>
        </w:rPr>
        <w:t>2</w:t>
      </w:r>
      <w:r w:rsidRPr="00861A34">
        <w:rPr>
          <w:rFonts w:ascii="Palatino Linotype" w:eastAsia="Times New Roman" w:hAnsi="Palatino Linotype" w:cs="Times New Roman"/>
          <w:b/>
        </w:rPr>
        <w:t>.</w:t>
      </w:r>
      <w:r w:rsidRPr="00861A34">
        <w:rPr>
          <w:rFonts w:ascii="Palatino Linotype" w:eastAsia="Times New Roman" w:hAnsi="Palatino Linotype" w:cs="Times New Roman"/>
        </w:rPr>
        <w:t xml:space="preserve"> </w:t>
      </w:r>
      <w:r w:rsidRPr="00861A34">
        <w:rPr>
          <w:rFonts w:ascii="Palatino Linotype" w:eastAsia="Times New Roman" w:hAnsi="Palatino Linotype" w:cs="Times New Roman"/>
          <w:b/>
        </w:rPr>
        <w:t>Sources of Data</w:t>
      </w:r>
      <w:r w:rsidR="000D6DC2">
        <w:rPr>
          <w:rFonts w:ascii="Palatino Linotype" w:eastAsia="Times New Roman" w:hAnsi="Palatino Linotype" w:cs="Times New Roman"/>
          <w:b/>
        </w:rPr>
        <w:t xml:space="preserve"> Used During 2014 GHG Inventory Completion</w:t>
      </w:r>
    </w:p>
    <w:tbl>
      <w:tblPr>
        <w:tblStyle w:val="MediumGrid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607"/>
        <w:gridCol w:w="2656"/>
      </w:tblGrid>
      <w:tr w:rsidR="000763D6" w:rsidRPr="00861A34" w:rsidTr="00A953C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tcBorders>
              <w:top w:val="nil"/>
              <w:left w:val="nil"/>
              <w:bottom w:val="nil"/>
              <w:right w:val="nil"/>
            </w:tcBorders>
          </w:tcPr>
          <w:p w:rsidR="000763D6" w:rsidRPr="00861A34" w:rsidRDefault="000763D6" w:rsidP="00C00EAD">
            <w:pPr>
              <w:overflowPunct w:val="0"/>
              <w:autoSpaceDE w:val="0"/>
              <w:autoSpaceDN w:val="0"/>
              <w:adjustRightInd w:val="0"/>
              <w:spacing w:before="120" w:after="120" w:line="300" w:lineRule="auto"/>
              <w:jc w:val="center"/>
              <w:textAlignment w:val="baseline"/>
              <w:rPr>
                <w:rFonts w:ascii="Palatino Linotype" w:eastAsia="Times New Roman" w:hAnsi="Palatino Linotype"/>
                <w:b w:val="0"/>
                <w:bCs w:val="0"/>
                <w:sz w:val="20"/>
                <w:szCs w:val="20"/>
              </w:rPr>
            </w:pPr>
            <w:r w:rsidRPr="00861A34">
              <w:rPr>
                <w:rFonts w:ascii="Palatino Linotype" w:eastAsia="Times New Roman" w:hAnsi="Palatino Linotype"/>
                <w:sz w:val="20"/>
                <w:szCs w:val="20"/>
              </w:rPr>
              <w:t>Data Type</w:t>
            </w:r>
          </w:p>
        </w:tc>
        <w:tc>
          <w:tcPr>
            <w:tcW w:w="1927" w:type="pct"/>
            <w:tcBorders>
              <w:top w:val="nil"/>
              <w:left w:val="nil"/>
              <w:bottom w:val="nil"/>
              <w:right w:val="nil"/>
            </w:tcBorders>
          </w:tcPr>
          <w:p w:rsidR="000763D6" w:rsidRPr="00861A34" w:rsidRDefault="000763D6" w:rsidP="00C00EAD">
            <w:pPr>
              <w:overflowPunct w:val="0"/>
              <w:autoSpaceDE w:val="0"/>
              <w:autoSpaceDN w:val="0"/>
              <w:adjustRightInd w:val="0"/>
              <w:spacing w:before="120" w:after="120" w:line="30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20"/>
                <w:szCs w:val="20"/>
              </w:rPr>
            </w:pPr>
            <w:r w:rsidRPr="00861A34">
              <w:rPr>
                <w:rFonts w:ascii="Palatino Linotype" w:eastAsia="Times New Roman" w:hAnsi="Palatino Linotype"/>
                <w:sz w:val="20"/>
                <w:szCs w:val="20"/>
              </w:rPr>
              <w:t>Data Provider</w:t>
            </w:r>
          </w:p>
        </w:tc>
        <w:tc>
          <w:tcPr>
            <w:tcW w:w="1419" w:type="pct"/>
            <w:tcBorders>
              <w:top w:val="nil"/>
              <w:left w:val="nil"/>
              <w:bottom w:val="nil"/>
              <w:right w:val="nil"/>
            </w:tcBorders>
          </w:tcPr>
          <w:p w:rsidR="000763D6" w:rsidRPr="00861A34" w:rsidRDefault="000763D6" w:rsidP="00C00EAD">
            <w:pPr>
              <w:overflowPunct w:val="0"/>
              <w:autoSpaceDE w:val="0"/>
              <w:autoSpaceDN w:val="0"/>
              <w:adjustRightInd w:val="0"/>
              <w:spacing w:before="120" w:after="120" w:line="30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20"/>
                <w:szCs w:val="20"/>
              </w:rPr>
            </w:pPr>
            <w:r w:rsidRPr="00861A34">
              <w:rPr>
                <w:rFonts w:ascii="Palatino Linotype" w:eastAsia="Times New Roman" w:hAnsi="Palatino Linotype"/>
                <w:sz w:val="20"/>
                <w:szCs w:val="20"/>
              </w:rPr>
              <w:t>Data Source</w:t>
            </w:r>
          </w:p>
        </w:tc>
      </w:tr>
      <w:tr w:rsidR="000763D6" w:rsidRPr="00861A34" w:rsidTr="00A953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tcBorders>
              <w:left w:val="none" w:sz="0" w:space="0" w:color="auto"/>
              <w:bottom w:val="none" w:sz="0" w:space="0" w:color="auto"/>
              <w:right w:val="none" w:sz="0" w:space="0" w:color="auto"/>
            </w:tcBorders>
            <w:shd w:val="clear" w:color="auto" w:fill="FFFFFF" w:themeFill="background1"/>
          </w:tcPr>
          <w:p w:rsidR="000763D6" w:rsidRPr="00861A34" w:rsidRDefault="000763D6" w:rsidP="00A810DA">
            <w:pPr>
              <w:overflowPunct w:val="0"/>
              <w:autoSpaceDE w:val="0"/>
              <w:autoSpaceDN w:val="0"/>
              <w:adjustRightInd w:val="0"/>
              <w:spacing w:before="120" w:after="120" w:line="300" w:lineRule="auto"/>
              <w:jc w:val="center"/>
              <w:textAlignment w:val="baseline"/>
              <w:rPr>
                <w:rFonts w:ascii="Palatino Linotype" w:eastAsia="Times New Roman" w:hAnsi="Palatino Linotype"/>
                <w:b w:val="0"/>
                <w:bCs w:val="0"/>
                <w:color w:val="auto"/>
                <w:sz w:val="20"/>
                <w:szCs w:val="20"/>
              </w:rPr>
            </w:pPr>
            <w:r w:rsidRPr="00861A34">
              <w:rPr>
                <w:rFonts w:ascii="Palatino Linotype" w:eastAsia="Times New Roman" w:hAnsi="Palatino Linotype"/>
                <w:color w:val="auto"/>
                <w:sz w:val="20"/>
                <w:szCs w:val="20"/>
              </w:rPr>
              <w:t>Budget</w:t>
            </w:r>
          </w:p>
        </w:tc>
        <w:tc>
          <w:tcPr>
            <w:tcW w:w="1927" w:type="pct"/>
            <w:tcBorders>
              <w:top w:val="nil"/>
              <w:left w:val="none" w:sz="0" w:space="0" w:color="auto"/>
              <w:bottom w:val="none" w:sz="0" w:space="0" w:color="auto"/>
              <w:right w:val="none" w:sz="0" w:space="0" w:color="auto"/>
            </w:tcBorders>
            <w:shd w:val="clear" w:color="auto" w:fill="FFFFFF" w:themeFill="background1"/>
          </w:tcPr>
          <w:p w:rsidR="000763D6" w:rsidRPr="00861A34" w:rsidRDefault="008B734C" w:rsidP="00A810DA">
            <w:pPr>
              <w:overflowPunct w:val="0"/>
              <w:autoSpaceDE w:val="0"/>
              <w:autoSpaceDN w:val="0"/>
              <w:adjustRightInd w:val="0"/>
              <w:spacing w:before="120" w:after="120" w:line="30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20"/>
                <w:szCs w:val="20"/>
              </w:rPr>
            </w:pPr>
            <w:r>
              <w:rPr>
                <w:rFonts w:ascii="Palatino Linotype" w:eastAsia="Times New Roman" w:hAnsi="Palatino Linotype"/>
                <w:sz w:val="20"/>
                <w:szCs w:val="20"/>
              </w:rPr>
              <w:t>Dick Adamson</w:t>
            </w:r>
          </w:p>
        </w:tc>
        <w:tc>
          <w:tcPr>
            <w:tcW w:w="1419" w:type="pct"/>
            <w:tcBorders>
              <w:top w:val="nil"/>
              <w:left w:val="none" w:sz="0" w:space="0" w:color="auto"/>
              <w:bottom w:val="none" w:sz="0" w:space="0" w:color="auto"/>
              <w:right w:val="none" w:sz="0" w:space="0" w:color="auto"/>
            </w:tcBorders>
            <w:shd w:val="clear" w:color="auto" w:fill="FFFFFF" w:themeFill="background1"/>
          </w:tcPr>
          <w:p w:rsidR="000763D6" w:rsidRPr="00861A34" w:rsidRDefault="00836464" w:rsidP="00A810DA">
            <w:pPr>
              <w:overflowPunct w:val="0"/>
              <w:autoSpaceDE w:val="0"/>
              <w:autoSpaceDN w:val="0"/>
              <w:adjustRightInd w:val="0"/>
              <w:spacing w:before="120" w:after="120" w:line="30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20"/>
                <w:szCs w:val="20"/>
              </w:rPr>
            </w:pPr>
            <w:r w:rsidRPr="00861A34">
              <w:rPr>
                <w:rFonts w:ascii="Palatino Linotype" w:eastAsia="Times New Roman" w:hAnsi="Palatino Linotype"/>
                <w:sz w:val="20"/>
                <w:szCs w:val="20"/>
              </w:rPr>
              <w:t xml:space="preserve"> </w:t>
            </w:r>
            <w:r w:rsidR="00C5304E" w:rsidRPr="00861A34">
              <w:rPr>
                <w:rFonts w:ascii="Palatino Linotype" w:eastAsia="Times New Roman" w:hAnsi="Palatino Linotype"/>
                <w:sz w:val="20"/>
                <w:szCs w:val="20"/>
              </w:rPr>
              <w:t>Business Office</w:t>
            </w:r>
          </w:p>
        </w:tc>
      </w:tr>
      <w:tr w:rsidR="000763D6" w:rsidRPr="00861A34" w:rsidTr="00A953C9">
        <w:trPr>
          <w:trHeight w:val="20"/>
        </w:trPr>
        <w:tc>
          <w:tcPr>
            <w:cnfStyle w:val="001000000000" w:firstRow="0" w:lastRow="0" w:firstColumn="1" w:lastColumn="0" w:oddVBand="0" w:evenVBand="0" w:oddHBand="0" w:evenHBand="0" w:firstRowFirstColumn="0" w:firstRowLastColumn="0" w:lastRowFirstColumn="0" w:lastRowLastColumn="0"/>
            <w:tcW w:w="1654" w:type="pct"/>
            <w:tcBorders>
              <w:left w:val="none" w:sz="0" w:space="0" w:color="auto"/>
              <w:bottom w:val="none" w:sz="0" w:space="0" w:color="auto"/>
              <w:right w:val="none" w:sz="0" w:space="0" w:color="auto"/>
            </w:tcBorders>
            <w:shd w:val="clear" w:color="auto" w:fill="FFFFFF" w:themeFill="background1"/>
          </w:tcPr>
          <w:p w:rsidR="000763D6" w:rsidRPr="00861A34" w:rsidRDefault="000763D6" w:rsidP="00A810DA">
            <w:pPr>
              <w:overflowPunct w:val="0"/>
              <w:autoSpaceDE w:val="0"/>
              <w:autoSpaceDN w:val="0"/>
              <w:adjustRightInd w:val="0"/>
              <w:spacing w:before="120" w:after="120" w:line="300" w:lineRule="auto"/>
              <w:jc w:val="center"/>
              <w:textAlignment w:val="baseline"/>
              <w:rPr>
                <w:rFonts w:ascii="Palatino Linotype" w:eastAsia="Times New Roman" w:hAnsi="Palatino Linotype"/>
                <w:b w:val="0"/>
                <w:bCs w:val="0"/>
                <w:color w:val="auto"/>
                <w:sz w:val="20"/>
                <w:szCs w:val="20"/>
              </w:rPr>
            </w:pPr>
            <w:r w:rsidRPr="00861A34">
              <w:rPr>
                <w:rFonts w:ascii="Palatino Linotype" w:eastAsia="Times New Roman" w:hAnsi="Palatino Linotype"/>
                <w:color w:val="auto"/>
                <w:sz w:val="20"/>
                <w:szCs w:val="20"/>
              </w:rPr>
              <w:t>Students</w:t>
            </w:r>
          </w:p>
        </w:tc>
        <w:tc>
          <w:tcPr>
            <w:tcW w:w="1927" w:type="pct"/>
            <w:shd w:val="clear" w:color="auto" w:fill="FFFFFF" w:themeFill="background1"/>
          </w:tcPr>
          <w:p w:rsidR="000763D6" w:rsidRPr="00861A34" w:rsidRDefault="00B82906" w:rsidP="00A810DA">
            <w:pPr>
              <w:overflowPunct w:val="0"/>
              <w:autoSpaceDE w:val="0"/>
              <w:autoSpaceDN w:val="0"/>
              <w:adjustRightInd w:val="0"/>
              <w:spacing w:before="120" w:after="120" w:line="30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20"/>
                <w:szCs w:val="20"/>
              </w:rPr>
            </w:pPr>
            <w:r w:rsidRPr="00861A34">
              <w:rPr>
                <w:rFonts w:ascii="Palatino Linotype" w:eastAsia="Times New Roman" w:hAnsi="Palatino Linotype"/>
                <w:sz w:val="20"/>
                <w:szCs w:val="20"/>
              </w:rPr>
              <w:t>Jane Stro</w:t>
            </w:r>
            <w:r w:rsidR="002810E7" w:rsidRPr="00861A34">
              <w:rPr>
                <w:rFonts w:ascii="Palatino Linotype" w:eastAsia="Times New Roman" w:hAnsi="Palatino Linotype"/>
                <w:sz w:val="20"/>
                <w:szCs w:val="20"/>
              </w:rPr>
              <w:t>mm</w:t>
            </w:r>
            <w:r w:rsidRPr="00861A34">
              <w:rPr>
                <w:rFonts w:ascii="Palatino Linotype" w:eastAsia="Times New Roman" w:hAnsi="Palatino Linotype"/>
                <w:sz w:val="20"/>
                <w:szCs w:val="20"/>
              </w:rPr>
              <w:t>e</w:t>
            </w:r>
          </w:p>
        </w:tc>
        <w:tc>
          <w:tcPr>
            <w:tcW w:w="1419" w:type="pct"/>
            <w:shd w:val="clear" w:color="auto" w:fill="FFFFFF" w:themeFill="background1"/>
          </w:tcPr>
          <w:p w:rsidR="000763D6" w:rsidRPr="00861A34" w:rsidRDefault="00D94540" w:rsidP="00D94540">
            <w:pPr>
              <w:overflowPunct w:val="0"/>
              <w:autoSpaceDE w:val="0"/>
              <w:autoSpaceDN w:val="0"/>
              <w:adjustRightInd w:val="0"/>
              <w:spacing w:before="120" w:after="120" w:line="30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20"/>
                <w:szCs w:val="20"/>
              </w:rPr>
            </w:pPr>
            <w:r w:rsidRPr="00861A34">
              <w:rPr>
                <w:rFonts w:ascii="Palatino Linotype" w:eastAsia="Times New Roman" w:hAnsi="Palatino Linotype"/>
                <w:sz w:val="20"/>
                <w:szCs w:val="20"/>
              </w:rPr>
              <w:t>Office of the Registrar</w:t>
            </w:r>
            <w:r w:rsidRPr="00861A34">
              <w:rPr>
                <w:rFonts w:ascii="Palatino Linotype" w:eastAsia="Times New Roman" w:hAnsi="Palatino Linotype"/>
                <w:sz w:val="20"/>
                <w:szCs w:val="20"/>
              </w:rPr>
              <w:br/>
              <w:t>10</w:t>
            </w:r>
            <w:r w:rsidRPr="00861A34">
              <w:rPr>
                <w:rFonts w:ascii="Palatino Linotype" w:eastAsia="Times New Roman" w:hAnsi="Palatino Linotype"/>
                <w:sz w:val="20"/>
                <w:szCs w:val="20"/>
                <w:vertAlign w:val="superscript"/>
              </w:rPr>
              <w:t>th</w:t>
            </w:r>
            <w:r w:rsidRPr="00861A34">
              <w:rPr>
                <w:rFonts w:ascii="Palatino Linotype" w:eastAsia="Times New Roman" w:hAnsi="Palatino Linotype"/>
                <w:sz w:val="20"/>
                <w:szCs w:val="20"/>
              </w:rPr>
              <w:t xml:space="preserve"> Day Reports</w:t>
            </w:r>
          </w:p>
        </w:tc>
      </w:tr>
      <w:tr w:rsidR="000763D6" w:rsidRPr="00861A34" w:rsidTr="00A953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tcBorders>
              <w:top w:val="none" w:sz="0" w:space="0" w:color="auto"/>
              <w:left w:val="none" w:sz="0" w:space="0" w:color="auto"/>
              <w:bottom w:val="none" w:sz="0" w:space="0" w:color="auto"/>
              <w:right w:val="none" w:sz="0" w:space="0" w:color="auto"/>
            </w:tcBorders>
            <w:shd w:val="clear" w:color="auto" w:fill="FFFFFF" w:themeFill="background1"/>
          </w:tcPr>
          <w:p w:rsidR="000763D6" w:rsidRPr="00861A34" w:rsidRDefault="000763D6" w:rsidP="00A810DA">
            <w:pPr>
              <w:overflowPunct w:val="0"/>
              <w:autoSpaceDE w:val="0"/>
              <w:autoSpaceDN w:val="0"/>
              <w:adjustRightInd w:val="0"/>
              <w:spacing w:before="120" w:after="120" w:line="300" w:lineRule="auto"/>
              <w:jc w:val="center"/>
              <w:textAlignment w:val="baseline"/>
              <w:rPr>
                <w:rFonts w:ascii="Palatino Linotype" w:eastAsia="Times New Roman" w:hAnsi="Palatino Linotype"/>
                <w:b w:val="0"/>
                <w:bCs w:val="0"/>
                <w:color w:val="auto"/>
                <w:sz w:val="20"/>
                <w:szCs w:val="20"/>
              </w:rPr>
            </w:pPr>
            <w:r w:rsidRPr="00861A34">
              <w:rPr>
                <w:rFonts w:ascii="Palatino Linotype" w:eastAsia="Times New Roman" w:hAnsi="Palatino Linotype"/>
                <w:color w:val="auto"/>
                <w:sz w:val="20"/>
                <w:szCs w:val="20"/>
              </w:rPr>
              <w:t>Faculty and Staff</w:t>
            </w:r>
          </w:p>
        </w:tc>
        <w:tc>
          <w:tcPr>
            <w:tcW w:w="1927" w:type="pct"/>
            <w:tcBorders>
              <w:top w:val="none" w:sz="0" w:space="0" w:color="auto"/>
              <w:left w:val="none" w:sz="0" w:space="0" w:color="auto"/>
              <w:bottom w:val="none" w:sz="0" w:space="0" w:color="auto"/>
              <w:right w:val="none" w:sz="0" w:space="0" w:color="auto"/>
            </w:tcBorders>
            <w:shd w:val="clear" w:color="auto" w:fill="FFFFFF" w:themeFill="background1"/>
          </w:tcPr>
          <w:p w:rsidR="000763D6" w:rsidRPr="00861A34" w:rsidRDefault="008B734C" w:rsidP="00B16116">
            <w:pPr>
              <w:overflowPunct w:val="0"/>
              <w:autoSpaceDE w:val="0"/>
              <w:autoSpaceDN w:val="0"/>
              <w:adjustRightInd w:val="0"/>
              <w:spacing w:before="120" w:after="120" w:line="30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20"/>
                <w:szCs w:val="20"/>
              </w:rPr>
            </w:pPr>
            <w:r>
              <w:rPr>
                <w:rFonts w:ascii="Palatino Linotype" w:eastAsia="Times New Roman" w:hAnsi="Palatino Linotype"/>
                <w:sz w:val="20"/>
                <w:szCs w:val="20"/>
              </w:rPr>
              <w:t>Danielle Schmiesing</w:t>
            </w:r>
          </w:p>
        </w:tc>
        <w:tc>
          <w:tcPr>
            <w:tcW w:w="1419" w:type="pct"/>
            <w:tcBorders>
              <w:top w:val="none" w:sz="0" w:space="0" w:color="auto"/>
              <w:left w:val="none" w:sz="0" w:space="0" w:color="auto"/>
              <w:bottom w:val="none" w:sz="0" w:space="0" w:color="auto"/>
              <w:right w:val="none" w:sz="0" w:space="0" w:color="auto"/>
            </w:tcBorders>
            <w:shd w:val="clear" w:color="auto" w:fill="FFFFFF" w:themeFill="background1"/>
          </w:tcPr>
          <w:p w:rsidR="00D94540" w:rsidRPr="00861A34" w:rsidRDefault="00B16116" w:rsidP="00D94540">
            <w:pPr>
              <w:overflowPunct w:val="0"/>
              <w:autoSpaceDE w:val="0"/>
              <w:autoSpaceDN w:val="0"/>
              <w:adjustRightInd w:val="0"/>
              <w:spacing w:before="120" w:after="120" w:line="30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20"/>
                <w:szCs w:val="20"/>
              </w:rPr>
            </w:pPr>
            <w:r w:rsidRPr="00861A34">
              <w:rPr>
                <w:rFonts w:ascii="Palatino Linotype" w:eastAsia="Times New Roman" w:hAnsi="Palatino Linotype"/>
                <w:sz w:val="20"/>
                <w:szCs w:val="20"/>
              </w:rPr>
              <w:t>Human Resources</w:t>
            </w:r>
          </w:p>
        </w:tc>
      </w:tr>
      <w:tr w:rsidR="000763D6" w:rsidRPr="00861A34" w:rsidTr="00A953C9">
        <w:trPr>
          <w:trHeight w:val="20"/>
        </w:trPr>
        <w:tc>
          <w:tcPr>
            <w:cnfStyle w:val="001000000000" w:firstRow="0" w:lastRow="0" w:firstColumn="1" w:lastColumn="0" w:oddVBand="0" w:evenVBand="0" w:oddHBand="0" w:evenHBand="0" w:firstRowFirstColumn="0" w:firstRowLastColumn="0" w:lastRowFirstColumn="0" w:lastRowLastColumn="0"/>
            <w:tcW w:w="1654" w:type="pct"/>
            <w:tcBorders>
              <w:left w:val="none" w:sz="0" w:space="0" w:color="auto"/>
              <w:bottom w:val="none" w:sz="0" w:space="0" w:color="auto"/>
              <w:right w:val="none" w:sz="0" w:space="0" w:color="auto"/>
            </w:tcBorders>
            <w:shd w:val="clear" w:color="auto" w:fill="FFFFFF" w:themeFill="background1"/>
          </w:tcPr>
          <w:p w:rsidR="000763D6" w:rsidRPr="009E0D3A" w:rsidRDefault="000763D6" w:rsidP="00A810DA">
            <w:pPr>
              <w:overflowPunct w:val="0"/>
              <w:autoSpaceDE w:val="0"/>
              <w:autoSpaceDN w:val="0"/>
              <w:adjustRightInd w:val="0"/>
              <w:spacing w:before="120" w:after="120" w:line="300" w:lineRule="auto"/>
              <w:jc w:val="center"/>
              <w:textAlignment w:val="baseline"/>
              <w:rPr>
                <w:rFonts w:ascii="Palatino Linotype" w:eastAsia="Times New Roman" w:hAnsi="Palatino Linotype"/>
                <w:b w:val="0"/>
                <w:bCs w:val="0"/>
                <w:color w:val="auto"/>
                <w:sz w:val="20"/>
                <w:szCs w:val="20"/>
              </w:rPr>
            </w:pPr>
            <w:r w:rsidRPr="009E0D3A">
              <w:rPr>
                <w:rFonts w:ascii="Palatino Linotype" w:eastAsia="Times New Roman" w:hAnsi="Palatino Linotype"/>
                <w:color w:val="auto"/>
                <w:sz w:val="20"/>
                <w:szCs w:val="20"/>
              </w:rPr>
              <w:lastRenderedPageBreak/>
              <w:t>Building square footage</w:t>
            </w:r>
          </w:p>
        </w:tc>
        <w:tc>
          <w:tcPr>
            <w:tcW w:w="1927" w:type="pct"/>
            <w:shd w:val="clear" w:color="auto" w:fill="FFFFFF" w:themeFill="background1"/>
          </w:tcPr>
          <w:p w:rsidR="000763D6" w:rsidRPr="009E0D3A" w:rsidRDefault="009E0D3A" w:rsidP="00A810DA">
            <w:pPr>
              <w:overflowPunct w:val="0"/>
              <w:autoSpaceDE w:val="0"/>
              <w:autoSpaceDN w:val="0"/>
              <w:adjustRightInd w:val="0"/>
              <w:spacing w:before="120" w:after="120" w:line="30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20"/>
                <w:szCs w:val="20"/>
              </w:rPr>
            </w:pPr>
            <w:r w:rsidRPr="009E0D3A">
              <w:rPr>
                <w:rFonts w:ascii="Palatino Linotype" w:eastAsia="Times New Roman" w:hAnsi="Palatino Linotype"/>
                <w:sz w:val="20"/>
                <w:szCs w:val="20"/>
              </w:rPr>
              <w:t>Jean Stottlemyer</w:t>
            </w:r>
          </w:p>
        </w:tc>
        <w:tc>
          <w:tcPr>
            <w:tcW w:w="1419" w:type="pct"/>
            <w:shd w:val="clear" w:color="auto" w:fill="FFFFFF" w:themeFill="background1"/>
          </w:tcPr>
          <w:p w:rsidR="000763D6" w:rsidRPr="009E0D3A" w:rsidRDefault="009E0D3A" w:rsidP="00A810DA">
            <w:pPr>
              <w:overflowPunct w:val="0"/>
              <w:autoSpaceDE w:val="0"/>
              <w:autoSpaceDN w:val="0"/>
              <w:adjustRightInd w:val="0"/>
              <w:spacing w:before="120" w:after="120" w:line="30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20"/>
                <w:szCs w:val="20"/>
              </w:rPr>
            </w:pPr>
            <w:r w:rsidRPr="009E0D3A">
              <w:rPr>
                <w:rFonts w:ascii="Palatino Linotype" w:eastAsia="Times New Roman" w:hAnsi="Palatino Linotype"/>
                <w:sz w:val="20"/>
                <w:szCs w:val="20"/>
              </w:rPr>
              <w:t>Physical Plant Records</w:t>
            </w:r>
          </w:p>
        </w:tc>
      </w:tr>
      <w:tr w:rsidR="009E0D3A" w:rsidRPr="00861A34" w:rsidTr="00A953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tcBorders>
              <w:top w:val="none" w:sz="0" w:space="0" w:color="auto"/>
              <w:left w:val="none" w:sz="0" w:space="0" w:color="auto"/>
              <w:bottom w:val="none" w:sz="0" w:space="0" w:color="auto"/>
              <w:right w:val="none" w:sz="0" w:space="0" w:color="auto"/>
            </w:tcBorders>
            <w:shd w:val="clear" w:color="auto" w:fill="FFFFFF" w:themeFill="background1"/>
          </w:tcPr>
          <w:p w:rsidR="009E0D3A" w:rsidRPr="00567055" w:rsidRDefault="009E0D3A" w:rsidP="009E0D3A">
            <w:pPr>
              <w:overflowPunct w:val="0"/>
              <w:autoSpaceDE w:val="0"/>
              <w:autoSpaceDN w:val="0"/>
              <w:adjustRightInd w:val="0"/>
              <w:spacing w:before="120" w:after="120" w:line="300" w:lineRule="auto"/>
              <w:jc w:val="center"/>
              <w:textAlignment w:val="baseline"/>
              <w:rPr>
                <w:rFonts w:ascii="Palatino Linotype" w:eastAsia="Times New Roman" w:hAnsi="Palatino Linotype"/>
                <w:b w:val="0"/>
                <w:bCs w:val="0"/>
                <w:color w:val="auto"/>
                <w:sz w:val="20"/>
                <w:szCs w:val="20"/>
              </w:rPr>
            </w:pPr>
            <w:r w:rsidRPr="00567055">
              <w:rPr>
                <w:rFonts w:ascii="Palatino Linotype" w:eastAsia="Times New Roman" w:hAnsi="Palatino Linotype"/>
                <w:color w:val="auto"/>
                <w:sz w:val="20"/>
                <w:szCs w:val="20"/>
              </w:rPr>
              <w:t>Campus Fleet</w:t>
            </w:r>
          </w:p>
        </w:tc>
        <w:tc>
          <w:tcPr>
            <w:tcW w:w="1927" w:type="pct"/>
            <w:tcBorders>
              <w:top w:val="none" w:sz="0" w:space="0" w:color="auto"/>
              <w:left w:val="none" w:sz="0" w:space="0" w:color="auto"/>
              <w:bottom w:val="none" w:sz="0" w:space="0" w:color="auto"/>
              <w:right w:val="none" w:sz="0" w:space="0" w:color="auto"/>
            </w:tcBorders>
            <w:shd w:val="clear" w:color="auto" w:fill="FFFFFF" w:themeFill="background1"/>
          </w:tcPr>
          <w:p w:rsidR="009E0D3A" w:rsidRPr="00567055" w:rsidRDefault="00244CF3" w:rsidP="00567055">
            <w:pPr>
              <w:overflowPunct w:val="0"/>
              <w:autoSpaceDE w:val="0"/>
              <w:autoSpaceDN w:val="0"/>
              <w:adjustRightInd w:val="0"/>
              <w:spacing w:before="120" w:after="120" w:line="30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20"/>
                <w:szCs w:val="20"/>
              </w:rPr>
            </w:pPr>
            <w:r w:rsidRPr="00567055">
              <w:rPr>
                <w:rFonts w:ascii="Palatino Linotype" w:eastAsia="Times New Roman" w:hAnsi="Palatino Linotype"/>
                <w:sz w:val="20"/>
                <w:szCs w:val="20"/>
              </w:rPr>
              <w:t>Richard Crawford</w:t>
            </w:r>
          </w:p>
        </w:tc>
        <w:tc>
          <w:tcPr>
            <w:tcW w:w="1419" w:type="pct"/>
            <w:tcBorders>
              <w:top w:val="none" w:sz="0" w:space="0" w:color="auto"/>
              <w:left w:val="none" w:sz="0" w:space="0" w:color="auto"/>
              <w:bottom w:val="none" w:sz="0" w:space="0" w:color="auto"/>
              <w:right w:val="none" w:sz="0" w:space="0" w:color="auto"/>
            </w:tcBorders>
            <w:shd w:val="clear" w:color="auto" w:fill="FFFFFF" w:themeFill="background1"/>
          </w:tcPr>
          <w:p w:rsidR="009E0D3A" w:rsidRPr="00567055" w:rsidRDefault="008E048E" w:rsidP="009E0D3A">
            <w:pPr>
              <w:overflowPunct w:val="0"/>
              <w:autoSpaceDE w:val="0"/>
              <w:autoSpaceDN w:val="0"/>
              <w:adjustRightInd w:val="0"/>
              <w:spacing w:before="120" w:after="120" w:line="30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20"/>
                <w:szCs w:val="20"/>
              </w:rPr>
            </w:pPr>
            <w:r>
              <w:rPr>
                <w:rFonts w:ascii="Palatino Linotype" w:eastAsia="Times New Roman" w:hAnsi="Palatino Linotype"/>
                <w:sz w:val="20"/>
                <w:szCs w:val="20"/>
              </w:rPr>
              <w:t xml:space="preserve">Abbey Business Office Records, </w:t>
            </w:r>
            <w:r w:rsidR="009E0D3A" w:rsidRPr="00567055">
              <w:rPr>
                <w:rFonts w:ascii="Palatino Linotype" w:eastAsia="Times New Roman" w:hAnsi="Palatino Linotype"/>
                <w:sz w:val="20"/>
                <w:szCs w:val="20"/>
              </w:rPr>
              <w:t xml:space="preserve">Receipts </w:t>
            </w:r>
          </w:p>
        </w:tc>
      </w:tr>
      <w:tr w:rsidR="009E0D3A" w:rsidRPr="00861A34" w:rsidTr="005349AD">
        <w:trPr>
          <w:trHeight w:val="20"/>
        </w:trPr>
        <w:tc>
          <w:tcPr>
            <w:cnfStyle w:val="001000000000" w:firstRow="0" w:lastRow="0" w:firstColumn="1" w:lastColumn="0" w:oddVBand="0" w:evenVBand="0" w:oddHBand="0" w:evenHBand="0" w:firstRowFirstColumn="0" w:firstRowLastColumn="0" w:lastRowFirstColumn="0" w:lastRowLastColumn="0"/>
            <w:tcW w:w="1654" w:type="pct"/>
            <w:tcBorders>
              <w:top w:val="single" w:sz="4" w:space="0" w:color="auto"/>
              <w:left w:val="none" w:sz="0" w:space="0" w:color="auto"/>
              <w:bottom w:val="none" w:sz="0" w:space="0" w:color="auto"/>
              <w:right w:val="none" w:sz="0" w:space="0" w:color="auto"/>
            </w:tcBorders>
            <w:shd w:val="clear" w:color="auto" w:fill="FFFFFF" w:themeFill="background1"/>
          </w:tcPr>
          <w:p w:rsidR="009E0D3A" w:rsidRPr="00861A34" w:rsidRDefault="009E0D3A" w:rsidP="009E0D3A">
            <w:pPr>
              <w:overflowPunct w:val="0"/>
              <w:autoSpaceDE w:val="0"/>
              <w:autoSpaceDN w:val="0"/>
              <w:adjustRightInd w:val="0"/>
              <w:spacing w:before="120" w:after="120" w:line="300" w:lineRule="auto"/>
              <w:jc w:val="center"/>
              <w:textAlignment w:val="baseline"/>
              <w:rPr>
                <w:rFonts w:ascii="Palatino Linotype" w:eastAsia="Times New Roman" w:hAnsi="Palatino Linotype"/>
                <w:b w:val="0"/>
                <w:bCs w:val="0"/>
                <w:color w:val="auto"/>
                <w:sz w:val="20"/>
                <w:szCs w:val="20"/>
              </w:rPr>
            </w:pPr>
            <w:r w:rsidRPr="00861A34">
              <w:rPr>
                <w:rFonts w:ascii="Palatino Linotype" w:eastAsia="Times New Roman" w:hAnsi="Palatino Linotype"/>
                <w:color w:val="auto"/>
                <w:sz w:val="20"/>
                <w:szCs w:val="20"/>
              </w:rPr>
              <w:t>Refrigerants</w:t>
            </w:r>
          </w:p>
        </w:tc>
        <w:tc>
          <w:tcPr>
            <w:tcW w:w="1927" w:type="pct"/>
            <w:shd w:val="clear" w:color="auto" w:fill="FFFFFF" w:themeFill="background1"/>
          </w:tcPr>
          <w:p w:rsidR="009E0D3A" w:rsidRPr="00861A34" w:rsidRDefault="009E0D3A" w:rsidP="009E0D3A">
            <w:pPr>
              <w:overflowPunct w:val="0"/>
              <w:autoSpaceDE w:val="0"/>
              <w:autoSpaceDN w:val="0"/>
              <w:adjustRightInd w:val="0"/>
              <w:spacing w:before="120" w:after="120" w:line="30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20"/>
                <w:szCs w:val="20"/>
              </w:rPr>
            </w:pPr>
            <w:r w:rsidRPr="00861A34">
              <w:rPr>
                <w:rFonts w:ascii="Palatino Linotype" w:eastAsia="Times New Roman" w:hAnsi="Palatino Linotype"/>
                <w:sz w:val="20"/>
                <w:szCs w:val="20"/>
              </w:rPr>
              <w:t>David Schlumpberger</w:t>
            </w:r>
          </w:p>
        </w:tc>
        <w:tc>
          <w:tcPr>
            <w:tcW w:w="1419" w:type="pct"/>
            <w:shd w:val="clear" w:color="auto" w:fill="FFFFFF" w:themeFill="background1"/>
          </w:tcPr>
          <w:p w:rsidR="009E0D3A" w:rsidRPr="00861A34" w:rsidRDefault="009E0D3A" w:rsidP="009E0D3A">
            <w:pPr>
              <w:overflowPunct w:val="0"/>
              <w:autoSpaceDE w:val="0"/>
              <w:autoSpaceDN w:val="0"/>
              <w:adjustRightInd w:val="0"/>
              <w:spacing w:before="120" w:after="120" w:line="30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20"/>
                <w:szCs w:val="20"/>
              </w:rPr>
            </w:pPr>
            <w:r w:rsidRPr="00861A34">
              <w:rPr>
                <w:rFonts w:ascii="Palatino Linotype" w:eastAsia="Times New Roman" w:hAnsi="Palatino Linotype"/>
                <w:sz w:val="20"/>
                <w:szCs w:val="20"/>
              </w:rPr>
              <w:t>Receipts</w:t>
            </w:r>
          </w:p>
        </w:tc>
      </w:tr>
      <w:tr w:rsidR="009E0D3A" w:rsidRPr="00861A34" w:rsidTr="00A953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tcBorders>
              <w:top w:val="none" w:sz="0" w:space="0" w:color="auto"/>
              <w:left w:val="none" w:sz="0" w:space="0" w:color="auto"/>
              <w:bottom w:val="none" w:sz="0" w:space="0" w:color="auto"/>
              <w:right w:val="none" w:sz="0" w:space="0" w:color="auto"/>
            </w:tcBorders>
            <w:shd w:val="clear" w:color="auto" w:fill="FFFFFF" w:themeFill="background1"/>
          </w:tcPr>
          <w:p w:rsidR="009E0D3A" w:rsidRPr="009E0D3A" w:rsidRDefault="009E0D3A" w:rsidP="009E0D3A">
            <w:pPr>
              <w:overflowPunct w:val="0"/>
              <w:autoSpaceDE w:val="0"/>
              <w:autoSpaceDN w:val="0"/>
              <w:adjustRightInd w:val="0"/>
              <w:spacing w:before="120" w:after="120" w:line="300" w:lineRule="auto"/>
              <w:jc w:val="center"/>
              <w:textAlignment w:val="baseline"/>
              <w:rPr>
                <w:rFonts w:ascii="Palatino Linotype" w:eastAsia="Times New Roman" w:hAnsi="Palatino Linotype"/>
                <w:b w:val="0"/>
                <w:bCs w:val="0"/>
                <w:color w:val="auto"/>
                <w:sz w:val="20"/>
                <w:szCs w:val="20"/>
              </w:rPr>
            </w:pPr>
            <w:r w:rsidRPr="009E0D3A">
              <w:rPr>
                <w:rFonts w:ascii="Palatino Linotype" w:eastAsia="Times New Roman" w:hAnsi="Palatino Linotype"/>
                <w:color w:val="auto"/>
                <w:sz w:val="20"/>
                <w:szCs w:val="20"/>
              </w:rPr>
              <w:t>Purchased Electricity</w:t>
            </w:r>
          </w:p>
        </w:tc>
        <w:tc>
          <w:tcPr>
            <w:tcW w:w="1927" w:type="pct"/>
            <w:tcBorders>
              <w:top w:val="none" w:sz="0" w:space="0" w:color="auto"/>
              <w:left w:val="none" w:sz="0" w:space="0" w:color="auto"/>
              <w:bottom w:val="none" w:sz="0" w:space="0" w:color="auto"/>
              <w:right w:val="none" w:sz="0" w:space="0" w:color="auto"/>
            </w:tcBorders>
            <w:shd w:val="clear" w:color="auto" w:fill="FFFFFF" w:themeFill="background1"/>
          </w:tcPr>
          <w:p w:rsidR="009E0D3A" w:rsidRPr="009E0D3A" w:rsidRDefault="009E0D3A" w:rsidP="009E0D3A">
            <w:pPr>
              <w:overflowPunct w:val="0"/>
              <w:autoSpaceDE w:val="0"/>
              <w:autoSpaceDN w:val="0"/>
              <w:adjustRightInd w:val="0"/>
              <w:spacing w:before="120" w:after="120" w:line="30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20"/>
                <w:szCs w:val="20"/>
              </w:rPr>
            </w:pPr>
            <w:r w:rsidRPr="009E0D3A">
              <w:rPr>
                <w:rFonts w:ascii="Palatino Linotype" w:eastAsia="Times New Roman" w:hAnsi="Palatino Linotype"/>
                <w:sz w:val="20"/>
                <w:szCs w:val="20"/>
              </w:rPr>
              <w:t>Tom Vogel</w:t>
            </w:r>
          </w:p>
        </w:tc>
        <w:tc>
          <w:tcPr>
            <w:tcW w:w="1419" w:type="pct"/>
            <w:tcBorders>
              <w:top w:val="none" w:sz="0" w:space="0" w:color="auto"/>
              <w:left w:val="none" w:sz="0" w:space="0" w:color="auto"/>
              <w:bottom w:val="none" w:sz="0" w:space="0" w:color="auto"/>
              <w:right w:val="none" w:sz="0" w:space="0" w:color="auto"/>
            </w:tcBorders>
            <w:shd w:val="clear" w:color="auto" w:fill="FFFFFF" w:themeFill="background1"/>
          </w:tcPr>
          <w:p w:rsidR="009E0D3A" w:rsidRPr="009E0D3A" w:rsidRDefault="009E0D3A" w:rsidP="009E0D3A">
            <w:pPr>
              <w:overflowPunct w:val="0"/>
              <w:autoSpaceDE w:val="0"/>
              <w:autoSpaceDN w:val="0"/>
              <w:adjustRightInd w:val="0"/>
              <w:spacing w:before="120" w:after="120" w:line="30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20"/>
                <w:szCs w:val="20"/>
              </w:rPr>
            </w:pPr>
            <w:r w:rsidRPr="009E0D3A">
              <w:rPr>
                <w:rFonts w:ascii="Palatino Linotype" w:eastAsia="Times New Roman" w:hAnsi="Palatino Linotype"/>
                <w:sz w:val="20"/>
                <w:szCs w:val="20"/>
              </w:rPr>
              <w:t>Physical Plant Records</w:t>
            </w:r>
          </w:p>
        </w:tc>
      </w:tr>
      <w:tr w:rsidR="009E0D3A" w:rsidRPr="00861A34" w:rsidTr="00AA5A41">
        <w:trPr>
          <w:trHeight w:val="20"/>
        </w:trPr>
        <w:tc>
          <w:tcPr>
            <w:cnfStyle w:val="001000000000" w:firstRow="0" w:lastRow="0" w:firstColumn="1" w:lastColumn="0" w:oddVBand="0" w:evenVBand="0" w:oddHBand="0" w:evenHBand="0" w:firstRowFirstColumn="0" w:firstRowLastColumn="0" w:lastRowFirstColumn="0" w:lastRowLastColumn="0"/>
            <w:tcW w:w="1654" w:type="pct"/>
            <w:tcBorders>
              <w:top w:val="single" w:sz="4" w:space="0" w:color="auto"/>
              <w:left w:val="none" w:sz="0" w:space="0" w:color="auto"/>
              <w:bottom w:val="none" w:sz="0" w:space="0" w:color="auto"/>
              <w:right w:val="none" w:sz="0" w:space="0" w:color="auto"/>
            </w:tcBorders>
            <w:shd w:val="clear" w:color="auto" w:fill="FFFFFF" w:themeFill="background1"/>
          </w:tcPr>
          <w:p w:rsidR="009E0D3A" w:rsidRPr="0074671D" w:rsidRDefault="009E0D3A" w:rsidP="009E0D3A">
            <w:pPr>
              <w:overflowPunct w:val="0"/>
              <w:autoSpaceDE w:val="0"/>
              <w:autoSpaceDN w:val="0"/>
              <w:adjustRightInd w:val="0"/>
              <w:spacing w:before="120" w:after="120" w:line="300" w:lineRule="auto"/>
              <w:jc w:val="center"/>
              <w:textAlignment w:val="baseline"/>
              <w:rPr>
                <w:rFonts w:ascii="Palatino Linotype" w:eastAsia="Times New Roman" w:hAnsi="Palatino Linotype"/>
                <w:b w:val="0"/>
                <w:bCs w:val="0"/>
                <w:color w:val="auto"/>
                <w:sz w:val="20"/>
                <w:szCs w:val="20"/>
              </w:rPr>
            </w:pPr>
            <w:r>
              <w:rPr>
                <w:rFonts w:ascii="Palatino Linotype" w:eastAsia="Times New Roman" w:hAnsi="Palatino Linotype"/>
                <w:color w:val="auto"/>
                <w:sz w:val="20"/>
                <w:szCs w:val="20"/>
              </w:rPr>
              <w:t xml:space="preserve">On-Campus </w:t>
            </w:r>
            <w:r w:rsidRPr="0074671D">
              <w:rPr>
                <w:rFonts w:ascii="Palatino Linotype" w:eastAsia="Times New Roman" w:hAnsi="Palatino Linotype"/>
                <w:color w:val="auto"/>
                <w:sz w:val="20"/>
                <w:szCs w:val="20"/>
              </w:rPr>
              <w:t>Electricity and Steam Production</w:t>
            </w:r>
          </w:p>
        </w:tc>
        <w:tc>
          <w:tcPr>
            <w:tcW w:w="1927" w:type="pct"/>
            <w:shd w:val="clear" w:color="auto" w:fill="FFFFFF" w:themeFill="background1"/>
          </w:tcPr>
          <w:p w:rsidR="009E0D3A" w:rsidRPr="0074671D" w:rsidRDefault="009E0D3A" w:rsidP="009E0D3A">
            <w:pPr>
              <w:overflowPunct w:val="0"/>
              <w:autoSpaceDE w:val="0"/>
              <w:autoSpaceDN w:val="0"/>
              <w:adjustRightInd w:val="0"/>
              <w:spacing w:before="120" w:after="120" w:line="30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20"/>
                <w:szCs w:val="20"/>
              </w:rPr>
            </w:pPr>
            <w:r w:rsidRPr="0074671D">
              <w:rPr>
                <w:rFonts w:ascii="Palatino Linotype" w:eastAsia="Times New Roman" w:hAnsi="Palatino Linotype"/>
                <w:sz w:val="20"/>
                <w:szCs w:val="20"/>
              </w:rPr>
              <w:t>Tom Vogel, Dan DeMars</w:t>
            </w:r>
          </w:p>
        </w:tc>
        <w:tc>
          <w:tcPr>
            <w:tcW w:w="1419" w:type="pct"/>
            <w:shd w:val="clear" w:color="auto" w:fill="FFFFFF" w:themeFill="background1"/>
          </w:tcPr>
          <w:p w:rsidR="009E0D3A" w:rsidRPr="0074671D" w:rsidRDefault="009E0D3A" w:rsidP="009E0D3A">
            <w:pPr>
              <w:overflowPunct w:val="0"/>
              <w:autoSpaceDE w:val="0"/>
              <w:autoSpaceDN w:val="0"/>
              <w:adjustRightInd w:val="0"/>
              <w:spacing w:before="120" w:after="120" w:line="30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20"/>
                <w:szCs w:val="20"/>
              </w:rPr>
            </w:pPr>
            <w:r w:rsidRPr="0074671D">
              <w:rPr>
                <w:rFonts w:ascii="Palatino Linotype" w:eastAsia="Times New Roman" w:hAnsi="Palatino Linotype"/>
                <w:sz w:val="20"/>
                <w:szCs w:val="20"/>
              </w:rPr>
              <w:t>Physical Plant Records</w:t>
            </w:r>
            <w:r>
              <w:rPr>
                <w:rFonts w:ascii="Palatino Linotype" w:eastAsia="Times New Roman" w:hAnsi="Palatino Linotype"/>
                <w:sz w:val="20"/>
                <w:szCs w:val="20"/>
              </w:rPr>
              <w:t>,</w:t>
            </w:r>
          </w:p>
        </w:tc>
      </w:tr>
      <w:tr w:rsidR="009E0D3A" w:rsidRPr="00861A34" w:rsidTr="0074671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tcBorders>
              <w:left w:val="single" w:sz="4" w:space="0" w:color="auto"/>
              <w:right w:val="single" w:sz="4" w:space="0" w:color="auto"/>
            </w:tcBorders>
            <w:shd w:val="clear" w:color="auto" w:fill="FFFFFF" w:themeFill="background1"/>
          </w:tcPr>
          <w:p w:rsidR="009E0D3A" w:rsidRDefault="009E0D3A" w:rsidP="009E0D3A">
            <w:pPr>
              <w:overflowPunct w:val="0"/>
              <w:autoSpaceDE w:val="0"/>
              <w:autoSpaceDN w:val="0"/>
              <w:adjustRightInd w:val="0"/>
              <w:spacing w:before="120" w:after="120" w:line="300" w:lineRule="auto"/>
              <w:jc w:val="center"/>
              <w:textAlignment w:val="baseline"/>
              <w:rPr>
                <w:rFonts w:ascii="Palatino Linotype" w:eastAsia="Times New Roman" w:hAnsi="Palatino Linotype"/>
                <w:sz w:val="20"/>
                <w:szCs w:val="20"/>
                <w:highlight w:val="yellow"/>
              </w:rPr>
            </w:pPr>
            <w:r>
              <w:rPr>
                <w:rFonts w:ascii="Palatino Linotype" w:eastAsia="Times New Roman" w:hAnsi="Palatino Linotype"/>
                <w:color w:val="auto"/>
                <w:sz w:val="20"/>
                <w:szCs w:val="20"/>
              </w:rPr>
              <w:t>Student</w:t>
            </w:r>
            <w:r w:rsidRPr="0074671D">
              <w:rPr>
                <w:rFonts w:ascii="Palatino Linotype" w:eastAsia="Times New Roman" w:hAnsi="Palatino Linotype"/>
                <w:color w:val="auto"/>
                <w:sz w:val="20"/>
                <w:szCs w:val="20"/>
              </w:rPr>
              <w:t xml:space="preserve"> Commuting</w:t>
            </w:r>
          </w:p>
        </w:tc>
        <w:tc>
          <w:tcPr>
            <w:tcW w:w="1927" w:type="pct"/>
            <w:tcBorders>
              <w:top w:val="single" w:sz="4" w:space="0" w:color="auto"/>
              <w:left w:val="single" w:sz="4" w:space="0" w:color="auto"/>
              <w:bottom w:val="single" w:sz="4" w:space="0" w:color="auto"/>
              <w:right w:val="single" w:sz="4" w:space="0" w:color="auto"/>
            </w:tcBorders>
            <w:shd w:val="clear" w:color="auto" w:fill="FFFFFF" w:themeFill="background1"/>
          </w:tcPr>
          <w:p w:rsidR="009E0D3A" w:rsidRPr="0074671D" w:rsidRDefault="009E0D3A" w:rsidP="009E0D3A">
            <w:pPr>
              <w:overflowPunct w:val="0"/>
              <w:autoSpaceDE w:val="0"/>
              <w:autoSpaceDN w:val="0"/>
              <w:adjustRightInd w:val="0"/>
              <w:spacing w:before="120" w:after="120" w:line="30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20"/>
                <w:szCs w:val="20"/>
              </w:rPr>
            </w:pPr>
            <w:r w:rsidRPr="0074671D">
              <w:rPr>
                <w:rFonts w:ascii="Palatino Linotype" w:eastAsia="Times New Roman" w:hAnsi="Palatino Linotype"/>
                <w:sz w:val="20"/>
                <w:szCs w:val="20"/>
              </w:rPr>
              <w:t>Jacob Saffert, Jean Lavigne</w:t>
            </w:r>
          </w:p>
        </w:tc>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tcPr>
          <w:p w:rsidR="009E0D3A" w:rsidRPr="0074671D" w:rsidRDefault="009E0D3A" w:rsidP="009E0D3A">
            <w:pPr>
              <w:overflowPunct w:val="0"/>
              <w:autoSpaceDE w:val="0"/>
              <w:autoSpaceDN w:val="0"/>
              <w:adjustRightInd w:val="0"/>
              <w:spacing w:before="120" w:after="120" w:line="30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20"/>
                <w:szCs w:val="20"/>
              </w:rPr>
            </w:pPr>
            <w:r w:rsidRPr="0074671D">
              <w:rPr>
                <w:rFonts w:ascii="Palatino Linotype" w:eastAsia="Times New Roman" w:hAnsi="Palatino Linotype"/>
                <w:sz w:val="20"/>
                <w:szCs w:val="20"/>
              </w:rPr>
              <w:t>Past GHG Inventory</w:t>
            </w:r>
          </w:p>
        </w:tc>
      </w:tr>
      <w:tr w:rsidR="009E0D3A" w:rsidRPr="00861A34" w:rsidTr="00A953C9">
        <w:trPr>
          <w:trHeight w:val="20"/>
        </w:trPr>
        <w:tc>
          <w:tcPr>
            <w:cnfStyle w:val="001000000000" w:firstRow="0" w:lastRow="0" w:firstColumn="1" w:lastColumn="0" w:oddVBand="0" w:evenVBand="0" w:oddHBand="0" w:evenHBand="0" w:firstRowFirstColumn="0" w:firstRowLastColumn="0" w:lastRowFirstColumn="0" w:lastRowLastColumn="0"/>
            <w:tcW w:w="1654" w:type="pct"/>
            <w:tcBorders>
              <w:top w:val="none" w:sz="0" w:space="0" w:color="auto"/>
              <w:left w:val="none" w:sz="0" w:space="0" w:color="auto"/>
              <w:bottom w:val="none" w:sz="0" w:space="0" w:color="auto"/>
              <w:right w:val="none" w:sz="0" w:space="0" w:color="auto"/>
            </w:tcBorders>
            <w:shd w:val="clear" w:color="auto" w:fill="FFFFFF" w:themeFill="background1"/>
          </w:tcPr>
          <w:p w:rsidR="009E0D3A" w:rsidRPr="008B734C" w:rsidRDefault="009E0D3A" w:rsidP="009E0D3A">
            <w:pPr>
              <w:overflowPunct w:val="0"/>
              <w:autoSpaceDE w:val="0"/>
              <w:autoSpaceDN w:val="0"/>
              <w:adjustRightInd w:val="0"/>
              <w:spacing w:before="120" w:after="120" w:line="300" w:lineRule="auto"/>
              <w:jc w:val="center"/>
              <w:textAlignment w:val="baseline"/>
              <w:rPr>
                <w:rFonts w:ascii="Palatino Linotype" w:eastAsia="Times New Roman" w:hAnsi="Palatino Linotype"/>
                <w:b w:val="0"/>
                <w:bCs w:val="0"/>
                <w:color w:val="auto"/>
                <w:sz w:val="20"/>
                <w:szCs w:val="20"/>
                <w:highlight w:val="yellow"/>
              </w:rPr>
            </w:pPr>
            <w:r w:rsidRPr="0074671D">
              <w:rPr>
                <w:rFonts w:ascii="Palatino Linotype" w:eastAsia="Times New Roman" w:hAnsi="Palatino Linotype"/>
                <w:color w:val="auto"/>
                <w:sz w:val="20"/>
                <w:szCs w:val="20"/>
              </w:rPr>
              <w:t>Employee Commuting</w:t>
            </w:r>
          </w:p>
        </w:tc>
        <w:tc>
          <w:tcPr>
            <w:tcW w:w="1927" w:type="pct"/>
            <w:shd w:val="clear" w:color="auto" w:fill="FFFFFF" w:themeFill="background1"/>
          </w:tcPr>
          <w:p w:rsidR="009E0D3A" w:rsidRPr="008B734C" w:rsidRDefault="009E0D3A" w:rsidP="009E0D3A">
            <w:pPr>
              <w:overflowPunct w:val="0"/>
              <w:autoSpaceDE w:val="0"/>
              <w:autoSpaceDN w:val="0"/>
              <w:adjustRightInd w:val="0"/>
              <w:spacing w:before="120" w:after="120" w:line="30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20"/>
                <w:szCs w:val="20"/>
                <w:highlight w:val="yellow"/>
              </w:rPr>
            </w:pPr>
            <w:r w:rsidRPr="0074671D">
              <w:rPr>
                <w:rFonts w:ascii="Palatino Linotype" w:eastAsia="Times New Roman" w:hAnsi="Palatino Linotype"/>
                <w:sz w:val="20"/>
                <w:szCs w:val="20"/>
              </w:rPr>
              <w:t>Danielle Schmiesing</w:t>
            </w:r>
          </w:p>
        </w:tc>
        <w:tc>
          <w:tcPr>
            <w:tcW w:w="1419" w:type="pct"/>
            <w:shd w:val="clear" w:color="auto" w:fill="FFFFFF" w:themeFill="background1"/>
          </w:tcPr>
          <w:p w:rsidR="009E0D3A" w:rsidRPr="008B734C" w:rsidRDefault="009E0D3A" w:rsidP="009E0D3A">
            <w:pPr>
              <w:overflowPunct w:val="0"/>
              <w:autoSpaceDE w:val="0"/>
              <w:autoSpaceDN w:val="0"/>
              <w:adjustRightInd w:val="0"/>
              <w:spacing w:before="120" w:after="120" w:line="30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20"/>
                <w:szCs w:val="20"/>
                <w:highlight w:val="yellow"/>
              </w:rPr>
            </w:pPr>
            <w:r>
              <w:rPr>
                <w:rFonts w:ascii="Palatino Linotype" w:eastAsia="Times New Roman" w:hAnsi="Palatino Linotype"/>
                <w:sz w:val="20"/>
                <w:szCs w:val="20"/>
              </w:rPr>
              <w:t>Human Resources</w:t>
            </w:r>
          </w:p>
        </w:tc>
      </w:tr>
      <w:tr w:rsidR="009E0D3A" w:rsidRPr="00861A34" w:rsidTr="0074671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tcBorders>
              <w:left w:val="none" w:sz="0" w:space="0" w:color="auto"/>
              <w:bottom w:val="none" w:sz="0" w:space="0" w:color="auto"/>
              <w:right w:val="single" w:sz="4" w:space="0" w:color="auto"/>
            </w:tcBorders>
            <w:shd w:val="clear" w:color="auto" w:fill="FFFFFF" w:themeFill="background1"/>
          </w:tcPr>
          <w:p w:rsidR="009E0D3A" w:rsidRPr="00861A34" w:rsidRDefault="009E0D3A" w:rsidP="009E0D3A">
            <w:pPr>
              <w:overflowPunct w:val="0"/>
              <w:autoSpaceDE w:val="0"/>
              <w:autoSpaceDN w:val="0"/>
              <w:adjustRightInd w:val="0"/>
              <w:spacing w:before="120" w:after="120" w:line="300" w:lineRule="auto"/>
              <w:jc w:val="center"/>
              <w:textAlignment w:val="baseline"/>
              <w:rPr>
                <w:rFonts w:ascii="Palatino Linotype" w:eastAsia="Times New Roman" w:hAnsi="Palatino Linotype"/>
                <w:b w:val="0"/>
                <w:bCs w:val="0"/>
                <w:color w:val="auto"/>
                <w:sz w:val="20"/>
                <w:szCs w:val="20"/>
              </w:rPr>
            </w:pPr>
            <w:r w:rsidRPr="00861A34">
              <w:rPr>
                <w:rFonts w:ascii="Palatino Linotype" w:eastAsia="Times New Roman" w:hAnsi="Palatino Linotype"/>
                <w:color w:val="auto"/>
                <w:sz w:val="20"/>
                <w:szCs w:val="20"/>
              </w:rPr>
              <w:t>Study Abroad Air Travel</w:t>
            </w:r>
          </w:p>
        </w:tc>
        <w:tc>
          <w:tcPr>
            <w:tcW w:w="1927" w:type="pct"/>
            <w:tcBorders>
              <w:top w:val="single" w:sz="4" w:space="0" w:color="auto"/>
              <w:left w:val="single" w:sz="4" w:space="0" w:color="auto"/>
              <w:bottom w:val="single" w:sz="4" w:space="0" w:color="auto"/>
              <w:right w:val="single" w:sz="4" w:space="0" w:color="auto"/>
            </w:tcBorders>
            <w:shd w:val="clear" w:color="auto" w:fill="FFFFFF" w:themeFill="background1"/>
          </w:tcPr>
          <w:p w:rsidR="009E0D3A" w:rsidRPr="00861A34" w:rsidRDefault="009E0D3A" w:rsidP="009E0D3A">
            <w:pPr>
              <w:overflowPunct w:val="0"/>
              <w:autoSpaceDE w:val="0"/>
              <w:autoSpaceDN w:val="0"/>
              <w:adjustRightInd w:val="0"/>
              <w:spacing w:before="120" w:after="120" w:line="30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20"/>
                <w:szCs w:val="20"/>
              </w:rPr>
            </w:pPr>
            <w:r>
              <w:rPr>
                <w:rFonts w:ascii="Palatino Linotype" w:eastAsia="Times New Roman" w:hAnsi="Palatino Linotype"/>
                <w:sz w:val="20"/>
                <w:szCs w:val="20"/>
              </w:rPr>
              <w:t>Merry Hoppert, Katherine Kamakahi</w:t>
            </w:r>
          </w:p>
        </w:tc>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tcPr>
          <w:p w:rsidR="009E0D3A" w:rsidRPr="00861A34" w:rsidRDefault="009E0D3A" w:rsidP="009E0D3A">
            <w:pPr>
              <w:overflowPunct w:val="0"/>
              <w:autoSpaceDE w:val="0"/>
              <w:autoSpaceDN w:val="0"/>
              <w:adjustRightInd w:val="0"/>
              <w:spacing w:before="120" w:after="120" w:line="30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20"/>
                <w:szCs w:val="20"/>
              </w:rPr>
            </w:pPr>
            <w:r w:rsidRPr="00861A34">
              <w:rPr>
                <w:rFonts w:ascii="Palatino Linotype" w:eastAsia="Times New Roman" w:hAnsi="Palatino Linotype"/>
                <w:sz w:val="20"/>
                <w:szCs w:val="20"/>
              </w:rPr>
              <w:t>Study Abroad Spreadsheet</w:t>
            </w:r>
          </w:p>
        </w:tc>
      </w:tr>
      <w:tr w:rsidR="009E0D3A" w:rsidRPr="00861A34" w:rsidTr="00A953C9">
        <w:trPr>
          <w:trHeight w:val="20"/>
        </w:trPr>
        <w:tc>
          <w:tcPr>
            <w:cnfStyle w:val="001000000000" w:firstRow="0" w:lastRow="0" w:firstColumn="1" w:lastColumn="0" w:oddVBand="0" w:evenVBand="0" w:oddHBand="0" w:evenHBand="0" w:firstRowFirstColumn="0" w:firstRowLastColumn="0" w:lastRowFirstColumn="0" w:lastRowLastColumn="0"/>
            <w:tcW w:w="1654" w:type="pct"/>
            <w:tcBorders>
              <w:top w:val="none" w:sz="0" w:space="0" w:color="auto"/>
              <w:left w:val="none" w:sz="0" w:space="0" w:color="auto"/>
              <w:bottom w:val="none" w:sz="0" w:space="0" w:color="auto"/>
              <w:right w:val="none" w:sz="0" w:space="0" w:color="auto"/>
            </w:tcBorders>
            <w:shd w:val="clear" w:color="auto" w:fill="FFFFFF" w:themeFill="background1"/>
          </w:tcPr>
          <w:p w:rsidR="009E0D3A" w:rsidRPr="00861A34" w:rsidRDefault="009E0D3A" w:rsidP="009E0D3A">
            <w:pPr>
              <w:overflowPunct w:val="0"/>
              <w:autoSpaceDE w:val="0"/>
              <w:autoSpaceDN w:val="0"/>
              <w:adjustRightInd w:val="0"/>
              <w:spacing w:before="120" w:after="120" w:line="300" w:lineRule="auto"/>
              <w:jc w:val="center"/>
              <w:textAlignment w:val="baseline"/>
              <w:rPr>
                <w:rFonts w:ascii="Palatino Linotype" w:eastAsia="Times New Roman" w:hAnsi="Palatino Linotype"/>
                <w:b w:val="0"/>
                <w:bCs w:val="0"/>
                <w:color w:val="auto"/>
                <w:sz w:val="20"/>
                <w:szCs w:val="20"/>
              </w:rPr>
            </w:pPr>
            <w:r>
              <w:rPr>
                <w:rFonts w:ascii="Palatino Linotype" w:eastAsia="Times New Roman" w:hAnsi="Palatino Linotype"/>
                <w:color w:val="auto"/>
                <w:sz w:val="20"/>
                <w:szCs w:val="20"/>
              </w:rPr>
              <w:t>Admission-R</w:t>
            </w:r>
            <w:r w:rsidRPr="00861A34">
              <w:rPr>
                <w:rFonts w:ascii="Palatino Linotype" w:eastAsia="Times New Roman" w:hAnsi="Palatino Linotype"/>
                <w:color w:val="auto"/>
                <w:sz w:val="20"/>
                <w:szCs w:val="20"/>
              </w:rPr>
              <w:t xml:space="preserve">elated </w:t>
            </w:r>
            <w:r>
              <w:rPr>
                <w:rFonts w:ascii="Palatino Linotype" w:eastAsia="Times New Roman" w:hAnsi="Palatino Linotype"/>
                <w:color w:val="auto"/>
                <w:sz w:val="20"/>
                <w:szCs w:val="20"/>
              </w:rPr>
              <w:t>A</w:t>
            </w:r>
            <w:r w:rsidRPr="00861A34">
              <w:rPr>
                <w:rFonts w:ascii="Palatino Linotype" w:eastAsia="Times New Roman" w:hAnsi="Palatino Linotype"/>
                <w:color w:val="auto"/>
                <w:sz w:val="20"/>
                <w:szCs w:val="20"/>
              </w:rPr>
              <w:t xml:space="preserve">ir </w:t>
            </w:r>
            <w:r>
              <w:rPr>
                <w:rFonts w:ascii="Palatino Linotype" w:eastAsia="Times New Roman" w:hAnsi="Palatino Linotype"/>
                <w:color w:val="auto"/>
                <w:sz w:val="20"/>
                <w:szCs w:val="20"/>
              </w:rPr>
              <w:t>T</w:t>
            </w:r>
            <w:r w:rsidRPr="00861A34">
              <w:rPr>
                <w:rFonts w:ascii="Palatino Linotype" w:eastAsia="Times New Roman" w:hAnsi="Palatino Linotype"/>
                <w:color w:val="auto"/>
                <w:sz w:val="20"/>
                <w:szCs w:val="20"/>
              </w:rPr>
              <w:t>ravel</w:t>
            </w:r>
          </w:p>
        </w:tc>
        <w:tc>
          <w:tcPr>
            <w:tcW w:w="1927" w:type="pct"/>
            <w:shd w:val="clear" w:color="auto" w:fill="FFFFFF" w:themeFill="background1"/>
          </w:tcPr>
          <w:p w:rsidR="009E0D3A" w:rsidRPr="00861A34" w:rsidRDefault="009E0D3A" w:rsidP="009E0D3A">
            <w:pPr>
              <w:overflowPunct w:val="0"/>
              <w:autoSpaceDE w:val="0"/>
              <w:autoSpaceDN w:val="0"/>
              <w:adjustRightInd w:val="0"/>
              <w:spacing w:before="120" w:after="120" w:line="30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20"/>
                <w:szCs w:val="20"/>
              </w:rPr>
            </w:pPr>
            <w:r w:rsidRPr="00861A34">
              <w:rPr>
                <w:rFonts w:ascii="Palatino Linotype" w:eastAsia="Times New Roman" w:hAnsi="Palatino Linotype"/>
                <w:sz w:val="20"/>
                <w:szCs w:val="20"/>
              </w:rPr>
              <w:t>Kay Richter</w:t>
            </w:r>
          </w:p>
        </w:tc>
        <w:tc>
          <w:tcPr>
            <w:tcW w:w="1419" w:type="pct"/>
            <w:shd w:val="clear" w:color="auto" w:fill="FFFFFF" w:themeFill="background1"/>
          </w:tcPr>
          <w:p w:rsidR="009E0D3A" w:rsidRPr="00861A34" w:rsidRDefault="009E0D3A" w:rsidP="009E0D3A">
            <w:pPr>
              <w:overflowPunct w:val="0"/>
              <w:autoSpaceDE w:val="0"/>
              <w:autoSpaceDN w:val="0"/>
              <w:adjustRightInd w:val="0"/>
              <w:spacing w:before="120" w:after="120" w:line="30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20"/>
                <w:szCs w:val="20"/>
              </w:rPr>
            </w:pPr>
            <w:r w:rsidRPr="00861A34">
              <w:rPr>
                <w:rFonts w:ascii="Palatino Linotype" w:eastAsia="Times New Roman" w:hAnsi="Palatino Linotype"/>
                <w:sz w:val="20"/>
                <w:szCs w:val="20"/>
              </w:rPr>
              <w:t>Admissions Spreadsheet</w:t>
            </w:r>
          </w:p>
        </w:tc>
      </w:tr>
      <w:tr w:rsidR="009E0D3A" w:rsidRPr="00861A34" w:rsidTr="0074671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tcBorders>
              <w:left w:val="none" w:sz="0" w:space="0" w:color="auto"/>
              <w:bottom w:val="none" w:sz="0" w:space="0" w:color="auto"/>
              <w:right w:val="single" w:sz="4" w:space="0" w:color="auto"/>
            </w:tcBorders>
            <w:shd w:val="clear" w:color="auto" w:fill="FFFFFF" w:themeFill="background1"/>
          </w:tcPr>
          <w:p w:rsidR="009E0D3A" w:rsidRPr="00861A34" w:rsidRDefault="009E0D3A" w:rsidP="009E0D3A">
            <w:pPr>
              <w:overflowPunct w:val="0"/>
              <w:autoSpaceDE w:val="0"/>
              <w:autoSpaceDN w:val="0"/>
              <w:adjustRightInd w:val="0"/>
              <w:spacing w:before="120" w:after="120" w:line="300" w:lineRule="auto"/>
              <w:jc w:val="center"/>
              <w:textAlignment w:val="baseline"/>
              <w:rPr>
                <w:rFonts w:ascii="Palatino Linotype" w:eastAsia="Times New Roman" w:hAnsi="Palatino Linotype"/>
                <w:b w:val="0"/>
                <w:bCs w:val="0"/>
                <w:color w:val="auto"/>
                <w:sz w:val="20"/>
                <w:szCs w:val="20"/>
              </w:rPr>
            </w:pPr>
            <w:r w:rsidRPr="00861A34">
              <w:rPr>
                <w:rFonts w:ascii="Palatino Linotype" w:eastAsia="Times New Roman" w:hAnsi="Palatino Linotype"/>
                <w:color w:val="auto"/>
                <w:sz w:val="20"/>
                <w:szCs w:val="20"/>
              </w:rPr>
              <w:t>Fertilizer</w:t>
            </w:r>
          </w:p>
        </w:tc>
        <w:tc>
          <w:tcPr>
            <w:tcW w:w="1927" w:type="pct"/>
            <w:tcBorders>
              <w:top w:val="single" w:sz="4" w:space="0" w:color="auto"/>
              <w:left w:val="single" w:sz="4" w:space="0" w:color="auto"/>
              <w:bottom w:val="single" w:sz="4" w:space="0" w:color="auto"/>
              <w:right w:val="single" w:sz="4" w:space="0" w:color="auto"/>
            </w:tcBorders>
            <w:shd w:val="clear" w:color="auto" w:fill="FFFFFF" w:themeFill="background1"/>
          </w:tcPr>
          <w:p w:rsidR="009E0D3A" w:rsidRPr="00861A34" w:rsidRDefault="009E0D3A" w:rsidP="009E0D3A">
            <w:pPr>
              <w:overflowPunct w:val="0"/>
              <w:autoSpaceDE w:val="0"/>
              <w:autoSpaceDN w:val="0"/>
              <w:adjustRightInd w:val="0"/>
              <w:spacing w:before="120" w:after="120" w:line="30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20"/>
                <w:szCs w:val="20"/>
              </w:rPr>
            </w:pPr>
            <w:r>
              <w:rPr>
                <w:rFonts w:ascii="Palatino Linotype" w:eastAsia="Times New Roman" w:hAnsi="Palatino Linotype"/>
                <w:sz w:val="20"/>
                <w:szCs w:val="20"/>
              </w:rPr>
              <w:t>SJU Grounds Department</w:t>
            </w:r>
          </w:p>
        </w:tc>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tcPr>
          <w:p w:rsidR="009E0D3A" w:rsidRPr="00861A34" w:rsidRDefault="009E0D3A" w:rsidP="009E0D3A">
            <w:pPr>
              <w:overflowPunct w:val="0"/>
              <w:autoSpaceDE w:val="0"/>
              <w:autoSpaceDN w:val="0"/>
              <w:adjustRightInd w:val="0"/>
              <w:spacing w:before="120" w:after="120" w:line="30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20"/>
                <w:szCs w:val="20"/>
              </w:rPr>
            </w:pPr>
            <w:r>
              <w:rPr>
                <w:rFonts w:ascii="Palatino Linotype" w:eastAsia="Times New Roman" w:hAnsi="Palatino Linotype"/>
                <w:sz w:val="20"/>
                <w:szCs w:val="20"/>
              </w:rPr>
              <w:t>Estimate/Receipts</w:t>
            </w:r>
          </w:p>
        </w:tc>
      </w:tr>
      <w:tr w:rsidR="009E0D3A" w:rsidRPr="00861A34" w:rsidTr="00A953C9">
        <w:trPr>
          <w:trHeight w:val="20"/>
        </w:trPr>
        <w:tc>
          <w:tcPr>
            <w:cnfStyle w:val="001000000000" w:firstRow="0" w:lastRow="0" w:firstColumn="1" w:lastColumn="0" w:oddVBand="0" w:evenVBand="0" w:oddHBand="0" w:evenHBand="0" w:firstRowFirstColumn="0" w:firstRowLastColumn="0" w:lastRowFirstColumn="0" w:lastRowLastColumn="0"/>
            <w:tcW w:w="1654" w:type="pct"/>
            <w:tcBorders>
              <w:top w:val="none" w:sz="0" w:space="0" w:color="auto"/>
              <w:left w:val="none" w:sz="0" w:space="0" w:color="auto"/>
              <w:bottom w:val="none" w:sz="0" w:space="0" w:color="auto"/>
              <w:right w:val="none" w:sz="0" w:space="0" w:color="auto"/>
            </w:tcBorders>
            <w:shd w:val="clear" w:color="auto" w:fill="FFFFFF" w:themeFill="background1"/>
          </w:tcPr>
          <w:p w:rsidR="009E0D3A" w:rsidRPr="00861A34" w:rsidRDefault="009E0D3A" w:rsidP="009E0D3A">
            <w:pPr>
              <w:overflowPunct w:val="0"/>
              <w:autoSpaceDE w:val="0"/>
              <w:autoSpaceDN w:val="0"/>
              <w:adjustRightInd w:val="0"/>
              <w:spacing w:before="120" w:after="120" w:line="300" w:lineRule="auto"/>
              <w:jc w:val="center"/>
              <w:textAlignment w:val="baseline"/>
              <w:rPr>
                <w:rFonts w:ascii="Palatino Linotype" w:eastAsia="Times New Roman" w:hAnsi="Palatino Linotype"/>
                <w:b w:val="0"/>
                <w:bCs w:val="0"/>
                <w:color w:val="auto"/>
                <w:sz w:val="20"/>
                <w:szCs w:val="20"/>
              </w:rPr>
            </w:pPr>
            <w:r w:rsidRPr="00861A34">
              <w:rPr>
                <w:rFonts w:ascii="Palatino Linotype" w:eastAsia="Times New Roman" w:hAnsi="Palatino Linotype"/>
                <w:color w:val="auto"/>
                <w:sz w:val="20"/>
                <w:szCs w:val="20"/>
              </w:rPr>
              <w:t>Solid Waste</w:t>
            </w:r>
          </w:p>
        </w:tc>
        <w:tc>
          <w:tcPr>
            <w:tcW w:w="1927" w:type="pct"/>
            <w:shd w:val="clear" w:color="auto" w:fill="FFFFFF" w:themeFill="background1"/>
          </w:tcPr>
          <w:p w:rsidR="009E0D3A" w:rsidRPr="00861A34" w:rsidRDefault="009E0D3A" w:rsidP="009E0D3A">
            <w:pPr>
              <w:overflowPunct w:val="0"/>
              <w:autoSpaceDE w:val="0"/>
              <w:autoSpaceDN w:val="0"/>
              <w:adjustRightInd w:val="0"/>
              <w:spacing w:before="120" w:after="120" w:line="30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20"/>
                <w:szCs w:val="20"/>
              </w:rPr>
            </w:pPr>
            <w:r>
              <w:rPr>
                <w:rFonts w:ascii="Palatino Linotype" w:eastAsia="Times New Roman" w:hAnsi="Palatino Linotype"/>
                <w:sz w:val="20"/>
                <w:szCs w:val="20"/>
              </w:rPr>
              <w:t>Todd Johnson</w:t>
            </w:r>
          </w:p>
        </w:tc>
        <w:tc>
          <w:tcPr>
            <w:tcW w:w="1419" w:type="pct"/>
            <w:shd w:val="clear" w:color="auto" w:fill="FFFFFF" w:themeFill="background1"/>
          </w:tcPr>
          <w:p w:rsidR="009E0D3A" w:rsidRPr="00861A34" w:rsidRDefault="009E0D3A" w:rsidP="009E0D3A">
            <w:pPr>
              <w:overflowPunct w:val="0"/>
              <w:autoSpaceDE w:val="0"/>
              <w:autoSpaceDN w:val="0"/>
              <w:adjustRightInd w:val="0"/>
              <w:spacing w:before="120" w:after="120" w:line="30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20"/>
                <w:szCs w:val="20"/>
              </w:rPr>
            </w:pPr>
            <w:r>
              <w:rPr>
                <w:rFonts w:ascii="Palatino Linotype" w:eastAsia="Times New Roman" w:hAnsi="Palatino Linotype"/>
                <w:sz w:val="20"/>
                <w:szCs w:val="20"/>
              </w:rPr>
              <w:t>Waste Management Data</w:t>
            </w:r>
          </w:p>
        </w:tc>
      </w:tr>
      <w:tr w:rsidR="009E0D3A" w:rsidRPr="00861A34" w:rsidTr="008E048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tcBorders>
              <w:left w:val="none" w:sz="0" w:space="0" w:color="auto"/>
              <w:bottom w:val="none" w:sz="0" w:space="0" w:color="auto"/>
              <w:right w:val="single" w:sz="4" w:space="0" w:color="auto"/>
            </w:tcBorders>
            <w:shd w:val="clear" w:color="auto" w:fill="FFFFFF" w:themeFill="background1"/>
          </w:tcPr>
          <w:p w:rsidR="009E0D3A" w:rsidRPr="00861A34" w:rsidRDefault="009E0D3A" w:rsidP="009E0D3A">
            <w:pPr>
              <w:overflowPunct w:val="0"/>
              <w:autoSpaceDE w:val="0"/>
              <w:autoSpaceDN w:val="0"/>
              <w:adjustRightInd w:val="0"/>
              <w:spacing w:before="120" w:after="120" w:line="300" w:lineRule="auto"/>
              <w:jc w:val="center"/>
              <w:textAlignment w:val="baseline"/>
              <w:rPr>
                <w:rFonts w:ascii="Palatino Linotype" w:eastAsia="Times New Roman" w:hAnsi="Palatino Linotype"/>
                <w:b w:val="0"/>
                <w:bCs w:val="0"/>
                <w:color w:val="auto"/>
                <w:sz w:val="20"/>
                <w:szCs w:val="20"/>
              </w:rPr>
            </w:pPr>
            <w:r w:rsidRPr="00861A34">
              <w:rPr>
                <w:rFonts w:ascii="Palatino Linotype" w:eastAsia="Times New Roman" w:hAnsi="Palatino Linotype"/>
                <w:color w:val="auto"/>
                <w:sz w:val="20"/>
                <w:szCs w:val="20"/>
              </w:rPr>
              <w:t>Wastewater</w:t>
            </w:r>
          </w:p>
        </w:tc>
        <w:tc>
          <w:tcPr>
            <w:tcW w:w="1927" w:type="pct"/>
            <w:tcBorders>
              <w:top w:val="single" w:sz="4" w:space="0" w:color="auto"/>
              <w:left w:val="single" w:sz="4" w:space="0" w:color="auto"/>
              <w:bottom w:val="single" w:sz="4" w:space="0" w:color="auto"/>
              <w:right w:val="single" w:sz="4" w:space="0" w:color="auto"/>
            </w:tcBorders>
            <w:shd w:val="clear" w:color="auto" w:fill="FFFFFF" w:themeFill="background1"/>
          </w:tcPr>
          <w:p w:rsidR="009E0D3A" w:rsidRPr="00861A34" w:rsidRDefault="009E0D3A" w:rsidP="009E0D3A">
            <w:pPr>
              <w:overflowPunct w:val="0"/>
              <w:autoSpaceDE w:val="0"/>
              <w:autoSpaceDN w:val="0"/>
              <w:adjustRightInd w:val="0"/>
              <w:spacing w:before="120" w:after="120" w:line="30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20"/>
                <w:szCs w:val="20"/>
              </w:rPr>
            </w:pPr>
            <w:r w:rsidRPr="00861A34">
              <w:rPr>
                <w:rFonts w:ascii="Palatino Linotype" w:eastAsia="Times New Roman" w:hAnsi="Palatino Linotype"/>
                <w:sz w:val="20"/>
                <w:szCs w:val="20"/>
              </w:rPr>
              <w:t>Paul Stock</w:t>
            </w:r>
          </w:p>
        </w:tc>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tcPr>
          <w:p w:rsidR="009E0D3A" w:rsidRPr="00861A34" w:rsidRDefault="009E0D3A" w:rsidP="009E0D3A">
            <w:pPr>
              <w:overflowPunct w:val="0"/>
              <w:autoSpaceDE w:val="0"/>
              <w:autoSpaceDN w:val="0"/>
              <w:adjustRightInd w:val="0"/>
              <w:spacing w:before="120" w:after="120" w:line="30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20"/>
                <w:szCs w:val="20"/>
              </w:rPr>
            </w:pPr>
            <w:r w:rsidRPr="00861A34">
              <w:rPr>
                <w:rFonts w:ascii="Palatino Linotype" w:eastAsia="Times New Roman" w:hAnsi="Palatino Linotype"/>
                <w:sz w:val="20"/>
                <w:szCs w:val="20"/>
              </w:rPr>
              <w:t>WWTP Records</w:t>
            </w:r>
          </w:p>
        </w:tc>
      </w:tr>
      <w:tr w:rsidR="008E048E" w:rsidRPr="00861A34" w:rsidTr="008E048E">
        <w:trPr>
          <w:trHeight w:val="20"/>
        </w:trPr>
        <w:tc>
          <w:tcPr>
            <w:cnfStyle w:val="001000000000" w:firstRow="0" w:lastRow="0" w:firstColumn="1" w:lastColumn="0" w:oddVBand="0" w:evenVBand="0" w:oddHBand="0" w:evenHBand="0" w:firstRowFirstColumn="0" w:firstRowLastColumn="0" w:lastRowFirstColumn="0" w:lastRowLastColumn="0"/>
            <w:tcW w:w="1654" w:type="pct"/>
            <w:tcBorders>
              <w:left w:val="single" w:sz="4" w:space="0" w:color="auto"/>
              <w:bottom w:val="single" w:sz="4" w:space="0" w:color="auto"/>
              <w:right w:val="single" w:sz="4" w:space="0" w:color="auto"/>
            </w:tcBorders>
            <w:shd w:val="clear" w:color="auto" w:fill="FFFFFF" w:themeFill="background1"/>
          </w:tcPr>
          <w:p w:rsidR="008E048E" w:rsidRPr="008E048E" w:rsidRDefault="008E048E" w:rsidP="009E0D3A">
            <w:pPr>
              <w:overflowPunct w:val="0"/>
              <w:autoSpaceDE w:val="0"/>
              <w:autoSpaceDN w:val="0"/>
              <w:adjustRightInd w:val="0"/>
              <w:spacing w:before="120" w:after="120" w:line="300" w:lineRule="auto"/>
              <w:jc w:val="center"/>
              <w:textAlignment w:val="baseline"/>
              <w:rPr>
                <w:rFonts w:ascii="Palatino Linotype" w:eastAsia="Times New Roman" w:hAnsi="Palatino Linotype"/>
                <w:color w:val="auto"/>
                <w:sz w:val="20"/>
                <w:szCs w:val="20"/>
              </w:rPr>
            </w:pPr>
            <w:r>
              <w:rPr>
                <w:rFonts w:ascii="Palatino Linotype" w:eastAsia="Times New Roman" w:hAnsi="Palatino Linotype"/>
                <w:color w:val="auto"/>
                <w:sz w:val="20"/>
                <w:szCs w:val="20"/>
              </w:rPr>
              <w:t>Paper Use</w:t>
            </w:r>
          </w:p>
        </w:tc>
        <w:tc>
          <w:tcPr>
            <w:tcW w:w="1927" w:type="pct"/>
            <w:tcBorders>
              <w:top w:val="single" w:sz="4" w:space="0" w:color="auto"/>
              <w:left w:val="single" w:sz="4" w:space="0" w:color="auto"/>
              <w:bottom w:val="single" w:sz="4" w:space="0" w:color="auto"/>
              <w:right w:val="single" w:sz="4" w:space="0" w:color="auto"/>
            </w:tcBorders>
            <w:shd w:val="clear" w:color="auto" w:fill="FFFFFF" w:themeFill="background1"/>
          </w:tcPr>
          <w:p w:rsidR="008E048E" w:rsidRPr="00861A34" w:rsidRDefault="008E048E" w:rsidP="009E0D3A">
            <w:pPr>
              <w:overflowPunct w:val="0"/>
              <w:autoSpaceDE w:val="0"/>
              <w:autoSpaceDN w:val="0"/>
              <w:adjustRightInd w:val="0"/>
              <w:spacing w:before="120" w:after="120" w:line="30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20"/>
                <w:szCs w:val="20"/>
              </w:rPr>
            </w:pPr>
            <w:r w:rsidRPr="00C7632B">
              <w:rPr>
                <w:rFonts w:ascii="Palatino Linotype" w:eastAsia="Times New Roman" w:hAnsi="Palatino Linotype"/>
                <w:sz w:val="20"/>
                <w:szCs w:val="20"/>
              </w:rPr>
              <w:t>Laurie Birr,</w:t>
            </w:r>
            <w:r w:rsidR="00C7632B" w:rsidRPr="00C7632B">
              <w:rPr>
                <w:rFonts w:ascii="Palatino Linotype" w:eastAsia="Times New Roman" w:hAnsi="Palatino Linotype"/>
                <w:sz w:val="20"/>
                <w:szCs w:val="20"/>
              </w:rPr>
              <w:t xml:space="preserve"> Mary Gouge</w:t>
            </w:r>
          </w:p>
        </w:tc>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tcPr>
          <w:p w:rsidR="008E048E" w:rsidRPr="00861A34" w:rsidRDefault="008E048E" w:rsidP="009E0D3A">
            <w:pPr>
              <w:overflowPunct w:val="0"/>
              <w:autoSpaceDE w:val="0"/>
              <w:autoSpaceDN w:val="0"/>
              <w:adjustRightInd w:val="0"/>
              <w:spacing w:before="120" w:after="120" w:line="30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20"/>
                <w:szCs w:val="20"/>
              </w:rPr>
            </w:pPr>
            <w:r>
              <w:rPr>
                <w:rFonts w:ascii="Palatino Linotype" w:eastAsia="Times New Roman" w:hAnsi="Palatino Linotype"/>
                <w:sz w:val="20"/>
                <w:szCs w:val="20"/>
              </w:rPr>
              <w:t>IT Services, SJU Duplication Center</w:t>
            </w:r>
          </w:p>
        </w:tc>
      </w:tr>
    </w:tbl>
    <w:p w:rsidR="000D6DC2" w:rsidRDefault="000D6DC2" w:rsidP="000D6DC2">
      <w:pPr>
        <w:overflowPunct w:val="0"/>
        <w:autoSpaceDE w:val="0"/>
        <w:autoSpaceDN w:val="0"/>
        <w:adjustRightInd w:val="0"/>
        <w:spacing w:after="120" w:line="300" w:lineRule="auto"/>
        <w:textAlignment w:val="baseline"/>
        <w:rPr>
          <w:rFonts w:ascii="Palatino Linotype" w:eastAsia="Times New Roman" w:hAnsi="Palatino Linotype"/>
          <w:b/>
          <w:smallCaps/>
        </w:rPr>
      </w:pPr>
    </w:p>
    <w:p w:rsidR="000763D6" w:rsidRPr="00861A34" w:rsidRDefault="000763D6" w:rsidP="000763D6">
      <w:pPr>
        <w:overflowPunct w:val="0"/>
        <w:autoSpaceDE w:val="0"/>
        <w:autoSpaceDN w:val="0"/>
        <w:adjustRightInd w:val="0"/>
        <w:spacing w:before="120" w:after="120" w:line="300" w:lineRule="auto"/>
        <w:textAlignment w:val="baseline"/>
        <w:rPr>
          <w:rFonts w:ascii="Palatino Linotype" w:eastAsia="Times New Roman" w:hAnsi="Palatino Linotype" w:cs="Arial"/>
          <w:b/>
          <w:smallCaps/>
        </w:rPr>
      </w:pPr>
      <w:r w:rsidRPr="00861A34">
        <w:rPr>
          <w:rFonts w:ascii="Palatino Linotype" w:eastAsia="Times New Roman" w:hAnsi="Palatino Linotype" w:cs="Arial"/>
          <w:b/>
          <w:smallCaps/>
        </w:rPr>
        <w:t>Carbon Footprint Gases and Unit of Measure</w:t>
      </w:r>
    </w:p>
    <w:p w:rsidR="000763D6" w:rsidRPr="00861A34" w:rsidRDefault="000763D6" w:rsidP="000763D6">
      <w:pPr>
        <w:overflowPunct w:val="0"/>
        <w:autoSpaceDE w:val="0"/>
        <w:autoSpaceDN w:val="0"/>
        <w:adjustRightInd w:val="0"/>
        <w:spacing w:before="120" w:after="120" w:line="300" w:lineRule="auto"/>
        <w:textAlignment w:val="baseline"/>
        <w:rPr>
          <w:rFonts w:ascii="Palatino Linotype" w:eastAsia="Times New Roman" w:hAnsi="Palatino Linotype"/>
        </w:rPr>
      </w:pPr>
      <w:r w:rsidRPr="00861A34">
        <w:rPr>
          <w:rFonts w:ascii="Palatino Linotype" w:eastAsia="Times New Roman" w:hAnsi="Palatino Linotype"/>
        </w:rPr>
        <w:t>The carbon footprint is measured in metric tons of carbon dioxide equivalent (</w:t>
      </w:r>
      <w:r w:rsidR="00AC7311">
        <w:rPr>
          <w:rFonts w:ascii="Palatino Linotype" w:eastAsia="Times New Roman" w:hAnsi="Palatino Linotype"/>
        </w:rPr>
        <w:t>MT</w:t>
      </w:r>
      <w:r w:rsidRPr="00861A34">
        <w:rPr>
          <w:rFonts w:ascii="Palatino Linotype" w:eastAsia="Times New Roman" w:hAnsi="Palatino Linotype"/>
        </w:rPr>
        <w:t xml:space="preserve"> </w:t>
      </w:r>
      <w:r w:rsidR="00AC7311">
        <w:rPr>
          <w:rFonts w:ascii="Palatino Linotype" w:eastAsia="Times New Roman" w:hAnsi="Palatino Linotype"/>
        </w:rPr>
        <w:t>e</w:t>
      </w:r>
      <w:r w:rsidRPr="00861A34">
        <w:rPr>
          <w:rFonts w:ascii="Palatino Linotype" w:eastAsia="Times New Roman" w:hAnsi="Palatino Linotype"/>
        </w:rPr>
        <w:t>CO</w:t>
      </w:r>
      <w:r w:rsidR="00EA4120" w:rsidRPr="00861A34">
        <w:rPr>
          <w:rFonts w:ascii="Palatino Linotype" w:eastAsia="Times New Roman" w:hAnsi="Palatino Linotype"/>
          <w:vertAlign w:val="subscript"/>
        </w:rPr>
        <w:t>2</w:t>
      </w:r>
      <w:r w:rsidRPr="00861A34">
        <w:rPr>
          <w:rFonts w:ascii="Palatino Linotype" w:eastAsia="Times New Roman" w:hAnsi="Palatino Linotype"/>
        </w:rPr>
        <w:t>).  A metric ton is 2,205 pounds.  The c</w:t>
      </w:r>
      <w:r w:rsidR="002810E7" w:rsidRPr="00861A34">
        <w:rPr>
          <w:rFonts w:ascii="Palatino Linotype" w:eastAsia="Times New Roman" w:hAnsi="Palatino Linotype"/>
        </w:rPr>
        <w:t xml:space="preserve">arbon dioxide equivalent is the </w:t>
      </w:r>
      <w:r w:rsidRPr="00861A34">
        <w:rPr>
          <w:rFonts w:ascii="Palatino Linotype" w:eastAsia="Times New Roman" w:hAnsi="Palatino Linotype"/>
        </w:rPr>
        <w:t xml:space="preserve">unit of multiple greenhouse gases emitted within the footprint boundary converted to standard terms by use of the Global Warming Potential (GWP).  </w:t>
      </w:r>
    </w:p>
    <w:p w:rsidR="000763D6" w:rsidRPr="00861A34" w:rsidRDefault="000763D6" w:rsidP="000763D6">
      <w:pPr>
        <w:rPr>
          <w:rFonts w:ascii="Palatino Linotype" w:eastAsia="Times New Roman" w:hAnsi="Palatino Linotype"/>
        </w:rPr>
      </w:pPr>
      <w:r w:rsidRPr="00861A34">
        <w:rPr>
          <w:rFonts w:ascii="Palatino Linotype" w:eastAsia="Times New Roman" w:hAnsi="Palatino Linotype"/>
        </w:rPr>
        <w:t xml:space="preserve">The GWP is a measure of how much a gas contributes to global warming over a period of time (100 years) compared to carbon dioxide and allows comparison of the impact of the concentrations of GHGs to each other.  Carbon dioxide has been assigned a GWP of 1 since it is the most prevalent GHG.  </w:t>
      </w:r>
    </w:p>
    <w:p w:rsidR="000763D6" w:rsidRPr="00861A34" w:rsidRDefault="000763D6" w:rsidP="000763D6">
      <w:pPr>
        <w:overflowPunct w:val="0"/>
        <w:autoSpaceDE w:val="0"/>
        <w:autoSpaceDN w:val="0"/>
        <w:adjustRightInd w:val="0"/>
        <w:spacing w:before="120" w:after="120" w:line="300" w:lineRule="auto"/>
        <w:textAlignment w:val="baseline"/>
        <w:rPr>
          <w:rFonts w:ascii="Palatino Linotype" w:eastAsia="Times New Roman" w:hAnsi="Palatino Linotype"/>
        </w:rPr>
      </w:pPr>
      <w:r w:rsidRPr="00861A34">
        <w:rPr>
          <w:rFonts w:ascii="Palatino Linotype" w:eastAsia="Times New Roman" w:hAnsi="Palatino Linotype"/>
        </w:rPr>
        <w:lastRenderedPageBreak/>
        <w:t xml:space="preserve">Although some GHGs may be present in the atmosphere in lesser quantities than carbon dioxide, they may have a longer lifespan in the atmosphere and may, in the long run, be much more detrimental.  A higher GWP indicates that gas is a more potent GHG.  Table </w:t>
      </w:r>
      <w:r w:rsidR="00A810DA" w:rsidRPr="00861A34">
        <w:rPr>
          <w:rFonts w:ascii="Palatino Linotype" w:eastAsia="Times New Roman" w:hAnsi="Palatino Linotype"/>
        </w:rPr>
        <w:t xml:space="preserve">3 </w:t>
      </w:r>
      <w:r w:rsidRPr="00861A34">
        <w:rPr>
          <w:rFonts w:ascii="Palatino Linotype" w:eastAsia="Times New Roman" w:hAnsi="Palatino Linotype"/>
        </w:rPr>
        <w:t>compares the GWP for the six major GHGs included in a carbon footprint.</w:t>
      </w:r>
    </w:p>
    <w:p w:rsidR="000763D6" w:rsidRPr="00861A34" w:rsidRDefault="000763D6" w:rsidP="000763D6">
      <w:pPr>
        <w:overflowPunct w:val="0"/>
        <w:autoSpaceDE w:val="0"/>
        <w:autoSpaceDN w:val="0"/>
        <w:adjustRightInd w:val="0"/>
        <w:jc w:val="center"/>
        <w:textAlignment w:val="baseline"/>
        <w:rPr>
          <w:rFonts w:ascii="Palatino Linotype" w:eastAsia="Times New Roman" w:hAnsi="Palatino Linotype" w:cs="Times New Roman"/>
          <w:b/>
        </w:rPr>
      </w:pPr>
      <w:r w:rsidRPr="00861A34">
        <w:rPr>
          <w:rFonts w:ascii="Palatino Linotype" w:eastAsia="Times New Roman" w:hAnsi="Palatino Linotype" w:cs="Times New Roman"/>
          <w:b/>
        </w:rPr>
        <w:t xml:space="preserve">Table </w:t>
      </w:r>
      <w:r w:rsidR="00A810DA" w:rsidRPr="00861A34">
        <w:rPr>
          <w:rFonts w:ascii="Palatino Linotype" w:eastAsia="Times New Roman" w:hAnsi="Palatino Linotype" w:cs="Times New Roman"/>
          <w:b/>
        </w:rPr>
        <w:t>3</w:t>
      </w:r>
      <w:r w:rsidR="00AA5A41">
        <w:rPr>
          <w:rFonts w:ascii="Palatino Linotype" w:eastAsia="Times New Roman" w:hAnsi="Palatino Linotype" w:cs="Times New Roman"/>
          <w:b/>
        </w:rPr>
        <w:t>. Comparison of the G</w:t>
      </w:r>
      <w:r w:rsidRPr="00861A34">
        <w:rPr>
          <w:rFonts w:ascii="Palatino Linotype" w:eastAsia="Times New Roman" w:hAnsi="Palatino Linotype" w:cs="Times New Roman"/>
          <w:b/>
        </w:rPr>
        <w:t xml:space="preserve">lobal </w:t>
      </w:r>
      <w:r w:rsidR="00AA5A41">
        <w:rPr>
          <w:rFonts w:ascii="Palatino Linotype" w:eastAsia="Times New Roman" w:hAnsi="Palatino Linotype" w:cs="Times New Roman"/>
          <w:b/>
        </w:rPr>
        <w:t>Warming Potential (GWP) of the Six Greenhouse G</w:t>
      </w:r>
      <w:r w:rsidRPr="00861A34">
        <w:rPr>
          <w:rFonts w:ascii="Palatino Linotype" w:eastAsia="Times New Roman" w:hAnsi="Palatino Linotype" w:cs="Times New Roman"/>
          <w:b/>
        </w:rPr>
        <w:t>ases</w:t>
      </w:r>
    </w:p>
    <w:tbl>
      <w:tblPr>
        <w:tblStyle w:val="TableGrid"/>
        <w:tblW w:w="0" w:type="auto"/>
        <w:tblLayout w:type="fixed"/>
        <w:tblLook w:val="04A0" w:firstRow="1" w:lastRow="0" w:firstColumn="1" w:lastColumn="0" w:noHBand="0" w:noVBand="1"/>
      </w:tblPr>
      <w:tblGrid>
        <w:gridCol w:w="4621"/>
        <w:gridCol w:w="1942"/>
        <w:gridCol w:w="3013"/>
      </w:tblGrid>
      <w:tr w:rsidR="000763D6" w:rsidRPr="00861A34" w:rsidTr="002A26EB">
        <w:trPr>
          <w:trHeight w:val="576"/>
        </w:trPr>
        <w:tc>
          <w:tcPr>
            <w:tcW w:w="4621" w:type="dxa"/>
            <w:shd w:val="clear" w:color="auto" w:fill="000000" w:themeFill="text1"/>
          </w:tcPr>
          <w:p w:rsidR="000763D6" w:rsidRPr="00861A34" w:rsidRDefault="000763D6" w:rsidP="00C00EAD">
            <w:pPr>
              <w:spacing w:before="96"/>
              <w:jc w:val="center"/>
              <w:textAlignment w:val="baseline"/>
              <w:rPr>
                <w:rFonts w:ascii="Palatino Linotype" w:eastAsia="Times New Roman" w:hAnsi="Palatino Linotype"/>
                <w:b/>
                <w:color w:val="FFFFFF"/>
                <w:kern w:val="24"/>
                <w:sz w:val="20"/>
                <w:szCs w:val="20"/>
              </w:rPr>
            </w:pPr>
            <w:r w:rsidRPr="00861A34">
              <w:rPr>
                <w:rFonts w:ascii="Palatino Linotype" w:eastAsia="Times New Roman" w:hAnsi="Palatino Linotype"/>
                <w:b/>
                <w:color w:val="FFFFFF"/>
                <w:kern w:val="24"/>
                <w:sz w:val="20"/>
                <w:szCs w:val="20"/>
              </w:rPr>
              <w:t>GHG</w:t>
            </w:r>
          </w:p>
        </w:tc>
        <w:tc>
          <w:tcPr>
            <w:tcW w:w="1942" w:type="dxa"/>
            <w:shd w:val="clear" w:color="auto" w:fill="000000" w:themeFill="text1"/>
            <w:hideMark/>
          </w:tcPr>
          <w:p w:rsidR="000763D6" w:rsidRPr="00861A34" w:rsidRDefault="000763D6" w:rsidP="00C00EAD">
            <w:pPr>
              <w:spacing w:before="96"/>
              <w:jc w:val="center"/>
              <w:textAlignment w:val="baseline"/>
              <w:rPr>
                <w:rFonts w:ascii="Palatino Linotype" w:eastAsia="Times New Roman" w:hAnsi="Palatino Linotype"/>
                <w:b/>
                <w:bCs/>
                <w:color w:val="FFFFFF" w:themeColor="background1"/>
                <w:sz w:val="20"/>
                <w:szCs w:val="20"/>
              </w:rPr>
            </w:pPr>
            <w:r w:rsidRPr="00861A34">
              <w:rPr>
                <w:rFonts w:ascii="Palatino Linotype" w:eastAsia="Times New Roman" w:hAnsi="Palatino Linotype"/>
                <w:b/>
                <w:bCs/>
                <w:color w:val="FFFFFF"/>
                <w:kern w:val="24"/>
                <w:sz w:val="20"/>
                <w:szCs w:val="20"/>
              </w:rPr>
              <w:t>Symbol</w:t>
            </w:r>
          </w:p>
        </w:tc>
        <w:tc>
          <w:tcPr>
            <w:tcW w:w="3013" w:type="dxa"/>
            <w:shd w:val="clear" w:color="auto" w:fill="000000" w:themeFill="text1"/>
            <w:hideMark/>
          </w:tcPr>
          <w:p w:rsidR="000763D6" w:rsidRPr="00861A34" w:rsidRDefault="000763D6" w:rsidP="00C00EAD">
            <w:pPr>
              <w:spacing w:before="96"/>
              <w:jc w:val="center"/>
              <w:textAlignment w:val="baseline"/>
              <w:rPr>
                <w:rFonts w:ascii="Palatino Linotype" w:eastAsia="Times New Roman" w:hAnsi="Palatino Linotype"/>
                <w:b/>
                <w:bCs/>
                <w:color w:val="FFFFFF" w:themeColor="background1"/>
                <w:sz w:val="20"/>
                <w:szCs w:val="20"/>
              </w:rPr>
            </w:pPr>
            <w:r w:rsidRPr="00861A34">
              <w:rPr>
                <w:rFonts w:ascii="Palatino Linotype" w:eastAsia="Times New Roman" w:hAnsi="Palatino Linotype"/>
                <w:b/>
                <w:bCs/>
                <w:color w:val="FFFFFF"/>
                <w:kern w:val="24"/>
                <w:sz w:val="20"/>
                <w:szCs w:val="20"/>
              </w:rPr>
              <w:t>GWP*</w:t>
            </w:r>
          </w:p>
        </w:tc>
      </w:tr>
      <w:tr w:rsidR="000763D6" w:rsidRPr="00861A34" w:rsidTr="002A26EB">
        <w:trPr>
          <w:trHeight w:val="720"/>
        </w:trPr>
        <w:tc>
          <w:tcPr>
            <w:tcW w:w="4621" w:type="dxa"/>
          </w:tcPr>
          <w:p w:rsidR="000763D6" w:rsidRPr="00861A34" w:rsidRDefault="000763D6" w:rsidP="00C00EAD">
            <w:pPr>
              <w:textAlignment w:val="baseline"/>
              <w:rPr>
                <w:rFonts w:ascii="Palatino Linotype" w:eastAsia="Times New Roman" w:hAnsi="Palatino Linotype"/>
                <w:b/>
                <w:bCs/>
                <w:color w:val="000000"/>
                <w:kern w:val="24"/>
                <w:sz w:val="20"/>
                <w:szCs w:val="20"/>
              </w:rPr>
            </w:pPr>
            <w:r w:rsidRPr="00861A34">
              <w:rPr>
                <w:rFonts w:ascii="Palatino Linotype" w:eastAsia="Times New Roman" w:hAnsi="Palatino Linotype"/>
                <w:b/>
                <w:bCs/>
                <w:color w:val="000000"/>
                <w:kern w:val="24"/>
                <w:sz w:val="20"/>
                <w:szCs w:val="20"/>
              </w:rPr>
              <w:t>Carbon Dioxide</w:t>
            </w:r>
          </w:p>
        </w:tc>
        <w:tc>
          <w:tcPr>
            <w:tcW w:w="1942" w:type="dxa"/>
            <w:hideMark/>
          </w:tcPr>
          <w:p w:rsidR="000763D6" w:rsidRPr="00861A34" w:rsidRDefault="000763D6" w:rsidP="00C00EAD">
            <w:pPr>
              <w:jc w:val="center"/>
              <w:textAlignment w:val="baseline"/>
              <w:rPr>
                <w:rFonts w:ascii="Palatino Linotype" w:eastAsia="Times New Roman" w:hAnsi="Palatino Linotype"/>
                <w:sz w:val="20"/>
                <w:szCs w:val="20"/>
              </w:rPr>
            </w:pPr>
            <w:r w:rsidRPr="00861A34">
              <w:rPr>
                <w:rFonts w:ascii="Palatino Linotype" w:eastAsia="Times New Roman" w:hAnsi="Palatino Linotype"/>
                <w:color w:val="000000"/>
                <w:kern w:val="24"/>
                <w:sz w:val="20"/>
                <w:szCs w:val="20"/>
              </w:rPr>
              <w:t>CO</w:t>
            </w:r>
            <w:r w:rsidRPr="00861A34">
              <w:rPr>
                <w:rFonts w:ascii="Palatino Linotype" w:eastAsia="Times New Roman" w:hAnsi="Palatino Linotype"/>
                <w:color w:val="000000"/>
                <w:kern w:val="24"/>
                <w:position w:val="-10"/>
                <w:sz w:val="20"/>
                <w:szCs w:val="20"/>
                <w:vertAlign w:val="subscript"/>
              </w:rPr>
              <w:t>2</w:t>
            </w:r>
          </w:p>
        </w:tc>
        <w:tc>
          <w:tcPr>
            <w:tcW w:w="3013" w:type="dxa"/>
            <w:hideMark/>
          </w:tcPr>
          <w:p w:rsidR="000763D6" w:rsidRPr="00861A34" w:rsidRDefault="000763D6" w:rsidP="00C00EAD">
            <w:pPr>
              <w:jc w:val="center"/>
              <w:textAlignment w:val="baseline"/>
              <w:rPr>
                <w:rFonts w:ascii="Palatino Linotype" w:eastAsia="Times New Roman" w:hAnsi="Palatino Linotype"/>
                <w:sz w:val="20"/>
                <w:szCs w:val="20"/>
              </w:rPr>
            </w:pPr>
            <w:r w:rsidRPr="00861A34">
              <w:rPr>
                <w:rFonts w:ascii="Palatino Linotype" w:eastAsia="Times New Roman" w:hAnsi="Palatino Linotype"/>
                <w:color w:val="000000"/>
                <w:kern w:val="24"/>
                <w:sz w:val="20"/>
                <w:szCs w:val="20"/>
              </w:rPr>
              <w:t>1</w:t>
            </w:r>
          </w:p>
        </w:tc>
      </w:tr>
      <w:tr w:rsidR="000763D6" w:rsidRPr="00861A34" w:rsidTr="002A26EB">
        <w:trPr>
          <w:trHeight w:val="720"/>
        </w:trPr>
        <w:tc>
          <w:tcPr>
            <w:tcW w:w="4621" w:type="dxa"/>
          </w:tcPr>
          <w:p w:rsidR="000763D6" w:rsidRPr="00861A34" w:rsidRDefault="000763D6" w:rsidP="00C00EAD">
            <w:pPr>
              <w:textAlignment w:val="baseline"/>
              <w:rPr>
                <w:rFonts w:ascii="Palatino Linotype" w:eastAsia="Times New Roman" w:hAnsi="Palatino Linotype"/>
                <w:b/>
                <w:bCs/>
                <w:color w:val="000000"/>
                <w:kern w:val="24"/>
                <w:sz w:val="20"/>
                <w:szCs w:val="20"/>
              </w:rPr>
            </w:pPr>
            <w:r w:rsidRPr="00861A34">
              <w:rPr>
                <w:rFonts w:ascii="Palatino Linotype" w:eastAsia="Times New Roman" w:hAnsi="Palatino Linotype"/>
                <w:b/>
                <w:bCs/>
                <w:color w:val="000000"/>
                <w:kern w:val="24"/>
                <w:sz w:val="20"/>
                <w:szCs w:val="20"/>
              </w:rPr>
              <w:t>Methane</w:t>
            </w:r>
          </w:p>
        </w:tc>
        <w:tc>
          <w:tcPr>
            <w:tcW w:w="1942" w:type="dxa"/>
            <w:hideMark/>
          </w:tcPr>
          <w:p w:rsidR="000763D6" w:rsidRPr="00861A34" w:rsidRDefault="000763D6" w:rsidP="00C00EAD">
            <w:pPr>
              <w:jc w:val="center"/>
              <w:textAlignment w:val="baseline"/>
              <w:rPr>
                <w:rFonts w:ascii="Palatino Linotype" w:eastAsia="Times New Roman" w:hAnsi="Palatino Linotype"/>
                <w:sz w:val="20"/>
                <w:szCs w:val="20"/>
              </w:rPr>
            </w:pPr>
            <w:r w:rsidRPr="00861A34">
              <w:rPr>
                <w:rFonts w:ascii="Palatino Linotype" w:eastAsia="Times New Roman" w:hAnsi="Palatino Linotype"/>
                <w:color w:val="000000"/>
                <w:kern w:val="24"/>
                <w:sz w:val="20"/>
                <w:szCs w:val="20"/>
              </w:rPr>
              <w:t>CH</w:t>
            </w:r>
            <w:r w:rsidRPr="00861A34">
              <w:rPr>
                <w:rFonts w:ascii="Palatino Linotype" w:eastAsia="Times New Roman" w:hAnsi="Palatino Linotype"/>
                <w:color w:val="000000"/>
                <w:kern w:val="24"/>
                <w:position w:val="-10"/>
                <w:sz w:val="20"/>
                <w:szCs w:val="20"/>
                <w:vertAlign w:val="subscript"/>
              </w:rPr>
              <w:t>4</w:t>
            </w:r>
          </w:p>
        </w:tc>
        <w:tc>
          <w:tcPr>
            <w:tcW w:w="3013" w:type="dxa"/>
            <w:hideMark/>
          </w:tcPr>
          <w:p w:rsidR="000763D6" w:rsidRPr="00861A34" w:rsidRDefault="000763D6" w:rsidP="00C00EAD">
            <w:pPr>
              <w:jc w:val="center"/>
              <w:textAlignment w:val="baseline"/>
              <w:rPr>
                <w:rFonts w:ascii="Palatino Linotype" w:eastAsia="Times New Roman" w:hAnsi="Palatino Linotype"/>
                <w:sz w:val="20"/>
                <w:szCs w:val="20"/>
              </w:rPr>
            </w:pPr>
            <w:r w:rsidRPr="00861A34">
              <w:rPr>
                <w:rFonts w:ascii="Palatino Linotype" w:eastAsia="Times New Roman" w:hAnsi="Palatino Linotype"/>
                <w:color w:val="000000"/>
                <w:kern w:val="24"/>
                <w:sz w:val="20"/>
                <w:szCs w:val="20"/>
              </w:rPr>
              <w:t>25</w:t>
            </w:r>
          </w:p>
        </w:tc>
      </w:tr>
      <w:tr w:rsidR="000763D6" w:rsidRPr="00861A34" w:rsidTr="002A26EB">
        <w:trPr>
          <w:trHeight w:val="720"/>
        </w:trPr>
        <w:tc>
          <w:tcPr>
            <w:tcW w:w="4621" w:type="dxa"/>
          </w:tcPr>
          <w:p w:rsidR="000763D6" w:rsidRPr="00861A34" w:rsidRDefault="000763D6" w:rsidP="00C00EAD">
            <w:pPr>
              <w:textAlignment w:val="baseline"/>
              <w:rPr>
                <w:rFonts w:ascii="Palatino Linotype" w:eastAsia="Times New Roman" w:hAnsi="Palatino Linotype"/>
                <w:b/>
                <w:bCs/>
                <w:color w:val="000000"/>
                <w:kern w:val="24"/>
                <w:sz w:val="20"/>
                <w:szCs w:val="20"/>
              </w:rPr>
            </w:pPr>
            <w:r w:rsidRPr="00861A34">
              <w:rPr>
                <w:rFonts w:ascii="Palatino Linotype" w:eastAsia="Times New Roman" w:hAnsi="Palatino Linotype"/>
                <w:b/>
                <w:bCs/>
                <w:color w:val="000000"/>
                <w:kern w:val="24"/>
                <w:sz w:val="20"/>
                <w:szCs w:val="20"/>
              </w:rPr>
              <w:t>Nitrous Oxide</w:t>
            </w:r>
          </w:p>
        </w:tc>
        <w:tc>
          <w:tcPr>
            <w:tcW w:w="1942" w:type="dxa"/>
            <w:hideMark/>
          </w:tcPr>
          <w:p w:rsidR="000763D6" w:rsidRPr="00861A34" w:rsidRDefault="000763D6" w:rsidP="00C00EAD">
            <w:pPr>
              <w:jc w:val="center"/>
              <w:textAlignment w:val="baseline"/>
              <w:rPr>
                <w:rFonts w:ascii="Palatino Linotype" w:eastAsia="Times New Roman" w:hAnsi="Palatino Linotype"/>
                <w:sz w:val="20"/>
                <w:szCs w:val="20"/>
              </w:rPr>
            </w:pPr>
            <w:r w:rsidRPr="00861A34">
              <w:rPr>
                <w:rFonts w:ascii="Palatino Linotype" w:eastAsia="Times New Roman" w:hAnsi="Palatino Linotype"/>
                <w:color w:val="000000"/>
                <w:kern w:val="24"/>
                <w:sz w:val="20"/>
                <w:szCs w:val="20"/>
              </w:rPr>
              <w:t>N</w:t>
            </w:r>
            <w:r w:rsidRPr="00861A34">
              <w:rPr>
                <w:rFonts w:ascii="Palatino Linotype" w:eastAsia="Times New Roman" w:hAnsi="Palatino Linotype"/>
                <w:color w:val="000000"/>
                <w:kern w:val="24"/>
                <w:position w:val="-10"/>
                <w:sz w:val="20"/>
                <w:szCs w:val="20"/>
                <w:vertAlign w:val="subscript"/>
              </w:rPr>
              <w:t>2</w:t>
            </w:r>
            <w:r w:rsidRPr="00861A34">
              <w:rPr>
                <w:rFonts w:ascii="Palatino Linotype" w:eastAsia="Times New Roman" w:hAnsi="Palatino Linotype"/>
                <w:color w:val="000000"/>
                <w:kern w:val="24"/>
                <w:sz w:val="20"/>
                <w:szCs w:val="20"/>
              </w:rPr>
              <w:t>O</w:t>
            </w:r>
          </w:p>
        </w:tc>
        <w:tc>
          <w:tcPr>
            <w:tcW w:w="3013" w:type="dxa"/>
            <w:hideMark/>
          </w:tcPr>
          <w:p w:rsidR="000763D6" w:rsidRPr="00861A34" w:rsidRDefault="000763D6" w:rsidP="00C00EAD">
            <w:pPr>
              <w:jc w:val="center"/>
              <w:textAlignment w:val="baseline"/>
              <w:rPr>
                <w:rFonts w:ascii="Palatino Linotype" w:eastAsia="Times New Roman" w:hAnsi="Palatino Linotype"/>
                <w:sz w:val="20"/>
                <w:szCs w:val="20"/>
              </w:rPr>
            </w:pPr>
            <w:r w:rsidRPr="00861A34">
              <w:rPr>
                <w:rFonts w:ascii="Palatino Linotype" w:eastAsia="Times New Roman" w:hAnsi="Palatino Linotype"/>
                <w:color w:val="000000"/>
                <w:kern w:val="24"/>
                <w:sz w:val="20"/>
                <w:szCs w:val="20"/>
              </w:rPr>
              <w:t>296</w:t>
            </w:r>
          </w:p>
        </w:tc>
      </w:tr>
      <w:tr w:rsidR="000763D6" w:rsidRPr="00861A34" w:rsidTr="002A26EB">
        <w:trPr>
          <w:trHeight w:val="813"/>
        </w:trPr>
        <w:tc>
          <w:tcPr>
            <w:tcW w:w="4621" w:type="dxa"/>
          </w:tcPr>
          <w:p w:rsidR="000763D6" w:rsidRPr="00861A34" w:rsidRDefault="000763D6" w:rsidP="00C00EAD">
            <w:pPr>
              <w:textAlignment w:val="baseline"/>
              <w:rPr>
                <w:rFonts w:ascii="Palatino Linotype" w:eastAsia="Times New Roman" w:hAnsi="Palatino Linotype"/>
                <w:b/>
                <w:bCs/>
                <w:color w:val="000000"/>
                <w:kern w:val="24"/>
                <w:sz w:val="20"/>
                <w:szCs w:val="20"/>
              </w:rPr>
            </w:pPr>
            <w:r w:rsidRPr="00861A34">
              <w:rPr>
                <w:rFonts w:ascii="Palatino Linotype" w:eastAsia="Times New Roman" w:hAnsi="Palatino Linotype"/>
                <w:b/>
                <w:bCs/>
                <w:color w:val="000000"/>
                <w:kern w:val="24"/>
                <w:sz w:val="20"/>
                <w:szCs w:val="20"/>
              </w:rPr>
              <w:t>Hydrofluorocarbons</w:t>
            </w:r>
          </w:p>
        </w:tc>
        <w:tc>
          <w:tcPr>
            <w:tcW w:w="1942" w:type="dxa"/>
            <w:hideMark/>
          </w:tcPr>
          <w:p w:rsidR="000763D6" w:rsidRPr="00861A34" w:rsidRDefault="000763D6" w:rsidP="00C00EAD">
            <w:pPr>
              <w:jc w:val="center"/>
              <w:textAlignment w:val="baseline"/>
              <w:rPr>
                <w:rFonts w:ascii="Palatino Linotype" w:eastAsia="Times New Roman" w:hAnsi="Palatino Linotype"/>
                <w:sz w:val="20"/>
                <w:szCs w:val="20"/>
              </w:rPr>
            </w:pPr>
            <w:r w:rsidRPr="00861A34">
              <w:rPr>
                <w:rFonts w:ascii="Palatino Linotype" w:eastAsia="Times New Roman" w:hAnsi="Palatino Linotype"/>
                <w:color w:val="000000"/>
                <w:kern w:val="24"/>
                <w:sz w:val="20"/>
                <w:szCs w:val="20"/>
              </w:rPr>
              <w:t>HFCs</w:t>
            </w:r>
          </w:p>
        </w:tc>
        <w:tc>
          <w:tcPr>
            <w:tcW w:w="3013" w:type="dxa"/>
            <w:hideMark/>
          </w:tcPr>
          <w:p w:rsidR="000763D6" w:rsidRPr="00861A34" w:rsidRDefault="000763D6" w:rsidP="00C00EAD">
            <w:pPr>
              <w:jc w:val="center"/>
              <w:textAlignment w:val="baseline"/>
              <w:rPr>
                <w:rFonts w:ascii="Palatino Linotype" w:eastAsia="Times New Roman" w:hAnsi="Palatino Linotype"/>
                <w:sz w:val="20"/>
                <w:szCs w:val="20"/>
              </w:rPr>
            </w:pPr>
            <w:r w:rsidRPr="00861A34">
              <w:rPr>
                <w:rFonts w:ascii="Palatino Linotype" w:eastAsia="Times New Roman" w:hAnsi="Palatino Linotype"/>
                <w:color w:val="000000"/>
                <w:kern w:val="24"/>
                <w:sz w:val="20"/>
                <w:szCs w:val="20"/>
              </w:rPr>
              <w:t>120-12,000</w:t>
            </w:r>
          </w:p>
        </w:tc>
      </w:tr>
      <w:tr w:rsidR="000763D6" w:rsidRPr="00861A34" w:rsidTr="002A26EB">
        <w:trPr>
          <w:trHeight w:val="813"/>
        </w:trPr>
        <w:tc>
          <w:tcPr>
            <w:tcW w:w="4621" w:type="dxa"/>
          </w:tcPr>
          <w:p w:rsidR="000763D6" w:rsidRPr="00861A34" w:rsidRDefault="000763D6" w:rsidP="00C00EAD">
            <w:pPr>
              <w:textAlignment w:val="baseline"/>
              <w:rPr>
                <w:rFonts w:ascii="Palatino Linotype" w:eastAsia="Times New Roman" w:hAnsi="Palatino Linotype"/>
                <w:b/>
                <w:bCs/>
                <w:color w:val="000000"/>
                <w:kern w:val="24"/>
                <w:sz w:val="20"/>
                <w:szCs w:val="20"/>
              </w:rPr>
            </w:pPr>
            <w:r w:rsidRPr="00861A34">
              <w:rPr>
                <w:rFonts w:ascii="Palatino Linotype" w:eastAsia="Times New Roman" w:hAnsi="Palatino Linotype"/>
                <w:b/>
                <w:bCs/>
                <w:color w:val="000000"/>
                <w:kern w:val="24"/>
                <w:sz w:val="20"/>
                <w:szCs w:val="20"/>
              </w:rPr>
              <w:t>Perfluorocarbons</w:t>
            </w:r>
          </w:p>
        </w:tc>
        <w:tc>
          <w:tcPr>
            <w:tcW w:w="1942" w:type="dxa"/>
            <w:hideMark/>
          </w:tcPr>
          <w:p w:rsidR="000763D6" w:rsidRPr="00861A34" w:rsidRDefault="000763D6" w:rsidP="00C00EAD">
            <w:pPr>
              <w:jc w:val="center"/>
              <w:textAlignment w:val="baseline"/>
              <w:rPr>
                <w:rFonts w:ascii="Palatino Linotype" w:eastAsia="Times New Roman" w:hAnsi="Palatino Linotype"/>
                <w:sz w:val="20"/>
                <w:szCs w:val="20"/>
              </w:rPr>
            </w:pPr>
            <w:r w:rsidRPr="00861A34">
              <w:rPr>
                <w:rFonts w:ascii="Palatino Linotype" w:eastAsia="Times New Roman" w:hAnsi="Palatino Linotype"/>
                <w:color w:val="000000"/>
                <w:kern w:val="24"/>
                <w:sz w:val="20"/>
                <w:szCs w:val="20"/>
              </w:rPr>
              <w:t>PFCs</w:t>
            </w:r>
          </w:p>
        </w:tc>
        <w:tc>
          <w:tcPr>
            <w:tcW w:w="3013" w:type="dxa"/>
            <w:hideMark/>
          </w:tcPr>
          <w:p w:rsidR="000763D6" w:rsidRPr="00861A34" w:rsidRDefault="000763D6" w:rsidP="00C00EAD">
            <w:pPr>
              <w:jc w:val="center"/>
              <w:textAlignment w:val="baseline"/>
              <w:rPr>
                <w:rFonts w:ascii="Palatino Linotype" w:eastAsia="Times New Roman" w:hAnsi="Palatino Linotype"/>
                <w:sz w:val="20"/>
                <w:szCs w:val="20"/>
              </w:rPr>
            </w:pPr>
            <w:r w:rsidRPr="00861A34">
              <w:rPr>
                <w:rFonts w:ascii="Palatino Linotype" w:eastAsia="Times New Roman" w:hAnsi="Palatino Linotype"/>
                <w:color w:val="000000"/>
                <w:kern w:val="24"/>
                <w:sz w:val="20"/>
                <w:szCs w:val="20"/>
              </w:rPr>
              <w:t>5,700-11,900</w:t>
            </w:r>
          </w:p>
        </w:tc>
      </w:tr>
      <w:tr w:rsidR="000763D6" w:rsidRPr="00861A34" w:rsidTr="002A26EB">
        <w:trPr>
          <w:trHeight w:val="813"/>
        </w:trPr>
        <w:tc>
          <w:tcPr>
            <w:tcW w:w="4621" w:type="dxa"/>
          </w:tcPr>
          <w:p w:rsidR="000763D6" w:rsidRPr="00861A34" w:rsidRDefault="00AA5A41" w:rsidP="00AA5A41">
            <w:pPr>
              <w:textAlignment w:val="baseline"/>
              <w:rPr>
                <w:rFonts w:ascii="Palatino Linotype" w:eastAsia="Times New Roman" w:hAnsi="Palatino Linotype"/>
                <w:b/>
                <w:bCs/>
                <w:color w:val="000000"/>
                <w:kern w:val="24"/>
                <w:sz w:val="20"/>
                <w:szCs w:val="20"/>
              </w:rPr>
            </w:pPr>
            <w:r>
              <w:rPr>
                <w:rFonts w:ascii="Palatino Linotype" w:eastAsia="Times New Roman" w:hAnsi="Palatino Linotype"/>
                <w:b/>
                <w:bCs/>
                <w:color w:val="000000"/>
                <w:kern w:val="24"/>
                <w:sz w:val="20"/>
                <w:szCs w:val="20"/>
              </w:rPr>
              <w:t>Sulf</w:t>
            </w:r>
            <w:r w:rsidR="000763D6" w:rsidRPr="00861A34">
              <w:rPr>
                <w:rFonts w:ascii="Palatino Linotype" w:eastAsia="Times New Roman" w:hAnsi="Palatino Linotype"/>
                <w:b/>
                <w:bCs/>
                <w:color w:val="000000"/>
                <w:kern w:val="24"/>
                <w:sz w:val="20"/>
                <w:szCs w:val="20"/>
              </w:rPr>
              <w:t>ur Hexafluoride</w:t>
            </w:r>
          </w:p>
        </w:tc>
        <w:tc>
          <w:tcPr>
            <w:tcW w:w="1942" w:type="dxa"/>
            <w:hideMark/>
          </w:tcPr>
          <w:p w:rsidR="000763D6" w:rsidRPr="00861A34" w:rsidRDefault="000763D6" w:rsidP="00C00EAD">
            <w:pPr>
              <w:jc w:val="center"/>
              <w:textAlignment w:val="baseline"/>
              <w:rPr>
                <w:rFonts w:ascii="Palatino Linotype" w:eastAsia="Times New Roman" w:hAnsi="Palatino Linotype"/>
                <w:sz w:val="20"/>
                <w:szCs w:val="20"/>
              </w:rPr>
            </w:pPr>
            <w:r w:rsidRPr="00861A34">
              <w:rPr>
                <w:rFonts w:ascii="Palatino Linotype" w:eastAsia="Times New Roman" w:hAnsi="Palatino Linotype"/>
                <w:color w:val="000000"/>
                <w:kern w:val="24"/>
                <w:sz w:val="20"/>
                <w:szCs w:val="20"/>
              </w:rPr>
              <w:t>SF</w:t>
            </w:r>
            <w:r w:rsidRPr="00861A34">
              <w:rPr>
                <w:rFonts w:ascii="Palatino Linotype" w:eastAsia="Times New Roman" w:hAnsi="Palatino Linotype"/>
                <w:color w:val="000000"/>
                <w:kern w:val="24"/>
                <w:position w:val="-10"/>
                <w:sz w:val="20"/>
                <w:szCs w:val="20"/>
                <w:vertAlign w:val="subscript"/>
              </w:rPr>
              <w:t>6</w:t>
            </w:r>
          </w:p>
        </w:tc>
        <w:tc>
          <w:tcPr>
            <w:tcW w:w="3013" w:type="dxa"/>
            <w:hideMark/>
          </w:tcPr>
          <w:p w:rsidR="000763D6" w:rsidRPr="00861A34" w:rsidRDefault="000763D6" w:rsidP="00C00EAD">
            <w:pPr>
              <w:jc w:val="center"/>
              <w:textAlignment w:val="baseline"/>
              <w:rPr>
                <w:rFonts w:ascii="Palatino Linotype" w:eastAsia="Times New Roman" w:hAnsi="Palatino Linotype"/>
                <w:sz w:val="20"/>
                <w:szCs w:val="20"/>
              </w:rPr>
            </w:pPr>
            <w:r w:rsidRPr="00861A34">
              <w:rPr>
                <w:rFonts w:ascii="Palatino Linotype" w:eastAsia="Times New Roman" w:hAnsi="Palatino Linotype"/>
                <w:color w:val="000000"/>
                <w:kern w:val="24"/>
                <w:sz w:val="20"/>
                <w:szCs w:val="20"/>
              </w:rPr>
              <w:t>22,200</w:t>
            </w:r>
          </w:p>
        </w:tc>
      </w:tr>
    </w:tbl>
    <w:p w:rsidR="004E660C" w:rsidRDefault="004E660C" w:rsidP="004E660C">
      <w:pPr>
        <w:rPr>
          <w:rFonts w:ascii="Palatino Linotype" w:hAnsi="Palatino Linotype" w:cs="Arial"/>
          <w:b/>
          <w:bCs/>
          <w:smallCaps/>
          <w:sz w:val="28"/>
          <w:szCs w:val="28"/>
        </w:rPr>
      </w:pPr>
    </w:p>
    <w:p w:rsidR="004E660C" w:rsidRDefault="004E660C" w:rsidP="004E660C">
      <w:pPr>
        <w:rPr>
          <w:rFonts w:ascii="Palatino Linotype" w:hAnsi="Palatino Linotype" w:cs="Arial"/>
          <w:b/>
          <w:bCs/>
          <w:smallCaps/>
          <w:sz w:val="28"/>
          <w:szCs w:val="28"/>
        </w:rPr>
      </w:pPr>
    </w:p>
    <w:p w:rsidR="004E660C" w:rsidRPr="008E048E" w:rsidRDefault="004E660C" w:rsidP="004E660C">
      <w:pPr>
        <w:keepNext/>
        <w:spacing w:before="240" w:after="120"/>
        <w:outlineLvl w:val="3"/>
        <w:rPr>
          <w:rFonts w:ascii="Palatino Linotype" w:hAnsi="Palatino Linotype" w:cs="Arial"/>
          <w:b/>
          <w:bCs/>
          <w:smallCaps/>
          <w:sz w:val="28"/>
          <w:szCs w:val="28"/>
        </w:rPr>
      </w:pPr>
      <w:r>
        <w:rPr>
          <w:rFonts w:ascii="Palatino Linotype" w:hAnsi="Palatino Linotype" w:cs="Arial"/>
          <w:b/>
          <w:bCs/>
          <w:smallCaps/>
          <w:sz w:val="28"/>
          <w:szCs w:val="28"/>
        </w:rPr>
        <w:t>E</w:t>
      </w:r>
      <w:r w:rsidRPr="008E048E">
        <w:rPr>
          <w:rFonts w:ascii="Palatino Linotype" w:hAnsi="Palatino Linotype" w:cs="Arial"/>
          <w:b/>
          <w:bCs/>
          <w:smallCaps/>
          <w:sz w:val="28"/>
          <w:szCs w:val="28"/>
        </w:rPr>
        <w:t>missions Inventory Details</w:t>
      </w:r>
    </w:p>
    <w:p w:rsidR="004E660C" w:rsidRDefault="008E048E" w:rsidP="004E660C">
      <w:pPr>
        <w:rPr>
          <w:rFonts w:ascii="Palatino Linotype" w:hAnsi="Palatino Linotype" w:cs="Times New Roman"/>
          <w:b/>
          <w:bCs/>
        </w:rPr>
      </w:pPr>
      <w:r w:rsidRPr="008E048E">
        <w:rPr>
          <w:rFonts w:ascii="Palatino Linotype" w:hAnsi="Palatino Linotype"/>
        </w:rPr>
        <w:t xml:space="preserve">Greenhouse gas </w:t>
      </w:r>
      <w:r w:rsidR="00E15ACC" w:rsidRPr="008E048E">
        <w:rPr>
          <w:rFonts w:ascii="Palatino Linotype" w:hAnsi="Palatino Linotype"/>
        </w:rPr>
        <w:t xml:space="preserve">emissions </w:t>
      </w:r>
      <w:r w:rsidRPr="008E048E">
        <w:rPr>
          <w:rFonts w:ascii="Palatino Linotype" w:hAnsi="Palatino Linotype"/>
        </w:rPr>
        <w:t xml:space="preserve">at Saint John’s </w:t>
      </w:r>
      <w:r w:rsidRPr="00C7632B">
        <w:rPr>
          <w:rFonts w:ascii="Palatino Linotype" w:hAnsi="Palatino Linotype"/>
        </w:rPr>
        <w:t>University totaled</w:t>
      </w:r>
      <w:r w:rsidR="00DB31ED" w:rsidRPr="00C7632B">
        <w:rPr>
          <w:rFonts w:ascii="Palatino Linotype" w:hAnsi="Palatino Linotype"/>
        </w:rPr>
        <w:t xml:space="preserve"> </w:t>
      </w:r>
      <w:r w:rsidR="00C7632B" w:rsidRPr="00C7632B">
        <w:rPr>
          <w:rFonts w:ascii="Palatino Linotype" w:hAnsi="Palatino Linotype"/>
        </w:rPr>
        <w:t>20,1</w:t>
      </w:r>
      <w:r w:rsidR="00BF4F8F">
        <w:rPr>
          <w:rFonts w:ascii="Palatino Linotype" w:hAnsi="Palatino Linotype"/>
        </w:rPr>
        <w:t>06.3</w:t>
      </w:r>
      <w:r w:rsidR="00351EE6" w:rsidRPr="00C7632B">
        <w:rPr>
          <w:rFonts w:ascii="Palatino Linotype" w:hAnsi="Palatino Linotype"/>
        </w:rPr>
        <w:t xml:space="preserve"> </w:t>
      </w:r>
      <w:r w:rsidR="00F87697" w:rsidRPr="00C7632B">
        <w:rPr>
          <w:rFonts w:ascii="Palatino Linotype" w:hAnsi="Palatino Linotype"/>
        </w:rPr>
        <w:t>MT eCO</w:t>
      </w:r>
      <w:r w:rsidR="00F87697" w:rsidRPr="00C7632B">
        <w:rPr>
          <w:rFonts w:ascii="Palatino Linotype" w:hAnsi="Palatino Linotype"/>
          <w:vertAlign w:val="subscript"/>
        </w:rPr>
        <w:t xml:space="preserve">2 </w:t>
      </w:r>
      <w:r w:rsidR="00F87697" w:rsidRPr="00C7632B">
        <w:rPr>
          <w:rFonts w:ascii="Palatino Linotype" w:hAnsi="Palatino Linotype"/>
        </w:rPr>
        <w:t>in</w:t>
      </w:r>
      <w:r w:rsidRPr="008E048E">
        <w:rPr>
          <w:rFonts w:ascii="Palatino Linotype" w:hAnsi="Palatino Linotype"/>
        </w:rPr>
        <w:t xml:space="preserve"> fiscal year</w:t>
      </w:r>
      <w:r w:rsidR="00F87697" w:rsidRPr="008E048E">
        <w:rPr>
          <w:rFonts w:ascii="Palatino Linotype" w:hAnsi="Palatino Linotype"/>
        </w:rPr>
        <w:t xml:space="preserve"> 2014</w:t>
      </w:r>
      <w:r w:rsidR="00351EE6" w:rsidRPr="008E048E">
        <w:rPr>
          <w:rFonts w:ascii="Palatino Linotype" w:hAnsi="Palatino Linotype"/>
        </w:rPr>
        <w:t xml:space="preserve">. </w:t>
      </w:r>
      <w:r w:rsidRPr="008E048E">
        <w:rPr>
          <w:rFonts w:ascii="Palatino Linotype" w:hAnsi="Palatino Linotype"/>
        </w:rPr>
        <w:t xml:space="preserve"> </w:t>
      </w:r>
      <w:r w:rsidR="00A810DA" w:rsidRPr="008E048E">
        <w:rPr>
          <w:rFonts w:ascii="Palatino Linotype" w:hAnsi="Palatino Linotype"/>
        </w:rPr>
        <w:t>Table 4 provides a su</w:t>
      </w:r>
      <w:r w:rsidR="002810E7" w:rsidRPr="008E048E">
        <w:rPr>
          <w:rFonts w:ascii="Palatino Linotype" w:hAnsi="Palatino Linotype"/>
        </w:rPr>
        <w:t>mm</w:t>
      </w:r>
      <w:r w:rsidR="00A810DA" w:rsidRPr="008E048E">
        <w:rPr>
          <w:rFonts w:ascii="Palatino Linotype" w:hAnsi="Palatino Linotype"/>
        </w:rPr>
        <w:t xml:space="preserve">ary of </w:t>
      </w:r>
      <w:r w:rsidR="00C7632B">
        <w:rPr>
          <w:rFonts w:ascii="Palatino Linotype" w:hAnsi="Palatino Linotype"/>
        </w:rPr>
        <w:t xml:space="preserve">campus </w:t>
      </w:r>
      <w:r w:rsidR="00A810DA" w:rsidRPr="008E048E">
        <w:rPr>
          <w:rFonts w:ascii="Palatino Linotype" w:hAnsi="Palatino Linotype"/>
        </w:rPr>
        <w:t xml:space="preserve">emissions </w:t>
      </w:r>
      <w:r w:rsidR="00C7632B">
        <w:rPr>
          <w:rFonts w:ascii="Palatino Linotype" w:hAnsi="Palatino Linotype"/>
        </w:rPr>
        <w:t>divided by source</w:t>
      </w:r>
      <w:r w:rsidRPr="008E048E">
        <w:rPr>
          <w:rFonts w:ascii="Palatino Linotype" w:hAnsi="Palatino Linotype"/>
        </w:rPr>
        <w:t xml:space="preserve">.  </w:t>
      </w:r>
      <w:r w:rsidR="00C7632B">
        <w:rPr>
          <w:rFonts w:ascii="Palatino Linotype" w:hAnsi="Palatino Linotype"/>
        </w:rPr>
        <w:t>Emissions d</w:t>
      </w:r>
      <w:r w:rsidRPr="008E048E">
        <w:rPr>
          <w:rFonts w:ascii="Palatino Linotype" w:hAnsi="Palatino Linotype"/>
        </w:rPr>
        <w:t>ata from fiscal</w:t>
      </w:r>
      <w:r w:rsidR="00DB31ED" w:rsidRPr="008E048E">
        <w:rPr>
          <w:rFonts w:ascii="Palatino Linotype" w:hAnsi="Palatino Linotype"/>
        </w:rPr>
        <w:t xml:space="preserve"> year 201</w:t>
      </w:r>
      <w:r w:rsidR="00DE25E8" w:rsidRPr="008E048E">
        <w:rPr>
          <w:rFonts w:ascii="Palatino Linotype" w:hAnsi="Palatino Linotype"/>
        </w:rPr>
        <w:t>1</w:t>
      </w:r>
      <w:r w:rsidRPr="008E048E">
        <w:rPr>
          <w:rFonts w:ascii="Palatino Linotype" w:hAnsi="Palatino Linotype"/>
        </w:rPr>
        <w:t>, SJU’s most recent previously submitted GHG inventory, is available for comparison.</w:t>
      </w:r>
    </w:p>
    <w:p w:rsidR="00A810DA" w:rsidRPr="00861A34" w:rsidRDefault="004E660C" w:rsidP="00A810DA">
      <w:pPr>
        <w:overflowPunct w:val="0"/>
        <w:autoSpaceDE w:val="0"/>
        <w:autoSpaceDN w:val="0"/>
        <w:adjustRightInd w:val="0"/>
        <w:jc w:val="center"/>
        <w:textAlignment w:val="baseline"/>
        <w:rPr>
          <w:rFonts w:ascii="Palatino Linotype" w:hAnsi="Palatino Linotype" w:cs="Times New Roman"/>
          <w:b/>
          <w:bCs/>
        </w:rPr>
      </w:pPr>
      <w:r>
        <w:rPr>
          <w:rFonts w:ascii="Palatino Linotype" w:hAnsi="Palatino Linotype" w:cs="Times New Roman"/>
          <w:b/>
          <w:bCs/>
        </w:rPr>
        <w:t>T</w:t>
      </w:r>
      <w:r w:rsidR="00A810DA" w:rsidRPr="00861A34">
        <w:rPr>
          <w:rFonts w:ascii="Palatino Linotype" w:hAnsi="Palatino Linotype" w:cs="Times New Roman"/>
          <w:b/>
          <w:bCs/>
        </w:rPr>
        <w:t xml:space="preserve">able 4. </w:t>
      </w:r>
      <w:r w:rsidR="00F87697">
        <w:rPr>
          <w:rFonts w:ascii="Palatino Linotype" w:hAnsi="Palatino Linotype" w:cs="Times New Roman"/>
          <w:b/>
          <w:bCs/>
        </w:rPr>
        <w:t>Greenhouse Gas Emissions (MT e</w:t>
      </w:r>
      <w:r w:rsidR="00A810DA" w:rsidRPr="00861A34">
        <w:rPr>
          <w:rFonts w:ascii="Palatino Linotype" w:hAnsi="Palatino Linotype" w:cs="Times New Roman"/>
          <w:b/>
          <w:bCs/>
        </w:rPr>
        <w:t>CO</w:t>
      </w:r>
      <w:r w:rsidR="00A810DA" w:rsidRPr="00861A34">
        <w:rPr>
          <w:rFonts w:ascii="Palatino Linotype" w:hAnsi="Palatino Linotype" w:cs="Times New Roman"/>
          <w:b/>
          <w:bCs/>
          <w:vertAlign w:val="subscript"/>
        </w:rPr>
        <w:t>2</w:t>
      </w:r>
      <w:r w:rsidR="00250C13" w:rsidRPr="00861A34">
        <w:rPr>
          <w:rFonts w:ascii="Palatino Linotype" w:hAnsi="Palatino Linotype" w:cs="Times New Roman"/>
          <w:b/>
          <w:bCs/>
        </w:rPr>
        <w:t>) by Category</w:t>
      </w:r>
      <w:r w:rsidR="00AA5A41">
        <w:rPr>
          <w:rFonts w:ascii="Palatino Linotype" w:hAnsi="Palatino Linotype" w:cs="Times New Roman"/>
          <w:b/>
          <w:bCs/>
        </w:rPr>
        <w:t xml:space="preserve"> 2014</w:t>
      </w:r>
      <w:r w:rsidR="00680E96" w:rsidRPr="00861A34">
        <w:rPr>
          <w:rFonts w:ascii="Palatino Linotype" w:hAnsi="Palatino Linotype" w:cs="Times New Roman"/>
          <w:b/>
          <w:bCs/>
        </w:rPr>
        <w:t xml:space="preserve"> </w:t>
      </w:r>
      <w:r w:rsidR="00AA5A41">
        <w:rPr>
          <w:rFonts w:ascii="Palatino Linotype" w:hAnsi="Palatino Linotype" w:cs="Times New Roman"/>
          <w:b/>
          <w:bCs/>
        </w:rPr>
        <w:t xml:space="preserve">and 2011 </w:t>
      </w:r>
      <w:r w:rsidR="00AA5A41" w:rsidRPr="00861A34">
        <w:rPr>
          <w:rFonts w:ascii="Palatino Linotype" w:hAnsi="Palatino Linotype" w:cs="Times New Roman"/>
          <w:b/>
          <w:bCs/>
        </w:rPr>
        <w:t>(comparison)</w:t>
      </w:r>
    </w:p>
    <w:tbl>
      <w:tblPr>
        <w:tblStyle w:val="TableGrid"/>
        <w:tblW w:w="4671" w:type="pct"/>
        <w:tblLook w:val="01E0" w:firstRow="1" w:lastRow="1" w:firstColumn="1" w:lastColumn="1" w:noHBand="0" w:noVBand="0"/>
      </w:tblPr>
      <w:tblGrid>
        <w:gridCol w:w="3921"/>
        <w:gridCol w:w="1213"/>
        <w:gridCol w:w="1212"/>
        <w:gridCol w:w="1212"/>
        <w:gridCol w:w="1177"/>
      </w:tblGrid>
      <w:tr w:rsidR="00250C13" w:rsidRPr="00861A34" w:rsidTr="00DE25E8">
        <w:trPr>
          <w:trHeight w:hRule="exact" w:val="432"/>
        </w:trPr>
        <w:tc>
          <w:tcPr>
            <w:tcW w:w="2244" w:type="pct"/>
            <w:shd w:val="clear" w:color="auto" w:fill="000000" w:themeFill="text1"/>
          </w:tcPr>
          <w:p w:rsidR="00250C13" w:rsidRPr="00861A34" w:rsidRDefault="00250C13" w:rsidP="00355E19">
            <w:pPr>
              <w:overflowPunct w:val="0"/>
              <w:autoSpaceDE w:val="0"/>
              <w:autoSpaceDN w:val="0"/>
              <w:adjustRightInd w:val="0"/>
              <w:jc w:val="center"/>
              <w:textAlignment w:val="baseline"/>
              <w:rPr>
                <w:rFonts w:ascii="Palatino Linotype" w:hAnsi="Palatino Linotype"/>
                <w:b/>
                <w:color w:val="FFFFFF"/>
                <w:sz w:val="20"/>
                <w:szCs w:val="20"/>
              </w:rPr>
            </w:pPr>
            <w:r w:rsidRPr="00861A34">
              <w:rPr>
                <w:rFonts w:ascii="Palatino Linotype" w:hAnsi="Palatino Linotype"/>
                <w:b/>
                <w:color w:val="FFFFFF"/>
                <w:sz w:val="20"/>
                <w:szCs w:val="20"/>
              </w:rPr>
              <w:t>Activity</w:t>
            </w:r>
          </w:p>
        </w:tc>
        <w:tc>
          <w:tcPr>
            <w:tcW w:w="694" w:type="pct"/>
            <w:shd w:val="clear" w:color="auto" w:fill="000000" w:themeFill="text1"/>
          </w:tcPr>
          <w:p w:rsidR="00250C13" w:rsidRPr="00861A34" w:rsidRDefault="00AA5A41" w:rsidP="00861A34">
            <w:pPr>
              <w:overflowPunct w:val="0"/>
              <w:autoSpaceDE w:val="0"/>
              <w:autoSpaceDN w:val="0"/>
              <w:adjustRightInd w:val="0"/>
              <w:jc w:val="center"/>
              <w:textAlignment w:val="baseline"/>
              <w:rPr>
                <w:rFonts w:ascii="Palatino Linotype" w:hAnsi="Palatino Linotype"/>
                <w:b/>
                <w:color w:val="FFFFFF"/>
                <w:sz w:val="20"/>
                <w:szCs w:val="20"/>
              </w:rPr>
            </w:pPr>
            <w:r>
              <w:rPr>
                <w:rFonts w:ascii="Palatino Linotype" w:hAnsi="Palatino Linotype"/>
                <w:b/>
                <w:color w:val="FFFFFF"/>
                <w:sz w:val="20"/>
                <w:szCs w:val="20"/>
              </w:rPr>
              <w:t>2014</w:t>
            </w:r>
          </w:p>
        </w:tc>
        <w:tc>
          <w:tcPr>
            <w:tcW w:w="694" w:type="pct"/>
            <w:shd w:val="clear" w:color="auto" w:fill="000000" w:themeFill="text1"/>
          </w:tcPr>
          <w:p w:rsidR="00250C13" w:rsidRPr="00861A34" w:rsidRDefault="00250C13" w:rsidP="00861A34">
            <w:pPr>
              <w:overflowPunct w:val="0"/>
              <w:autoSpaceDE w:val="0"/>
              <w:autoSpaceDN w:val="0"/>
              <w:adjustRightInd w:val="0"/>
              <w:jc w:val="center"/>
              <w:textAlignment w:val="baseline"/>
              <w:rPr>
                <w:rFonts w:ascii="Palatino Linotype" w:hAnsi="Palatino Linotype"/>
                <w:b/>
                <w:color w:val="FFFFFF"/>
                <w:sz w:val="20"/>
                <w:szCs w:val="20"/>
              </w:rPr>
            </w:pPr>
            <w:r w:rsidRPr="00861A34">
              <w:rPr>
                <w:rFonts w:ascii="Palatino Linotype" w:hAnsi="Palatino Linotype"/>
                <w:b/>
                <w:color w:val="FFFFFF"/>
                <w:sz w:val="20"/>
                <w:szCs w:val="20"/>
              </w:rPr>
              <w:t>% of Total</w:t>
            </w:r>
          </w:p>
        </w:tc>
        <w:tc>
          <w:tcPr>
            <w:tcW w:w="694" w:type="pct"/>
            <w:shd w:val="clear" w:color="auto" w:fill="000000" w:themeFill="text1"/>
          </w:tcPr>
          <w:p w:rsidR="00250C13" w:rsidRPr="00861A34" w:rsidRDefault="002A478B" w:rsidP="00355E19">
            <w:pPr>
              <w:overflowPunct w:val="0"/>
              <w:autoSpaceDE w:val="0"/>
              <w:autoSpaceDN w:val="0"/>
              <w:adjustRightInd w:val="0"/>
              <w:jc w:val="center"/>
              <w:textAlignment w:val="baseline"/>
              <w:rPr>
                <w:rFonts w:ascii="Palatino Linotype" w:hAnsi="Palatino Linotype"/>
                <w:b/>
                <w:color w:val="FFFFFF"/>
                <w:sz w:val="20"/>
                <w:szCs w:val="20"/>
              </w:rPr>
            </w:pPr>
            <w:r w:rsidRPr="00861A34">
              <w:rPr>
                <w:rFonts w:ascii="Palatino Linotype" w:hAnsi="Palatino Linotype"/>
                <w:b/>
                <w:color w:val="FFFFFF"/>
                <w:sz w:val="20"/>
                <w:szCs w:val="20"/>
              </w:rPr>
              <w:t>2011</w:t>
            </w:r>
          </w:p>
        </w:tc>
        <w:tc>
          <w:tcPr>
            <w:tcW w:w="674" w:type="pct"/>
            <w:shd w:val="clear" w:color="auto" w:fill="000000" w:themeFill="text1"/>
          </w:tcPr>
          <w:p w:rsidR="00250C13" w:rsidRPr="00861A34" w:rsidRDefault="00AA5A41" w:rsidP="00355E19">
            <w:pPr>
              <w:overflowPunct w:val="0"/>
              <w:autoSpaceDE w:val="0"/>
              <w:autoSpaceDN w:val="0"/>
              <w:adjustRightInd w:val="0"/>
              <w:jc w:val="center"/>
              <w:textAlignment w:val="baseline"/>
              <w:rPr>
                <w:rFonts w:ascii="Palatino Linotype" w:hAnsi="Palatino Linotype"/>
                <w:b/>
                <w:color w:val="FFFFFF"/>
                <w:sz w:val="20"/>
                <w:szCs w:val="20"/>
              </w:rPr>
            </w:pPr>
            <w:r w:rsidRPr="00861A34">
              <w:rPr>
                <w:rFonts w:ascii="Palatino Linotype" w:hAnsi="Palatino Linotype"/>
                <w:b/>
                <w:color w:val="FFFFFF"/>
                <w:sz w:val="20"/>
                <w:szCs w:val="20"/>
              </w:rPr>
              <w:t>% of Total</w:t>
            </w:r>
          </w:p>
        </w:tc>
      </w:tr>
      <w:tr w:rsidR="00250C13" w:rsidRPr="00861A34" w:rsidTr="00DE25E8">
        <w:trPr>
          <w:trHeight w:hRule="exact" w:val="504"/>
        </w:trPr>
        <w:tc>
          <w:tcPr>
            <w:tcW w:w="2244" w:type="pct"/>
          </w:tcPr>
          <w:p w:rsidR="00250C13" w:rsidRPr="00861A34" w:rsidRDefault="00250C13" w:rsidP="00325C88">
            <w:pPr>
              <w:overflowPunct w:val="0"/>
              <w:autoSpaceDE w:val="0"/>
              <w:autoSpaceDN w:val="0"/>
              <w:adjustRightInd w:val="0"/>
              <w:jc w:val="center"/>
              <w:textAlignment w:val="baseline"/>
              <w:rPr>
                <w:rFonts w:ascii="Palatino Linotype" w:hAnsi="Palatino Linotype"/>
                <w:b/>
                <w:color w:val="000000"/>
                <w:sz w:val="20"/>
                <w:szCs w:val="20"/>
              </w:rPr>
            </w:pPr>
            <w:r w:rsidRPr="00861A34">
              <w:rPr>
                <w:rFonts w:ascii="Palatino Linotype" w:hAnsi="Palatino Linotype"/>
                <w:b/>
                <w:color w:val="000000"/>
                <w:sz w:val="20"/>
                <w:szCs w:val="20"/>
              </w:rPr>
              <w:t>Co-Generation Steam</w:t>
            </w:r>
          </w:p>
        </w:tc>
        <w:tc>
          <w:tcPr>
            <w:tcW w:w="694" w:type="pct"/>
          </w:tcPr>
          <w:p w:rsidR="00250C13" w:rsidRDefault="00DD599D"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8,439.4</w:t>
            </w:r>
          </w:p>
          <w:p w:rsidR="00DD599D" w:rsidRPr="00861A34" w:rsidRDefault="00DD599D" w:rsidP="00861A34">
            <w:pPr>
              <w:overflowPunct w:val="0"/>
              <w:autoSpaceDE w:val="0"/>
              <w:autoSpaceDN w:val="0"/>
              <w:adjustRightInd w:val="0"/>
              <w:jc w:val="center"/>
              <w:textAlignment w:val="baseline"/>
              <w:rPr>
                <w:rFonts w:ascii="Palatino Linotype" w:hAnsi="Palatino Linotype"/>
                <w:color w:val="000000"/>
                <w:sz w:val="20"/>
                <w:szCs w:val="20"/>
              </w:rPr>
            </w:pPr>
          </w:p>
        </w:tc>
        <w:tc>
          <w:tcPr>
            <w:tcW w:w="694" w:type="pct"/>
          </w:tcPr>
          <w:p w:rsidR="00250C13" w:rsidRPr="00861A34" w:rsidRDefault="005964C8"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41.97</w:t>
            </w:r>
          </w:p>
        </w:tc>
        <w:tc>
          <w:tcPr>
            <w:tcW w:w="694" w:type="pct"/>
          </w:tcPr>
          <w:p w:rsidR="00250C13" w:rsidRPr="00861A34" w:rsidRDefault="00FA7203" w:rsidP="00FA7203">
            <w:pPr>
              <w:jc w:val="center"/>
              <w:rPr>
                <w:rFonts w:ascii="Palatino Linotype" w:hAnsi="Palatino Linotype"/>
                <w:color w:val="000000"/>
                <w:sz w:val="20"/>
                <w:szCs w:val="20"/>
              </w:rPr>
            </w:pPr>
            <w:r w:rsidRPr="00861A34">
              <w:rPr>
                <w:rFonts w:ascii="Palatino Linotype" w:hAnsi="Palatino Linotype"/>
                <w:color w:val="000000"/>
                <w:sz w:val="20"/>
                <w:szCs w:val="20"/>
              </w:rPr>
              <w:t>13,374.7</w:t>
            </w:r>
          </w:p>
        </w:tc>
        <w:tc>
          <w:tcPr>
            <w:tcW w:w="674" w:type="pct"/>
          </w:tcPr>
          <w:p w:rsidR="00250C13" w:rsidRPr="00861A34" w:rsidRDefault="005C271F" w:rsidP="00325C88">
            <w:pPr>
              <w:jc w:val="center"/>
              <w:rPr>
                <w:rFonts w:ascii="Palatino Linotype" w:hAnsi="Palatino Linotype"/>
                <w:color w:val="000000"/>
                <w:sz w:val="20"/>
                <w:szCs w:val="20"/>
              </w:rPr>
            </w:pPr>
            <w:r w:rsidRPr="00861A34">
              <w:rPr>
                <w:rFonts w:ascii="Palatino Linotype" w:hAnsi="Palatino Linotype"/>
                <w:color w:val="000000"/>
                <w:sz w:val="20"/>
                <w:szCs w:val="20"/>
              </w:rPr>
              <w:t>46.89</w:t>
            </w:r>
          </w:p>
        </w:tc>
      </w:tr>
      <w:tr w:rsidR="001830BC" w:rsidRPr="00861A34" w:rsidTr="00DE25E8">
        <w:trPr>
          <w:trHeight w:hRule="exact" w:val="504"/>
        </w:trPr>
        <w:tc>
          <w:tcPr>
            <w:tcW w:w="2244" w:type="pct"/>
          </w:tcPr>
          <w:p w:rsidR="001830BC" w:rsidRPr="00861A34" w:rsidRDefault="00DE25E8" w:rsidP="00325C88">
            <w:pPr>
              <w:overflowPunct w:val="0"/>
              <w:autoSpaceDE w:val="0"/>
              <w:autoSpaceDN w:val="0"/>
              <w:adjustRightInd w:val="0"/>
              <w:jc w:val="center"/>
              <w:textAlignment w:val="baseline"/>
              <w:rPr>
                <w:rFonts w:ascii="Palatino Linotype" w:hAnsi="Palatino Linotype"/>
                <w:b/>
                <w:color w:val="000000"/>
                <w:sz w:val="20"/>
                <w:szCs w:val="20"/>
              </w:rPr>
            </w:pPr>
            <w:r>
              <w:rPr>
                <w:rFonts w:ascii="Palatino Linotype" w:hAnsi="Palatino Linotype"/>
                <w:b/>
                <w:color w:val="000000"/>
                <w:sz w:val="20"/>
                <w:szCs w:val="20"/>
              </w:rPr>
              <w:t xml:space="preserve">On-Campus </w:t>
            </w:r>
            <w:r w:rsidR="001830BC" w:rsidRPr="00861A34">
              <w:rPr>
                <w:rFonts w:ascii="Palatino Linotype" w:hAnsi="Palatino Linotype"/>
                <w:b/>
                <w:color w:val="000000"/>
                <w:sz w:val="20"/>
                <w:szCs w:val="20"/>
              </w:rPr>
              <w:t>Stationary*</w:t>
            </w:r>
          </w:p>
        </w:tc>
        <w:tc>
          <w:tcPr>
            <w:tcW w:w="694" w:type="pct"/>
          </w:tcPr>
          <w:p w:rsidR="001830BC" w:rsidRPr="00861A34" w:rsidRDefault="00DD599D"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932.6</w:t>
            </w:r>
          </w:p>
        </w:tc>
        <w:tc>
          <w:tcPr>
            <w:tcW w:w="694" w:type="pct"/>
          </w:tcPr>
          <w:p w:rsidR="001830BC" w:rsidRPr="00861A34" w:rsidRDefault="00C7632B"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4.64</w:t>
            </w:r>
          </w:p>
        </w:tc>
        <w:tc>
          <w:tcPr>
            <w:tcW w:w="694" w:type="pct"/>
          </w:tcPr>
          <w:p w:rsidR="001830BC" w:rsidRPr="00861A34" w:rsidRDefault="00DE25E8" w:rsidP="00FA7203">
            <w:pPr>
              <w:jc w:val="center"/>
              <w:rPr>
                <w:rFonts w:ascii="Palatino Linotype" w:hAnsi="Palatino Linotype"/>
                <w:color w:val="000000"/>
                <w:sz w:val="20"/>
                <w:szCs w:val="20"/>
              </w:rPr>
            </w:pPr>
            <w:r>
              <w:rPr>
                <w:rFonts w:ascii="Palatino Linotype" w:hAnsi="Palatino Linotype"/>
                <w:color w:val="000000"/>
                <w:sz w:val="20"/>
                <w:szCs w:val="20"/>
              </w:rPr>
              <w:t>1708.9</w:t>
            </w:r>
          </w:p>
        </w:tc>
        <w:tc>
          <w:tcPr>
            <w:tcW w:w="674" w:type="pct"/>
          </w:tcPr>
          <w:p w:rsidR="001830BC" w:rsidRPr="00861A34" w:rsidRDefault="00DE25E8" w:rsidP="00325C88">
            <w:pPr>
              <w:jc w:val="center"/>
              <w:rPr>
                <w:rFonts w:ascii="Palatino Linotype" w:hAnsi="Palatino Linotype"/>
                <w:color w:val="000000"/>
                <w:sz w:val="20"/>
                <w:szCs w:val="20"/>
              </w:rPr>
            </w:pPr>
            <w:r>
              <w:rPr>
                <w:rFonts w:ascii="Palatino Linotype" w:hAnsi="Palatino Linotype"/>
                <w:color w:val="000000"/>
                <w:sz w:val="20"/>
                <w:szCs w:val="20"/>
              </w:rPr>
              <w:t>5.99</w:t>
            </w:r>
          </w:p>
        </w:tc>
      </w:tr>
      <w:tr w:rsidR="00250C13" w:rsidRPr="00861A34" w:rsidTr="00DE25E8">
        <w:trPr>
          <w:trHeight w:hRule="exact" w:val="504"/>
        </w:trPr>
        <w:tc>
          <w:tcPr>
            <w:tcW w:w="2244" w:type="pct"/>
          </w:tcPr>
          <w:p w:rsidR="00250C13" w:rsidRPr="00861A34" w:rsidRDefault="00250C13" w:rsidP="00325C88">
            <w:pPr>
              <w:overflowPunct w:val="0"/>
              <w:autoSpaceDE w:val="0"/>
              <w:autoSpaceDN w:val="0"/>
              <w:adjustRightInd w:val="0"/>
              <w:jc w:val="center"/>
              <w:textAlignment w:val="baseline"/>
              <w:rPr>
                <w:rFonts w:ascii="Palatino Linotype" w:hAnsi="Palatino Linotype"/>
                <w:b/>
                <w:color w:val="000000"/>
                <w:sz w:val="20"/>
                <w:szCs w:val="20"/>
              </w:rPr>
            </w:pPr>
            <w:r w:rsidRPr="00861A34">
              <w:rPr>
                <w:rFonts w:ascii="Palatino Linotype" w:hAnsi="Palatino Linotype"/>
                <w:b/>
                <w:color w:val="000000"/>
                <w:sz w:val="20"/>
                <w:szCs w:val="20"/>
              </w:rPr>
              <w:lastRenderedPageBreak/>
              <w:t>Campus Fleet</w:t>
            </w:r>
          </w:p>
        </w:tc>
        <w:tc>
          <w:tcPr>
            <w:tcW w:w="694" w:type="pct"/>
          </w:tcPr>
          <w:p w:rsidR="00250C13" w:rsidRDefault="008E048E"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484.7</w:t>
            </w:r>
          </w:p>
          <w:p w:rsidR="008E048E" w:rsidRPr="00861A34" w:rsidRDefault="008E048E" w:rsidP="00861A34">
            <w:pPr>
              <w:overflowPunct w:val="0"/>
              <w:autoSpaceDE w:val="0"/>
              <w:autoSpaceDN w:val="0"/>
              <w:adjustRightInd w:val="0"/>
              <w:jc w:val="center"/>
              <w:textAlignment w:val="baseline"/>
              <w:rPr>
                <w:rFonts w:ascii="Palatino Linotype" w:hAnsi="Palatino Linotype"/>
                <w:color w:val="000000"/>
                <w:sz w:val="20"/>
                <w:szCs w:val="20"/>
              </w:rPr>
            </w:pPr>
          </w:p>
        </w:tc>
        <w:tc>
          <w:tcPr>
            <w:tcW w:w="694" w:type="pct"/>
          </w:tcPr>
          <w:p w:rsidR="00250C13" w:rsidRPr="00861A34" w:rsidRDefault="00C7632B"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2.41</w:t>
            </w:r>
          </w:p>
        </w:tc>
        <w:tc>
          <w:tcPr>
            <w:tcW w:w="694" w:type="pct"/>
          </w:tcPr>
          <w:p w:rsidR="00250C13" w:rsidRPr="00861A34" w:rsidRDefault="00EF07FD" w:rsidP="00325C88">
            <w:pPr>
              <w:jc w:val="center"/>
              <w:rPr>
                <w:rFonts w:ascii="Palatino Linotype" w:hAnsi="Palatino Linotype"/>
                <w:color w:val="000000"/>
                <w:sz w:val="20"/>
                <w:szCs w:val="20"/>
              </w:rPr>
            </w:pPr>
            <w:r w:rsidRPr="00861A34">
              <w:rPr>
                <w:rFonts w:ascii="Palatino Linotype" w:hAnsi="Palatino Linotype"/>
                <w:color w:val="000000"/>
                <w:sz w:val="20"/>
                <w:szCs w:val="20"/>
              </w:rPr>
              <w:t>319.7</w:t>
            </w:r>
          </w:p>
        </w:tc>
        <w:tc>
          <w:tcPr>
            <w:tcW w:w="674" w:type="pct"/>
          </w:tcPr>
          <w:p w:rsidR="00250C13" w:rsidRPr="00861A34" w:rsidRDefault="005C271F" w:rsidP="00325C88">
            <w:pPr>
              <w:jc w:val="center"/>
              <w:rPr>
                <w:rFonts w:ascii="Palatino Linotype" w:hAnsi="Palatino Linotype"/>
                <w:color w:val="000000"/>
                <w:sz w:val="20"/>
                <w:szCs w:val="20"/>
              </w:rPr>
            </w:pPr>
            <w:r w:rsidRPr="00861A34">
              <w:rPr>
                <w:rFonts w:ascii="Palatino Linotype" w:hAnsi="Palatino Linotype"/>
                <w:color w:val="000000"/>
                <w:sz w:val="20"/>
                <w:szCs w:val="20"/>
              </w:rPr>
              <w:t>1.12</w:t>
            </w:r>
          </w:p>
        </w:tc>
      </w:tr>
      <w:tr w:rsidR="00250C13" w:rsidRPr="00861A34" w:rsidTr="00DE25E8">
        <w:trPr>
          <w:trHeight w:hRule="exact" w:val="504"/>
        </w:trPr>
        <w:tc>
          <w:tcPr>
            <w:tcW w:w="2244" w:type="pct"/>
          </w:tcPr>
          <w:p w:rsidR="00250C13" w:rsidRPr="00861A34" w:rsidRDefault="00250C13" w:rsidP="00325C88">
            <w:pPr>
              <w:overflowPunct w:val="0"/>
              <w:autoSpaceDE w:val="0"/>
              <w:autoSpaceDN w:val="0"/>
              <w:adjustRightInd w:val="0"/>
              <w:jc w:val="center"/>
              <w:textAlignment w:val="baseline"/>
              <w:rPr>
                <w:rFonts w:ascii="Palatino Linotype" w:hAnsi="Palatino Linotype"/>
                <w:b/>
                <w:color w:val="000000"/>
                <w:sz w:val="20"/>
                <w:szCs w:val="20"/>
              </w:rPr>
            </w:pPr>
            <w:r w:rsidRPr="00861A34">
              <w:rPr>
                <w:rFonts w:ascii="Palatino Linotype" w:hAnsi="Palatino Linotype"/>
                <w:b/>
                <w:color w:val="000000"/>
                <w:sz w:val="20"/>
                <w:szCs w:val="20"/>
              </w:rPr>
              <w:t>Refrigerants</w:t>
            </w:r>
          </w:p>
        </w:tc>
        <w:tc>
          <w:tcPr>
            <w:tcW w:w="694" w:type="pct"/>
          </w:tcPr>
          <w:p w:rsidR="00250C13" w:rsidRPr="00861A34" w:rsidRDefault="00DD599D"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31.9</w:t>
            </w:r>
          </w:p>
        </w:tc>
        <w:tc>
          <w:tcPr>
            <w:tcW w:w="694" w:type="pct"/>
          </w:tcPr>
          <w:p w:rsidR="00250C13" w:rsidRPr="00861A34" w:rsidRDefault="00C7632B"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0.16</w:t>
            </w:r>
          </w:p>
        </w:tc>
        <w:tc>
          <w:tcPr>
            <w:tcW w:w="694" w:type="pct"/>
          </w:tcPr>
          <w:p w:rsidR="00250C13" w:rsidRPr="00861A34" w:rsidRDefault="00EF07FD" w:rsidP="00325C88">
            <w:pPr>
              <w:jc w:val="center"/>
              <w:rPr>
                <w:rFonts w:ascii="Palatino Linotype" w:hAnsi="Palatino Linotype"/>
                <w:color w:val="000000"/>
                <w:sz w:val="20"/>
                <w:szCs w:val="20"/>
              </w:rPr>
            </w:pPr>
            <w:r w:rsidRPr="00861A34">
              <w:rPr>
                <w:rFonts w:ascii="Palatino Linotype" w:hAnsi="Palatino Linotype"/>
                <w:color w:val="000000"/>
                <w:sz w:val="20"/>
                <w:szCs w:val="20"/>
              </w:rPr>
              <w:t>56.2</w:t>
            </w:r>
          </w:p>
        </w:tc>
        <w:tc>
          <w:tcPr>
            <w:tcW w:w="674" w:type="pct"/>
          </w:tcPr>
          <w:p w:rsidR="00250C13" w:rsidRPr="00861A34" w:rsidRDefault="005C271F" w:rsidP="00325C88">
            <w:pPr>
              <w:jc w:val="center"/>
              <w:rPr>
                <w:rFonts w:ascii="Palatino Linotype" w:hAnsi="Palatino Linotype"/>
                <w:color w:val="000000"/>
                <w:sz w:val="20"/>
                <w:szCs w:val="20"/>
              </w:rPr>
            </w:pPr>
            <w:r w:rsidRPr="00861A34">
              <w:rPr>
                <w:rFonts w:ascii="Palatino Linotype" w:hAnsi="Palatino Linotype"/>
                <w:color w:val="000000"/>
                <w:sz w:val="20"/>
                <w:szCs w:val="20"/>
              </w:rPr>
              <w:t>0.20</w:t>
            </w:r>
          </w:p>
        </w:tc>
      </w:tr>
      <w:tr w:rsidR="00250C13" w:rsidRPr="00861A34" w:rsidTr="00DE25E8">
        <w:trPr>
          <w:trHeight w:hRule="exact" w:val="504"/>
        </w:trPr>
        <w:tc>
          <w:tcPr>
            <w:tcW w:w="2244" w:type="pct"/>
          </w:tcPr>
          <w:p w:rsidR="00250C13" w:rsidRPr="00861A34" w:rsidRDefault="00250C13" w:rsidP="00325C88">
            <w:pPr>
              <w:overflowPunct w:val="0"/>
              <w:autoSpaceDE w:val="0"/>
              <w:autoSpaceDN w:val="0"/>
              <w:adjustRightInd w:val="0"/>
              <w:jc w:val="center"/>
              <w:textAlignment w:val="baseline"/>
              <w:rPr>
                <w:rFonts w:ascii="Palatino Linotype" w:hAnsi="Palatino Linotype"/>
                <w:b/>
                <w:color w:val="000000"/>
                <w:sz w:val="20"/>
                <w:szCs w:val="20"/>
              </w:rPr>
            </w:pPr>
            <w:r w:rsidRPr="00861A34">
              <w:rPr>
                <w:rFonts w:ascii="Palatino Linotype" w:hAnsi="Palatino Linotype"/>
                <w:b/>
                <w:color w:val="000000"/>
                <w:sz w:val="20"/>
                <w:szCs w:val="20"/>
              </w:rPr>
              <w:t>Fertilizer</w:t>
            </w:r>
          </w:p>
        </w:tc>
        <w:tc>
          <w:tcPr>
            <w:tcW w:w="694" w:type="pct"/>
          </w:tcPr>
          <w:p w:rsidR="00250C13" w:rsidRPr="00861A34" w:rsidRDefault="00DD599D"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6.1</w:t>
            </w:r>
          </w:p>
        </w:tc>
        <w:tc>
          <w:tcPr>
            <w:tcW w:w="694" w:type="pct"/>
          </w:tcPr>
          <w:p w:rsidR="00250C13" w:rsidRPr="00861A34" w:rsidRDefault="00C7632B"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0.03</w:t>
            </w:r>
          </w:p>
        </w:tc>
        <w:tc>
          <w:tcPr>
            <w:tcW w:w="694" w:type="pct"/>
          </w:tcPr>
          <w:p w:rsidR="00250C13" w:rsidRPr="00861A34" w:rsidRDefault="00FA7203" w:rsidP="00325C88">
            <w:pPr>
              <w:jc w:val="center"/>
              <w:rPr>
                <w:rFonts w:ascii="Palatino Linotype" w:hAnsi="Palatino Linotype"/>
                <w:color w:val="000000"/>
                <w:sz w:val="20"/>
                <w:szCs w:val="20"/>
              </w:rPr>
            </w:pPr>
            <w:r w:rsidRPr="00861A34">
              <w:rPr>
                <w:rFonts w:ascii="Palatino Linotype" w:hAnsi="Palatino Linotype"/>
                <w:color w:val="000000"/>
                <w:sz w:val="20"/>
                <w:szCs w:val="20"/>
              </w:rPr>
              <w:t>14.0</w:t>
            </w:r>
          </w:p>
        </w:tc>
        <w:tc>
          <w:tcPr>
            <w:tcW w:w="674" w:type="pct"/>
          </w:tcPr>
          <w:p w:rsidR="00250C13" w:rsidRPr="00861A34" w:rsidRDefault="005C271F" w:rsidP="00325C88">
            <w:pPr>
              <w:jc w:val="center"/>
              <w:rPr>
                <w:rFonts w:ascii="Palatino Linotype" w:hAnsi="Palatino Linotype"/>
                <w:color w:val="000000"/>
                <w:sz w:val="20"/>
                <w:szCs w:val="20"/>
              </w:rPr>
            </w:pPr>
            <w:r w:rsidRPr="00861A34">
              <w:rPr>
                <w:rFonts w:ascii="Palatino Linotype" w:hAnsi="Palatino Linotype"/>
                <w:color w:val="000000"/>
                <w:sz w:val="20"/>
                <w:szCs w:val="20"/>
              </w:rPr>
              <w:t>0.05</w:t>
            </w:r>
          </w:p>
        </w:tc>
      </w:tr>
      <w:tr w:rsidR="00250C13" w:rsidRPr="00861A34" w:rsidTr="00DE25E8">
        <w:trPr>
          <w:trHeight w:hRule="exact" w:val="504"/>
        </w:trPr>
        <w:tc>
          <w:tcPr>
            <w:tcW w:w="2244" w:type="pct"/>
          </w:tcPr>
          <w:p w:rsidR="00250C13" w:rsidRPr="00861A34" w:rsidRDefault="00250C13" w:rsidP="00325C88">
            <w:pPr>
              <w:overflowPunct w:val="0"/>
              <w:autoSpaceDE w:val="0"/>
              <w:autoSpaceDN w:val="0"/>
              <w:adjustRightInd w:val="0"/>
              <w:jc w:val="center"/>
              <w:textAlignment w:val="baseline"/>
              <w:rPr>
                <w:rFonts w:ascii="Palatino Linotype" w:hAnsi="Palatino Linotype"/>
                <w:b/>
                <w:color w:val="000000"/>
                <w:sz w:val="20"/>
                <w:szCs w:val="20"/>
              </w:rPr>
            </w:pPr>
            <w:r w:rsidRPr="00861A34">
              <w:rPr>
                <w:rFonts w:ascii="Palatino Linotype" w:hAnsi="Palatino Linotype"/>
                <w:b/>
                <w:color w:val="000000"/>
                <w:sz w:val="20"/>
                <w:szCs w:val="20"/>
              </w:rPr>
              <w:t>Purchased Electricity</w:t>
            </w:r>
          </w:p>
        </w:tc>
        <w:tc>
          <w:tcPr>
            <w:tcW w:w="694" w:type="pct"/>
          </w:tcPr>
          <w:p w:rsidR="00250C13" w:rsidRPr="00861A34" w:rsidRDefault="00DD599D"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5,622.8</w:t>
            </w:r>
          </w:p>
        </w:tc>
        <w:tc>
          <w:tcPr>
            <w:tcW w:w="694" w:type="pct"/>
          </w:tcPr>
          <w:p w:rsidR="00250C13" w:rsidRPr="00861A34" w:rsidRDefault="005964C8"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27.97</w:t>
            </w:r>
          </w:p>
        </w:tc>
        <w:tc>
          <w:tcPr>
            <w:tcW w:w="694" w:type="pct"/>
          </w:tcPr>
          <w:p w:rsidR="00250C13" w:rsidRPr="00861A34" w:rsidRDefault="00FA7203" w:rsidP="00325C88">
            <w:pPr>
              <w:jc w:val="center"/>
              <w:rPr>
                <w:rFonts w:ascii="Palatino Linotype" w:hAnsi="Palatino Linotype"/>
                <w:color w:val="000000"/>
                <w:sz w:val="20"/>
                <w:szCs w:val="20"/>
              </w:rPr>
            </w:pPr>
            <w:r w:rsidRPr="00861A34">
              <w:rPr>
                <w:rFonts w:ascii="Palatino Linotype" w:hAnsi="Palatino Linotype"/>
                <w:color w:val="000000"/>
                <w:sz w:val="20"/>
                <w:szCs w:val="20"/>
              </w:rPr>
              <w:t>6</w:t>
            </w:r>
            <w:r w:rsidR="001830BC" w:rsidRPr="00861A34">
              <w:rPr>
                <w:rFonts w:ascii="Palatino Linotype" w:hAnsi="Palatino Linotype"/>
                <w:color w:val="000000"/>
                <w:sz w:val="20"/>
                <w:szCs w:val="20"/>
              </w:rPr>
              <w:t>,</w:t>
            </w:r>
            <w:r w:rsidRPr="00861A34">
              <w:rPr>
                <w:rFonts w:ascii="Palatino Linotype" w:hAnsi="Palatino Linotype"/>
                <w:color w:val="000000"/>
                <w:sz w:val="20"/>
                <w:szCs w:val="20"/>
              </w:rPr>
              <w:t>082</w:t>
            </w:r>
            <w:r w:rsidR="006C5551" w:rsidRPr="00861A34">
              <w:rPr>
                <w:rFonts w:ascii="Palatino Linotype" w:hAnsi="Palatino Linotype"/>
                <w:color w:val="000000"/>
                <w:sz w:val="20"/>
                <w:szCs w:val="20"/>
              </w:rPr>
              <w:t>.1</w:t>
            </w:r>
          </w:p>
        </w:tc>
        <w:tc>
          <w:tcPr>
            <w:tcW w:w="674" w:type="pct"/>
          </w:tcPr>
          <w:p w:rsidR="00250C13" w:rsidRPr="00861A34" w:rsidRDefault="005C271F" w:rsidP="00325C88">
            <w:pPr>
              <w:jc w:val="center"/>
              <w:rPr>
                <w:rFonts w:ascii="Palatino Linotype" w:hAnsi="Palatino Linotype"/>
                <w:color w:val="000000"/>
                <w:sz w:val="20"/>
                <w:szCs w:val="20"/>
              </w:rPr>
            </w:pPr>
            <w:r w:rsidRPr="00861A34">
              <w:rPr>
                <w:rFonts w:ascii="Palatino Linotype" w:hAnsi="Palatino Linotype"/>
                <w:color w:val="000000"/>
                <w:sz w:val="20"/>
                <w:szCs w:val="20"/>
              </w:rPr>
              <w:t>21.32</w:t>
            </w:r>
          </w:p>
        </w:tc>
      </w:tr>
      <w:tr w:rsidR="00250C13" w:rsidRPr="00861A34" w:rsidTr="00DE25E8">
        <w:trPr>
          <w:trHeight w:hRule="exact" w:val="504"/>
        </w:trPr>
        <w:tc>
          <w:tcPr>
            <w:tcW w:w="2244" w:type="pct"/>
          </w:tcPr>
          <w:p w:rsidR="00250C13" w:rsidRPr="00861A34" w:rsidRDefault="00250C13" w:rsidP="00325C88">
            <w:pPr>
              <w:overflowPunct w:val="0"/>
              <w:autoSpaceDE w:val="0"/>
              <w:autoSpaceDN w:val="0"/>
              <w:adjustRightInd w:val="0"/>
              <w:jc w:val="center"/>
              <w:textAlignment w:val="baseline"/>
              <w:rPr>
                <w:rFonts w:ascii="Palatino Linotype" w:hAnsi="Palatino Linotype"/>
                <w:b/>
                <w:color w:val="000000"/>
                <w:sz w:val="20"/>
                <w:szCs w:val="20"/>
              </w:rPr>
            </w:pPr>
            <w:r w:rsidRPr="00861A34">
              <w:rPr>
                <w:rFonts w:ascii="Palatino Linotype" w:hAnsi="Palatino Linotype"/>
                <w:b/>
                <w:color w:val="000000"/>
                <w:sz w:val="20"/>
                <w:szCs w:val="20"/>
              </w:rPr>
              <w:t>Faculty/Staff Commuting</w:t>
            </w:r>
          </w:p>
        </w:tc>
        <w:tc>
          <w:tcPr>
            <w:tcW w:w="694" w:type="pct"/>
          </w:tcPr>
          <w:p w:rsidR="00DD599D" w:rsidRPr="00861A34" w:rsidRDefault="00DD599D" w:rsidP="00DD599D">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1,789.3</w:t>
            </w:r>
          </w:p>
        </w:tc>
        <w:tc>
          <w:tcPr>
            <w:tcW w:w="694" w:type="pct"/>
          </w:tcPr>
          <w:p w:rsidR="00250C13" w:rsidRPr="00861A34" w:rsidRDefault="00C7632B"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8.90</w:t>
            </w:r>
          </w:p>
        </w:tc>
        <w:tc>
          <w:tcPr>
            <w:tcW w:w="694" w:type="pct"/>
          </w:tcPr>
          <w:p w:rsidR="00250C13" w:rsidRPr="00861A34" w:rsidRDefault="006C5551" w:rsidP="00FA7203">
            <w:pPr>
              <w:jc w:val="center"/>
              <w:rPr>
                <w:rFonts w:ascii="Palatino Linotype" w:hAnsi="Palatino Linotype"/>
                <w:color w:val="000000"/>
                <w:sz w:val="20"/>
                <w:szCs w:val="20"/>
              </w:rPr>
            </w:pPr>
            <w:r w:rsidRPr="00861A34">
              <w:rPr>
                <w:rFonts w:ascii="Palatino Linotype" w:hAnsi="Palatino Linotype"/>
                <w:color w:val="000000"/>
                <w:sz w:val="20"/>
                <w:szCs w:val="20"/>
              </w:rPr>
              <w:t>2</w:t>
            </w:r>
            <w:r w:rsidR="001830BC" w:rsidRPr="00861A34">
              <w:rPr>
                <w:rFonts w:ascii="Palatino Linotype" w:hAnsi="Palatino Linotype"/>
                <w:color w:val="000000"/>
                <w:sz w:val="20"/>
                <w:szCs w:val="20"/>
              </w:rPr>
              <w:t>,</w:t>
            </w:r>
            <w:r w:rsidR="00FA7203" w:rsidRPr="00861A34">
              <w:rPr>
                <w:rFonts w:ascii="Palatino Linotype" w:hAnsi="Palatino Linotype"/>
                <w:color w:val="000000"/>
                <w:sz w:val="20"/>
                <w:szCs w:val="20"/>
              </w:rPr>
              <w:t>703.7</w:t>
            </w:r>
          </w:p>
        </w:tc>
        <w:tc>
          <w:tcPr>
            <w:tcW w:w="674" w:type="pct"/>
          </w:tcPr>
          <w:p w:rsidR="00250C13" w:rsidRPr="00861A34" w:rsidRDefault="005C271F" w:rsidP="00325C88">
            <w:pPr>
              <w:jc w:val="center"/>
              <w:rPr>
                <w:rFonts w:ascii="Palatino Linotype" w:hAnsi="Palatino Linotype"/>
                <w:color w:val="000000"/>
                <w:sz w:val="20"/>
                <w:szCs w:val="20"/>
              </w:rPr>
            </w:pPr>
            <w:r w:rsidRPr="00861A34">
              <w:rPr>
                <w:rFonts w:ascii="Palatino Linotype" w:hAnsi="Palatino Linotype"/>
                <w:color w:val="000000"/>
                <w:sz w:val="20"/>
                <w:szCs w:val="20"/>
              </w:rPr>
              <w:t>9.48</w:t>
            </w:r>
          </w:p>
        </w:tc>
      </w:tr>
      <w:tr w:rsidR="00250C13" w:rsidRPr="00861A34" w:rsidTr="00DE25E8">
        <w:trPr>
          <w:trHeight w:hRule="exact" w:val="504"/>
        </w:trPr>
        <w:tc>
          <w:tcPr>
            <w:tcW w:w="2244" w:type="pct"/>
          </w:tcPr>
          <w:p w:rsidR="00250C13" w:rsidRPr="00861A34" w:rsidRDefault="00250C13" w:rsidP="00325C88">
            <w:pPr>
              <w:overflowPunct w:val="0"/>
              <w:autoSpaceDE w:val="0"/>
              <w:autoSpaceDN w:val="0"/>
              <w:adjustRightInd w:val="0"/>
              <w:jc w:val="center"/>
              <w:textAlignment w:val="baseline"/>
              <w:rPr>
                <w:rFonts w:ascii="Palatino Linotype" w:hAnsi="Palatino Linotype"/>
                <w:b/>
                <w:color w:val="000000"/>
                <w:sz w:val="20"/>
                <w:szCs w:val="20"/>
              </w:rPr>
            </w:pPr>
            <w:r w:rsidRPr="00861A34">
              <w:rPr>
                <w:rFonts w:ascii="Palatino Linotype" w:hAnsi="Palatino Linotype"/>
                <w:b/>
                <w:color w:val="000000"/>
                <w:sz w:val="20"/>
                <w:szCs w:val="20"/>
              </w:rPr>
              <w:t>Student Commuting</w:t>
            </w:r>
          </w:p>
        </w:tc>
        <w:tc>
          <w:tcPr>
            <w:tcW w:w="694" w:type="pct"/>
          </w:tcPr>
          <w:p w:rsidR="00250C13" w:rsidRPr="00861A34" w:rsidRDefault="00DD599D"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335.9</w:t>
            </w:r>
          </w:p>
        </w:tc>
        <w:tc>
          <w:tcPr>
            <w:tcW w:w="694" w:type="pct"/>
          </w:tcPr>
          <w:p w:rsidR="00250C13" w:rsidRPr="00861A34" w:rsidRDefault="00C7632B"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1.67</w:t>
            </w:r>
          </w:p>
        </w:tc>
        <w:tc>
          <w:tcPr>
            <w:tcW w:w="694" w:type="pct"/>
          </w:tcPr>
          <w:p w:rsidR="00250C13" w:rsidRPr="00861A34" w:rsidRDefault="00FA7203" w:rsidP="00325C88">
            <w:pPr>
              <w:jc w:val="center"/>
              <w:rPr>
                <w:rFonts w:ascii="Palatino Linotype" w:hAnsi="Palatino Linotype"/>
                <w:color w:val="000000"/>
                <w:sz w:val="20"/>
                <w:szCs w:val="20"/>
              </w:rPr>
            </w:pPr>
            <w:r w:rsidRPr="00861A34">
              <w:rPr>
                <w:rFonts w:ascii="Palatino Linotype" w:hAnsi="Palatino Linotype"/>
                <w:color w:val="000000"/>
                <w:sz w:val="20"/>
                <w:szCs w:val="20"/>
              </w:rPr>
              <w:t>355.5</w:t>
            </w:r>
          </w:p>
        </w:tc>
        <w:tc>
          <w:tcPr>
            <w:tcW w:w="674" w:type="pct"/>
          </w:tcPr>
          <w:p w:rsidR="00250C13" w:rsidRPr="00861A34" w:rsidRDefault="005C271F" w:rsidP="00325C88">
            <w:pPr>
              <w:jc w:val="center"/>
              <w:rPr>
                <w:rFonts w:ascii="Palatino Linotype" w:hAnsi="Palatino Linotype"/>
                <w:color w:val="000000"/>
                <w:sz w:val="20"/>
                <w:szCs w:val="20"/>
              </w:rPr>
            </w:pPr>
            <w:r w:rsidRPr="00861A34">
              <w:rPr>
                <w:rFonts w:ascii="Palatino Linotype" w:hAnsi="Palatino Linotype"/>
                <w:color w:val="000000"/>
                <w:sz w:val="20"/>
                <w:szCs w:val="20"/>
              </w:rPr>
              <w:t>1.25</w:t>
            </w:r>
          </w:p>
        </w:tc>
      </w:tr>
      <w:tr w:rsidR="00250C13" w:rsidRPr="00861A34" w:rsidTr="00C7333A">
        <w:trPr>
          <w:trHeight w:hRule="exact" w:val="460"/>
        </w:trPr>
        <w:tc>
          <w:tcPr>
            <w:tcW w:w="2244" w:type="pct"/>
          </w:tcPr>
          <w:p w:rsidR="00250C13" w:rsidRPr="00861A34" w:rsidRDefault="00C7333A" w:rsidP="00325C88">
            <w:pPr>
              <w:overflowPunct w:val="0"/>
              <w:autoSpaceDE w:val="0"/>
              <w:autoSpaceDN w:val="0"/>
              <w:adjustRightInd w:val="0"/>
              <w:jc w:val="center"/>
              <w:textAlignment w:val="baseline"/>
              <w:rPr>
                <w:rFonts w:ascii="Palatino Linotype" w:hAnsi="Palatino Linotype"/>
                <w:b/>
                <w:color w:val="000000"/>
                <w:sz w:val="20"/>
                <w:szCs w:val="20"/>
              </w:rPr>
            </w:pPr>
            <w:r>
              <w:rPr>
                <w:rFonts w:ascii="Palatino Linotype" w:hAnsi="Palatino Linotype"/>
                <w:b/>
                <w:color w:val="000000"/>
                <w:sz w:val="20"/>
                <w:szCs w:val="20"/>
              </w:rPr>
              <w:t>Directly Financed Travel</w:t>
            </w:r>
          </w:p>
        </w:tc>
        <w:tc>
          <w:tcPr>
            <w:tcW w:w="694" w:type="pct"/>
          </w:tcPr>
          <w:p w:rsidR="00250C13" w:rsidRDefault="00C7333A"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586.2</w:t>
            </w:r>
          </w:p>
          <w:p w:rsidR="00C7333A" w:rsidRPr="00861A34" w:rsidRDefault="00C7333A" w:rsidP="00861A34">
            <w:pPr>
              <w:overflowPunct w:val="0"/>
              <w:autoSpaceDE w:val="0"/>
              <w:autoSpaceDN w:val="0"/>
              <w:adjustRightInd w:val="0"/>
              <w:jc w:val="center"/>
              <w:textAlignment w:val="baseline"/>
              <w:rPr>
                <w:rFonts w:ascii="Palatino Linotype" w:hAnsi="Palatino Linotype"/>
                <w:color w:val="000000"/>
                <w:sz w:val="20"/>
                <w:szCs w:val="20"/>
              </w:rPr>
            </w:pPr>
          </w:p>
        </w:tc>
        <w:tc>
          <w:tcPr>
            <w:tcW w:w="694" w:type="pct"/>
          </w:tcPr>
          <w:p w:rsidR="00250C13" w:rsidRPr="00861A34" w:rsidRDefault="00C7632B"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2.92</w:t>
            </w:r>
          </w:p>
        </w:tc>
        <w:tc>
          <w:tcPr>
            <w:tcW w:w="694" w:type="pct"/>
          </w:tcPr>
          <w:p w:rsidR="00250C13" w:rsidRPr="00861A34" w:rsidRDefault="005C271F" w:rsidP="00FA7203">
            <w:pPr>
              <w:jc w:val="center"/>
              <w:rPr>
                <w:rFonts w:ascii="Palatino Linotype" w:hAnsi="Palatino Linotype"/>
                <w:color w:val="000000"/>
                <w:sz w:val="20"/>
                <w:szCs w:val="20"/>
              </w:rPr>
            </w:pPr>
            <w:r w:rsidRPr="00861A34">
              <w:rPr>
                <w:rFonts w:ascii="Palatino Linotype" w:hAnsi="Palatino Linotype"/>
                <w:color w:val="000000"/>
                <w:sz w:val="20"/>
                <w:szCs w:val="20"/>
              </w:rPr>
              <w:t>1,786.4</w:t>
            </w:r>
          </w:p>
        </w:tc>
        <w:tc>
          <w:tcPr>
            <w:tcW w:w="674" w:type="pct"/>
          </w:tcPr>
          <w:p w:rsidR="00250C13" w:rsidRPr="00861A34" w:rsidRDefault="005C271F" w:rsidP="00325C88">
            <w:pPr>
              <w:jc w:val="center"/>
              <w:rPr>
                <w:rFonts w:ascii="Palatino Linotype" w:hAnsi="Palatino Linotype"/>
                <w:color w:val="000000"/>
                <w:sz w:val="20"/>
                <w:szCs w:val="20"/>
              </w:rPr>
            </w:pPr>
            <w:r w:rsidRPr="00861A34">
              <w:rPr>
                <w:rFonts w:ascii="Palatino Linotype" w:hAnsi="Palatino Linotype"/>
                <w:color w:val="000000"/>
                <w:sz w:val="20"/>
                <w:szCs w:val="20"/>
              </w:rPr>
              <w:t>6.26</w:t>
            </w:r>
          </w:p>
        </w:tc>
      </w:tr>
      <w:tr w:rsidR="00250C13" w:rsidRPr="00861A34" w:rsidTr="00DE25E8">
        <w:trPr>
          <w:trHeight w:hRule="exact" w:val="504"/>
        </w:trPr>
        <w:tc>
          <w:tcPr>
            <w:tcW w:w="2244" w:type="pct"/>
          </w:tcPr>
          <w:p w:rsidR="00250C13" w:rsidRPr="00861A34" w:rsidRDefault="00250C13" w:rsidP="00325C88">
            <w:pPr>
              <w:overflowPunct w:val="0"/>
              <w:autoSpaceDE w:val="0"/>
              <w:autoSpaceDN w:val="0"/>
              <w:adjustRightInd w:val="0"/>
              <w:jc w:val="center"/>
              <w:textAlignment w:val="baseline"/>
              <w:rPr>
                <w:rFonts w:ascii="Palatino Linotype" w:hAnsi="Palatino Linotype"/>
                <w:b/>
                <w:color w:val="000000"/>
                <w:sz w:val="20"/>
                <w:szCs w:val="20"/>
              </w:rPr>
            </w:pPr>
            <w:r w:rsidRPr="00861A34">
              <w:rPr>
                <w:rFonts w:ascii="Palatino Linotype" w:hAnsi="Palatino Linotype"/>
                <w:b/>
                <w:color w:val="000000"/>
                <w:sz w:val="20"/>
                <w:szCs w:val="20"/>
              </w:rPr>
              <w:t>Study Abroad Air Travel</w:t>
            </w:r>
          </w:p>
        </w:tc>
        <w:tc>
          <w:tcPr>
            <w:tcW w:w="694" w:type="pct"/>
          </w:tcPr>
          <w:p w:rsidR="00250C13" w:rsidRPr="00861A34" w:rsidRDefault="00DD599D"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1,500.1</w:t>
            </w:r>
          </w:p>
        </w:tc>
        <w:tc>
          <w:tcPr>
            <w:tcW w:w="694" w:type="pct"/>
          </w:tcPr>
          <w:p w:rsidR="00250C13" w:rsidRPr="00861A34" w:rsidRDefault="00C7632B"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7.46</w:t>
            </w:r>
          </w:p>
        </w:tc>
        <w:tc>
          <w:tcPr>
            <w:tcW w:w="694" w:type="pct"/>
          </w:tcPr>
          <w:p w:rsidR="00250C13" w:rsidRPr="00861A34" w:rsidRDefault="00FA7203" w:rsidP="00325C88">
            <w:pPr>
              <w:jc w:val="center"/>
              <w:rPr>
                <w:rFonts w:ascii="Palatino Linotype" w:hAnsi="Palatino Linotype"/>
                <w:color w:val="000000"/>
                <w:sz w:val="20"/>
                <w:szCs w:val="20"/>
              </w:rPr>
            </w:pPr>
            <w:r w:rsidRPr="00861A34">
              <w:rPr>
                <w:rFonts w:ascii="Palatino Linotype" w:hAnsi="Palatino Linotype"/>
                <w:color w:val="000000"/>
                <w:sz w:val="20"/>
                <w:szCs w:val="20"/>
              </w:rPr>
              <w:t>1</w:t>
            </w:r>
            <w:r w:rsidR="001830BC" w:rsidRPr="00861A34">
              <w:rPr>
                <w:rFonts w:ascii="Palatino Linotype" w:hAnsi="Palatino Linotype"/>
                <w:color w:val="000000"/>
                <w:sz w:val="20"/>
                <w:szCs w:val="20"/>
              </w:rPr>
              <w:t>,</w:t>
            </w:r>
            <w:r w:rsidRPr="00861A34">
              <w:rPr>
                <w:rFonts w:ascii="Palatino Linotype" w:hAnsi="Palatino Linotype"/>
                <w:color w:val="000000"/>
                <w:sz w:val="20"/>
                <w:szCs w:val="20"/>
              </w:rPr>
              <w:t>360.7</w:t>
            </w:r>
          </w:p>
        </w:tc>
        <w:tc>
          <w:tcPr>
            <w:tcW w:w="674" w:type="pct"/>
          </w:tcPr>
          <w:p w:rsidR="00250C13" w:rsidRPr="00861A34" w:rsidRDefault="005C271F" w:rsidP="00325C88">
            <w:pPr>
              <w:jc w:val="center"/>
              <w:rPr>
                <w:rFonts w:ascii="Palatino Linotype" w:hAnsi="Palatino Linotype"/>
                <w:color w:val="000000"/>
                <w:sz w:val="20"/>
                <w:szCs w:val="20"/>
              </w:rPr>
            </w:pPr>
            <w:r w:rsidRPr="00861A34">
              <w:rPr>
                <w:rFonts w:ascii="Palatino Linotype" w:hAnsi="Palatino Linotype"/>
                <w:color w:val="000000"/>
                <w:sz w:val="20"/>
                <w:szCs w:val="20"/>
              </w:rPr>
              <w:t>4.77</w:t>
            </w:r>
          </w:p>
        </w:tc>
      </w:tr>
      <w:tr w:rsidR="00250C13" w:rsidRPr="00861A34" w:rsidTr="00DE25E8">
        <w:trPr>
          <w:trHeight w:hRule="exact" w:val="504"/>
        </w:trPr>
        <w:tc>
          <w:tcPr>
            <w:tcW w:w="2244" w:type="pct"/>
          </w:tcPr>
          <w:p w:rsidR="00250C13" w:rsidRPr="00861A34" w:rsidRDefault="00250C13" w:rsidP="00325C88">
            <w:pPr>
              <w:overflowPunct w:val="0"/>
              <w:autoSpaceDE w:val="0"/>
              <w:autoSpaceDN w:val="0"/>
              <w:adjustRightInd w:val="0"/>
              <w:jc w:val="center"/>
              <w:textAlignment w:val="baseline"/>
              <w:rPr>
                <w:rFonts w:ascii="Palatino Linotype" w:hAnsi="Palatino Linotype"/>
                <w:b/>
                <w:color w:val="000000"/>
                <w:sz w:val="20"/>
                <w:szCs w:val="20"/>
              </w:rPr>
            </w:pPr>
            <w:r w:rsidRPr="00861A34">
              <w:rPr>
                <w:rFonts w:ascii="Palatino Linotype" w:hAnsi="Palatino Linotype"/>
                <w:b/>
                <w:color w:val="000000"/>
                <w:sz w:val="20"/>
                <w:szCs w:val="20"/>
              </w:rPr>
              <w:t>Solid Waste*</w:t>
            </w:r>
            <w:r w:rsidR="001830BC" w:rsidRPr="00861A34">
              <w:rPr>
                <w:rFonts w:ascii="Palatino Linotype" w:hAnsi="Palatino Linotype"/>
                <w:b/>
                <w:color w:val="000000"/>
                <w:sz w:val="20"/>
                <w:szCs w:val="20"/>
              </w:rPr>
              <w:t>*</w:t>
            </w:r>
          </w:p>
        </w:tc>
        <w:tc>
          <w:tcPr>
            <w:tcW w:w="694" w:type="pct"/>
          </w:tcPr>
          <w:p w:rsidR="00250C13" w:rsidRPr="00861A34" w:rsidRDefault="00DD599D"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-13.0</w:t>
            </w:r>
          </w:p>
        </w:tc>
        <w:tc>
          <w:tcPr>
            <w:tcW w:w="694" w:type="pct"/>
          </w:tcPr>
          <w:p w:rsidR="00250C13" w:rsidRPr="00861A34" w:rsidRDefault="00C7632B"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-0.06</w:t>
            </w:r>
          </w:p>
        </w:tc>
        <w:tc>
          <w:tcPr>
            <w:tcW w:w="694" w:type="pct"/>
          </w:tcPr>
          <w:p w:rsidR="00250C13" w:rsidRPr="00861A34" w:rsidRDefault="00FA7203" w:rsidP="00325C88">
            <w:pPr>
              <w:jc w:val="center"/>
              <w:rPr>
                <w:rFonts w:ascii="Palatino Linotype" w:hAnsi="Palatino Linotype"/>
                <w:color w:val="000000"/>
                <w:sz w:val="20"/>
                <w:szCs w:val="20"/>
              </w:rPr>
            </w:pPr>
            <w:r w:rsidRPr="00861A34">
              <w:rPr>
                <w:rFonts w:ascii="Palatino Linotype" w:hAnsi="Palatino Linotype"/>
                <w:color w:val="000000"/>
                <w:sz w:val="20"/>
                <w:szCs w:val="20"/>
              </w:rPr>
              <w:t>113.4</w:t>
            </w:r>
          </w:p>
        </w:tc>
        <w:tc>
          <w:tcPr>
            <w:tcW w:w="674" w:type="pct"/>
          </w:tcPr>
          <w:p w:rsidR="00250C13" w:rsidRPr="00861A34" w:rsidRDefault="005C271F" w:rsidP="00325C88">
            <w:pPr>
              <w:jc w:val="center"/>
              <w:rPr>
                <w:rFonts w:ascii="Palatino Linotype" w:hAnsi="Palatino Linotype"/>
                <w:color w:val="000000"/>
                <w:sz w:val="20"/>
                <w:szCs w:val="20"/>
              </w:rPr>
            </w:pPr>
            <w:r w:rsidRPr="00861A34">
              <w:rPr>
                <w:rFonts w:ascii="Palatino Linotype" w:hAnsi="Palatino Linotype"/>
                <w:color w:val="000000"/>
                <w:sz w:val="20"/>
                <w:szCs w:val="20"/>
              </w:rPr>
              <w:t>0.40</w:t>
            </w:r>
          </w:p>
        </w:tc>
      </w:tr>
      <w:tr w:rsidR="00250C13" w:rsidRPr="00861A34" w:rsidTr="00DE25E8">
        <w:trPr>
          <w:trHeight w:hRule="exact" w:val="504"/>
        </w:trPr>
        <w:tc>
          <w:tcPr>
            <w:tcW w:w="2244" w:type="pct"/>
          </w:tcPr>
          <w:p w:rsidR="00250C13" w:rsidRPr="00861A34" w:rsidRDefault="00250C13" w:rsidP="00325C88">
            <w:pPr>
              <w:overflowPunct w:val="0"/>
              <w:autoSpaceDE w:val="0"/>
              <w:autoSpaceDN w:val="0"/>
              <w:adjustRightInd w:val="0"/>
              <w:jc w:val="center"/>
              <w:textAlignment w:val="baseline"/>
              <w:rPr>
                <w:rFonts w:ascii="Palatino Linotype" w:hAnsi="Palatino Linotype"/>
                <w:b/>
                <w:color w:val="000000"/>
                <w:sz w:val="20"/>
                <w:szCs w:val="20"/>
              </w:rPr>
            </w:pPr>
            <w:r w:rsidRPr="00861A34">
              <w:rPr>
                <w:rFonts w:ascii="Palatino Linotype" w:hAnsi="Palatino Linotype"/>
                <w:b/>
                <w:color w:val="000000"/>
                <w:sz w:val="20"/>
                <w:szCs w:val="20"/>
              </w:rPr>
              <w:t>Wastewater</w:t>
            </w:r>
          </w:p>
        </w:tc>
        <w:tc>
          <w:tcPr>
            <w:tcW w:w="694" w:type="pct"/>
          </w:tcPr>
          <w:p w:rsidR="00250C13" w:rsidRPr="00861A34" w:rsidRDefault="00C7333A"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19.1</w:t>
            </w:r>
          </w:p>
        </w:tc>
        <w:tc>
          <w:tcPr>
            <w:tcW w:w="694" w:type="pct"/>
          </w:tcPr>
          <w:p w:rsidR="00250C13" w:rsidRPr="00861A34" w:rsidRDefault="00C7632B"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0.10</w:t>
            </w:r>
          </w:p>
        </w:tc>
        <w:tc>
          <w:tcPr>
            <w:tcW w:w="694" w:type="pct"/>
          </w:tcPr>
          <w:p w:rsidR="00250C13" w:rsidRPr="00861A34" w:rsidRDefault="00FA7203" w:rsidP="00325C88">
            <w:pPr>
              <w:jc w:val="center"/>
              <w:rPr>
                <w:rFonts w:ascii="Palatino Linotype" w:hAnsi="Palatino Linotype"/>
                <w:color w:val="000000"/>
                <w:sz w:val="20"/>
                <w:szCs w:val="20"/>
              </w:rPr>
            </w:pPr>
            <w:r w:rsidRPr="00861A34">
              <w:rPr>
                <w:rFonts w:ascii="Palatino Linotype" w:hAnsi="Palatino Linotype"/>
                <w:color w:val="000000"/>
                <w:sz w:val="20"/>
                <w:szCs w:val="20"/>
              </w:rPr>
              <w:t>18.0</w:t>
            </w:r>
          </w:p>
        </w:tc>
        <w:tc>
          <w:tcPr>
            <w:tcW w:w="674" w:type="pct"/>
          </w:tcPr>
          <w:p w:rsidR="00250C13" w:rsidRPr="00861A34" w:rsidRDefault="005C271F" w:rsidP="00325C88">
            <w:pPr>
              <w:jc w:val="center"/>
              <w:rPr>
                <w:rFonts w:ascii="Palatino Linotype" w:hAnsi="Palatino Linotype"/>
                <w:color w:val="000000"/>
                <w:sz w:val="20"/>
                <w:szCs w:val="20"/>
              </w:rPr>
            </w:pPr>
            <w:r w:rsidRPr="00861A34">
              <w:rPr>
                <w:rFonts w:ascii="Palatino Linotype" w:hAnsi="Palatino Linotype"/>
                <w:color w:val="000000"/>
                <w:sz w:val="20"/>
                <w:szCs w:val="20"/>
              </w:rPr>
              <w:t>0.06</w:t>
            </w:r>
          </w:p>
        </w:tc>
      </w:tr>
      <w:tr w:rsidR="00250C13" w:rsidRPr="00861A34" w:rsidTr="00DE25E8">
        <w:trPr>
          <w:trHeight w:hRule="exact" w:val="504"/>
        </w:trPr>
        <w:tc>
          <w:tcPr>
            <w:tcW w:w="2244" w:type="pct"/>
          </w:tcPr>
          <w:p w:rsidR="00250C13" w:rsidRPr="00861A34" w:rsidRDefault="00250C13" w:rsidP="00325C88">
            <w:pPr>
              <w:overflowPunct w:val="0"/>
              <w:autoSpaceDE w:val="0"/>
              <w:autoSpaceDN w:val="0"/>
              <w:adjustRightInd w:val="0"/>
              <w:jc w:val="center"/>
              <w:textAlignment w:val="baseline"/>
              <w:rPr>
                <w:rFonts w:ascii="Palatino Linotype" w:hAnsi="Palatino Linotype"/>
                <w:b/>
                <w:color w:val="000000"/>
                <w:sz w:val="20"/>
                <w:szCs w:val="20"/>
              </w:rPr>
            </w:pPr>
            <w:r w:rsidRPr="00861A34">
              <w:rPr>
                <w:rFonts w:ascii="Palatino Linotype" w:hAnsi="Palatino Linotype"/>
                <w:b/>
                <w:color w:val="000000"/>
                <w:sz w:val="20"/>
                <w:szCs w:val="20"/>
              </w:rPr>
              <w:t>T&amp;D Losses</w:t>
            </w:r>
          </w:p>
        </w:tc>
        <w:tc>
          <w:tcPr>
            <w:tcW w:w="694" w:type="pct"/>
          </w:tcPr>
          <w:p w:rsidR="00250C13" w:rsidRPr="00861A34" w:rsidRDefault="00C7333A"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347.5</w:t>
            </w:r>
          </w:p>
        </w:tc>
        <w:tc>
          <w:tcPr>
            <w:tcW w:w="694" w:type="pct"/>
          </w:tcPr>
          <w:p w:rsidR="00250C13" w:rsidRPr="00861A34" w:rsidRDefault="00C7632B"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1.73</w:t>
            </w:r>
          </w:p>
        </w:tc>
        <w:tc>
          <w:tcPr>
            <w:tcW w:w="694" w:type="pct"/>
          </w:tcPr>
          <w:p w:rsidR="00250C13" w:rsidRPr="00861A34" w:rsidRDefault="00FA7203" w:rsidP="00325C88">
            <w:pPr>
              <w:jc w:val="center"/>
              <w:rPr>
                <w:rFonts w:ascii="Palatino Linotype" w:hAnsi="Palatino Linotype"/>
                <w:color w:val="000000"/>
                <w:sz w:val="20"/>
                <w:szCs w:val="20"/>
              </w:rPr>
            </w:pPr>
            <w:r w:rsidRPr="00861A34">
              <w:rPr>
                <w:rFonts w:ascii="Palatino Linotype" w:hAnsi="Palatino Linotype"/>
                <w:color w:val="000000"/>
                <w:sz w:val="20"/>
                <w:szCs w:val="20"/>
              </w:rPr>
              <w:t>601.5</w:t>
            </w:r>
          </w:p>
        </w:tc>
        <w:tc>
          <w:tcPr>
            <w:tcW w:w="674" w:type="pct"/>
          </w:tcPr>
          <w:p w:rsidR="00250C13" w:rsidRPr="00861A34" w:rsidRDefault="005C271F" w:rsidP="00325C88">
            <w:pPr>
              <w:jc w:val="center"/>
              <w:rPr>
                <w:rFonts w:ascii="Palatino Linotype" w:hAnsi="Palatino Linotype"/>
                <w:color w:val="000000"/>
                <w:sz w:val="20"/>
                <w:szCs w:val="20"/>
              </w:rPr>
            </w:pPr>
            <w:r w:rsidRPr="00861A34">
              <w:rPr>
                <w:rFonts w:ascii="Palatino Linotype" w:hAnsi="Palatino Linotype"/>
                <w:color w:val="000000"/>
                <w:sz w:val="20"/>
                <w:szCs w:val="20"/>
              </w:rPr>
              <w:t>2.11</w:t>
            </w:r>
          </w:p>
        </w:tc>
      </w:tr>
      <w:tr w:rsidR="008A2F12" w:rsidRPr="00861A34" w:rsidTr="00DE25E8">
        <w:trPr>
          <w:trHeight w:hRule="exact" w:val="504"/>
        </w:trPr>
        <w:tc>
          <w:tcPr>
            <w:tcW w:w="2244" w:type="pct"/>
          </w:tcPr>
          <w:p w:rsidR="008A2F12" w:rsidRPr="00861A34" w:rsidRDefault="008A2F12" w:rsidP="00325C88">
            <w:pPr>
              <w:overflowPunct w:val="0"/>
              <w:autoSpaceDE w:val="0"/>
              <w:autoSpaceDN w:val="0"/>
              <w:adjustRightInd w:val="0"/>
              <w:jc w:val="center"/>
              <w:textAlignment w:val="baseline"/>
              <w:rPr>
                <w:rFonts w:ascii="Palatino Linotype" w:hAnsi="Palatino Linotype"/>
                <w:b/>
                <w:color w:val="000000"/>
                <w:sz w:val="20"/>
                <w:szCs w:val="20"/>
              </w:rPr>
            </w:pPr>
            <w:r>
              <w:rPr>
                <w:rFonts w:ascii="Palatino Linotype" w:hAnsi="Palatino Linotype"/>
                <w:b/>
                <w:color w:val="000000"/>
                <w:sz w:val="20"/>
                <w:szCs w:val="20"/>
              </w:rPr>
              <w:t>Paper Use</w:t>
            </w:r>
            <w:r>
              <w:rPr>
                <w:rFonts w:ascii="Palatino Linotype" w:hAnsi="Palatino Linotype"/>
                <w:color w:val="000000"/>
                <w:sz w:val="20"/>
                <w:szCs w:val="20"/>
              </w:rPr>
              <w:t>***</w:t>
            </w:r>
          </w:p>
        </w:tc>
        <w:tc>
          <w:tcPr>
            <w:tcW w:w="694" w:type="pct"/>
          </w:tcPr>
          <w:p w:rsidR="008A2F12" w:rsidRDefault="00BF4F8F" w:rsidP="00BF4F8F">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44</w:t>
            </w:r>
            <w:r w:rsidR="00C7632B">
              <w:rPr>
                <w:rFonts w:ascii="Palatino Linotype" w:hAnsi="Palatino Linotype"/>
                <w:color w:val="000000"/>
                <w:sz w:val="20"/>
                <w:szCs w:val="20"/>
              </w:rPr>
              <w:t>.</w:t>
            </w:r>
            <w:r>
              <w:rPr>
                <w:rFonts w:ascii="Palatino Linotype" w:hAnsi="Palatino Linotype"/>
                <w:color w:val="000000"/>
                <w:sz w:val="20"/>
                <w:szCs w:val="20"/>
              </w:rPr>
              <w:t>7</w:t>
            </w:r>
          </w:p>
        </w:tc>
        <w:tc>
          <w:tcPr>
            <w:tcW w:w="694" w:type="pct"/>
          </w:tcPr>
          <w:p w:rsidR="008A2F12" w:rsidRPr="00861A34" w:rsidRDefault="00C7632B" w:rsidP="00861A34">
            <w:pPr>
              <w:overflowPunct w:val="0"/>
              <w:autoSpaceDE w:val="0"/>
              <w:autoSpaceDN w:val="0"/>
              <w:adjustRightInd w:val="0"/>
              <w:jc w:val="center"/>
              <w:textAlignment w:val="baseline"/>
              <w:rPr>
                <w:rFonts w:ascii="Palatino Linotype" w:hAnsi="Palatino Linotype"/>
                <w:color w:val="000000"/>
                <w:sz w:val="20"/>
                <w:szCs w:val="20"/>
              </w:rPr>
            </w:pPr>
            <w:r>
              <w:rPr>
                <w:rFonts w:ascii="Palatino Linotype" w:hAnsi="Palatino Linotype"/>
                <w:color w:val="000000"/>
                <w:sz w:val="20"/>
                <w:szCs w:val="20"/>
              </w:rPr>
              <w:t>0</w:t>
            </w:r>
            <w:r w:rsidR="00BF4F8F">
              <w:rPr>
                <w:rFonts w:ascii="Palatino Linotype" w:hAnsi="Palatino Linotype"/>
                <w:color w:val="000000"/>
                <w:sz w:val="20"/>
                <w:szCs w:val="20"/>
              </w:rPr>
              <w:t>.22</w:t>
            </w:r>
          </w:p>
        </w:tc>
        <w:tc>
          <w:tcPr>
            <w:tcW w:w="694" w:type="pct"/>
          </w:tcPr>
          <w:p w:rsidR="008A2F12" w:rsidRPr="00861A34" w:rsidRDefault="008A2F12" w:rsidP="008A2F12">
            <w:pPr>
              <w:jc w:val="center"/>
              <w:rPr>
                <w:rFonts w:ascii="Palatino Linotype" w:hAnsi="Palatino Linotype"/>
                <w:color w:val="000000"/>
                <w:sz w:val="20"/>
                <w:szCs w:val="20"/>
              </w:rPr>
            </w:pPr>
            <w:r>
              <w:rPr>
                <w:rFonts w:ascii="Palatino Linotype" w:hAnsi="Palatino Linotype"/>
                <w:color w:val="000000"/>
                <w:sz w:val="20"/>
                <w:szCs w:val="20"/>
              </w:rPr>
              <w:t>N/A</w:t>
            </w:r>
          </w:p>
        </w:tc>
        <w:tc>
          <w:tcPr>
            <w:tcW w:w="674" w:type="pct"/>
          </w:tcPr>
          <w:p w:rsidR="008A2F12" w:rsidRPr="00861A34" w:rsidRDefault="008A2F12" w:rsidP="008A2F12">
            <w:pPr>
              <w:jc w:val="center"/>
              <w:rPr>
                <w:rFonts w:ascii="Palatino Linotype" w:hAnsi="Palatino Linotype"/>
                <w:color w:val="000000"/>
                <w:sz w:val="20"/>
                <w:szCs w:val="20"/>
              </w:rPr>
            </w:pPr>
            <w:r>
              <w:rPr>
                <w:rFonts w:ascii="Palatino Linotype" w:hAnsi="Palatino Linotype"/>
                <w:color w:val="000000"/>
                <w:sz w:val="20"/>
                <w:szCs w:val="20"/>
              </w:rPr>
              <w:t>N/A</w:t>
            </w:r>
          </w:p>
        </w:tc>
      </w:tr>
      <w:tr w:rsidR="00250C13" w:rsidRPr="00861A34" w:rsidTr="00DE25E8">
        <w:trPr>
          <w:trHeight w:hRule="exact" w:val="504"/>
        </w:trPr>
        <w:tc>
          <w:tcPr>
            <w:tcW w:w="2244" w:type="pct"/>
          </w:tcPr>
          <w:p w:rsidR="00250C13" w:rsidRPr="00861A34" w:rsidRDefault="00250C13" w:rsidP="00325C88">
            <w:pPr>
              <w:overflowPunct w:val="0"/>
              <w:autoSpaceDE w:val="0"/>
              <w:autoSpaceDN w:val="0"/>
              <w:adjustRightInd w:val="0"/>
              <w:jc w:val="center"/>
              <w:textAlignment w:val="baseline"/>
              <w:rPr>
                <w:rFonts w:ascii="Palatino Linotype" w:hAnsi="Palatino Linotype"/>
                <w:b/>
                <w:color w:val="000000"/>
                <w:sz w:val="20"/>
                <w:szCs w:val="20"/>
              </w:rPr>
            </w:pPr>
            <w:r w:rsidRPr="00861A34">
              <w:rPr>
                <w:rFonts w:ascii="Palatino Linotype" w:hAnsi="Palatino Linotype"/>
                <w:b/>
                <w:color w:val="000000"/>
                <w:sz w:val="20"/>
                <w:szCs w:val="20"/>
              </w:rPr>
              <w:t>TOTAL</w:t>
            </w:r>
          </w:p>
        </w:tc>
        <w:tc>
          <w:tcPr>
            <w:tcW w:w="694" w:type="pct"/>
          </w:tcPr>
          <w:p w:rsidR="00250C13" w:rsidRPr="00861A34" w:rsidRDefault="00BF4F8F" w:rsidP="00BF4F8F">
            <w:pPr>
              <w:jc w:val="center"/>
              <w:rPr>
                <w:rFonts w:ascii="Palatino Linotype" w:hAnsi="Palatino Linotype"/>
                <w:b/>
                <w:color w:val="000000"/>
                <w:sz w:val="20"/>
                <w:szCs w:val="20"/>
              </w:rPr>
            </w:pPr>
            <w:r>
              <w:rPr>
                <w:rFonts w:ascii="Palatino Linotype" w:hAnsi="Palatino Linotype"/>
                <w:b/>
                <w:color w:val="000000"/>
                <w:sz w:val="20"/>
                <w:szCs w:val="20"/>
              </w:rPr>
              <w:t>20,106.3</w:t>
            </w:r>
          </w:p>
        </w:tc>
        <w:tc>
          <w:tcPr>
            <w:tcW w:w="694" w:type="pct"/>
          </w:tcPr>
          <w:p w:rsidR="00250C13" w:rsidRPr="00861A34" w:rsidRDefault="00250C13" w:rsidP="00861A34">
            <w:pPr>
              <w:overflowPunct w:val="0"/>
              <w:autoSpaceDE w:val="0"/>
              <w:autoSpaceDN w:val="0"/>
              <w:adjustRightInd w:val="0"/>
              <w:jc w:val="center"/>
              <w:textAlignment w:val="baseline"/>
              <w:rPr>
                <w:rFonts w:ascii="Palatino Linotype" w:hAnsi="Palatino Linotype"/>
                <w:color w:val="000000"/>
                <w:sz w:val="20"/>
                <w:szCs w:val="20"/>
              </w:rPr>
            </w:pPr>
          </w:p>
        </w:tc>
        <w:tc>
          <w:tcPr>
            <w:tcW w:w="694" w:type="pct"/>
          </w:tcPr>
          <w:p w:rsidR="00250C13" w:rsidRPr="00C7632B" w:rsidRDefault="00CF3B4D" w:rsidP="00CF3B4D">
            <w:pPr>
              <w:jc w:val="center"/>
              <w:rPr>
                <w:rFonts w:ascii="Palatino Linotype" w:hAnsi="Palatino Linotype"/>
                <w:b/>
                <w:color w:val="000000"/>
                <w:sz w:val="20"/>
                <w:szCs w:val="20"/>
              </w:rPr>
            </w:pPr>
            <w:r w:rsidRPr="00C7632B">
              <w:rPr>
                <w:rFonts w:ascii="Palatino Linotype" w:hAnsi="Palatino Linotype"/>
                <w:b/>
                <w:color w:val="000000"/>
                <w:sz w:val="20"/>
                <w:szCs w:val="20"/>
              </w:rPr>
              <w:t>28,525.1</w:t>
            </w:r>
          </w:p>
        </w:tc>
        <w:tc>
          <w:tcPr>
            <w:tcW w:w="674" w:type="pct"/>
          </w:tcPr>
          <w:p w:rsidR="00250C13" w:rsidRPr="00861A34" w:rsidRDefault="00250C13" w:rsidP="00325C88">
            <w:pPr>
              <w:jc w:val="center"/>
              <w:rPr>
                <w:rFonts w:ascii="Palatino Linotype" w:hAnsi="Palatino Linotype"/>
                <w:color w:val="000000"/>
                <w:sz w:val="20"/>
                <w:szCs w:val="20"/>
              </w:rPr>
            </w:pPr>
          </w:p>
        </w:tc>
      </w:tr>
    </w:tbl>
    <w:p w:rsidR="001830BC" w:rsidRPr="00861A34" w:rsidRDefault="001830BC" w:rsidP="00F10144">
      <w:pPr>
        <w:overflowPunct w:val="0"/>
        <w:autoSpaceDE w:val="0"/>
        <w:autoSpaceDN w:val="0"/>
        <w:adjustRightInd w:val="0"/>
        <w:spacing w:before="60" w:after="60"/>
        <w:textAlignment w:val="baseline"/>
        <w:rPr>
          <w:rFonts w:ascii="Palatino Linotype" w:hAnsi="Palatino Linotype"/>
        </w:rPr>
      </w:pPr>
      <w:r w:rsidRPr="00861A34">
        <w:rPr>
          <w:rFonts w:ascii="Palatino Linotype" w:hAnsi="Palatino Linotype"/>
        </w:rPr>
        <w:t>*</w:t>
      </w:r>
      <w:r w:rsidR="00DE25E8">
        <w:rPr>
          <w:rFonts w:ascii="Palatino Linotype" w:hAnsi="Palatino Linotype"/>
        </w:rPr>
        <w:t>For 2014, these emissions come from</w:t>
      </w:r>
      <w:r w:rsidRPr="00861A34">
        <w:rPr>
          <w:rFonts w:ascii="Palatino Linotype" w:hAnsi="Palatino Linotype"/>
        </w:rPr>
        <w:t xml:space="preserve"> natural gas </w:t>
      </w:r>
      <w:r w:rsidR="00DE25E8">
        <w:rPr>
          <w:rFonts w:ascii="Palatino Linotype" w:hAnsi="Palatino Linotype"/>
        </w:rPr>
        <w:t>and heating oil used for co-generation electricity.  In 2011, coal was also used in the co-generation facility.</w:t>
      </w:r>
    </w:p>
    <w:p w:rsidR="00F10144" w:rsidRDefault="00B26C6A" w:rsidP="00F10144">
      <w:pPr>
        <w:overflowPunct w:val="0"/>
        <w:autoSpaceDE w:val="0"/>
        <w:autoSpaceDN w:val="0"/>
        <w:adjustRightInd w:val="0"/>
        <w:spacing w:before="60" w:after="60"/>
        <w:textAlignment w:val="baseline"/>
        <w:rPr>
          <w:rFonts w:ascii="Palatino Linotype" w:hAnsi="Palatino Linotype"/>
        </w:rPr>
      </w:pPr>
      <w:r w:rsidRPr="00861A34">
        <w:rPr>
          <w:rFonts w:ascii="Palatino Linotype" w:hAnsi="Palatino Linotype"/>
        </w:rPr>
        <w:t>*</w:t>
      </w:r>
      <w:r w:rsidR="001830BC" w:rsidRPr="00861A34">
        <w:rPr>
          <w:rFonts w:ascii="Palatino Linotype" w:hAnsi="Palatino Linotype"/>
        </w:rPr>
        <w:t>*</w:t>
      </w:r>
      <w:r w:rsidR="00696A89" w:rsidRPr="00861A34">
        <w:rPr>
          <w:rFonts w:ascii="Palatino Linotype" w:hAnsi="Palatino Linotype"/>
        </w:rPr>
        <w:t>Much of the</w:t>
      </w:r>
      <w:r w:rsidRPr="00861A34">
        <w:rPr>
          <w:rFonts w:ascii="Palatino Linotype" w:hAnsi="Palatino Linotype"/>
        </w:rPr>
        <w:t xml:space="preserve"> </w:t>
      </w:r>
      <w:r w:rsidR="00DE25E8">
        <w:rPr>
          <w:rFonts w:ascii="Palatino Linotype" w:hAnsi="Palatino Linotype"/>
        </w:rPr>
        <w:t xml:space="preserve">solid </w:t>
      </w:r>
      <w:r w:rsidRPr="00861A34">
        <w:rPr>
          <w:rFonts w:ascii="Palatino Linotype" w:hAnsi="Palatino Linotype"/>
        </w:rPr>
        <w:t xml:space="preserve">waste is </w:t>
      </w:r>
      <w:r w:rsidR="00DE25E8">
        <w:rPr>
          <w:rFonts w:ascii="Palatino Linotype" w:hAnsi="Palatino Linotype"/>
        </w:rPr>
        <w:t>incinerated</w:t>
      </w:r>
      <w:r w:rsidRPr="00861A34">
        <w:rPr>
          <w:rFonts w:ascii="Palatino Linotype" w:hAnsi="Palatino Linotype"/>
        </w:rPr>
        <w:t xml:space="preserve"> to generate electricity which results in a credit to total emissions.  Please refer to details below</w:t>
      </w:r>
      <w:r w:rsidR="00355E19" w:rsidRPr="00861A34">
        <w:rPr>
          <w:rFonts w:ascii="Palatino Linotype" w:hAnsi="Palatino Linotype"/>
        </w:rPr>
        <w:t xml:space="preserve"> under the Solid Waste heading</w:t>
      </w:r>
      <w:r w:rsidRPr="00861A34">
        <w:rPr>
          <w:rFonts w:ascii="Palatino Linotype" w:hAnsi="Palatino Linotype"/>
        </w:rPr>
        <w:t>.</w:t>
      </w:r>
    </w:p>
    <w:p w:rsidR="000D6DC2" w:rsidRDefault="008A2F12" w:rsidP="008A2F12">
      <w:pPr>
        <w:overflowPunct w:val="0"/>
        <w:autoSpaceDE w:val="0"/>
        <w:autoSpaceDN w:val="0"/>
        <w:adjustRightInd w:val="0"/>
        <w:spacing w:before="60" w:after="120" w:line="300" w:lineRule="auto"/>
        <w:textAlignment w:val="baseline"/>
        <w:rPr>
          <w:rFonts w:ascii="Palatino Linotype" w:hAnsi="Palatino Linotype"/>
        </w:rPr>
      </w:pPr>
      <w:r>
        <w:rPr>
          <w:rFonts w:ascii="Palatino Linotype" w:hAnsi="Palatino Linotype"/>
        </w:rPr>
        <w:t>***Paper Use was not calculated in the 2011 greenhouse gas inventory</w:t>
      </w:r>
    </w:p>
    <w:p w:rsidR="004E660C" w:rsidRDefault="004E660C" w:rsidP="008A2F12">
      <w:pPr>
        <w:overflowPunct w:val="0"/>
        <w:autoSpaceDE w:val="0"/>
        <w:autoSpaceDN w:val="0"/>
        <w:adjustRightInd w:val="0"/>
        <w:spacing w:before="60" w:after="120" w:line="300" w:lineRule="auto"/>
        <w:textAlignment w:val="baseline"/>
        <w:rPr>
          <w:rFonts w:ascii="Palatino Linotype" w:hAnsi="Palatino Linotype"/>
        </w:rPr>
      </w:pPr>
    </w:p>
    <w:p w:rsidR="00001B2E" w:rsidRPr="00861A34" w:rsidRDefault="00001B2E" w:rsidP="004E660C">
      <w:pPr>
        <w:overflowPunct w:val="0"/>
        <w:autoSpaceDE w:val="0"/>
        <w:autoSpaceDN w:val="0"/>
        <w:adjustRightInd w:val="0"/>
        <w:spacing w:before="60" w:after="60"/>
        <w:jc w:val="center"/>
        <w:textAlignment w:val="baseline"/>
        <w:rPr>
          <w:rFonts w:ascii="Palatino Linotype" w:hAnsi="Palatino Linotype" w:cs="Times New Roman"/>
        </w:rPr>
      </w:pPr>
      <w:r w:rsidRPr="00861A34">
        <w:rPr>
          <w:rFonts w:ascii="Palatino Linotype" w:hAnsi="Palatino Linotype" w:cs="Times New Roman"/>
          <w:b/>
        </w:rPr>
        <w:t xml:space="preserve">Table 5. Comparison of </w:t>
      </w:r>
      <w:r w:rsidR="00F87697">
        <w:rPr>
          <w:rFonts w:ascii="Palatino Linotype" w:hAnsi="Palatino Linotype" w:cs="Times New Roman"/>
          <w:b/>
        </w:rPr>
        <w:t>MT</w:t>
      </w:r>
      <w:r w:rsidRPr="00861A34">
        <w:rPr>
          <w:rFonts w:ascii="Palatino Linotype" w:hAnsi="Palatino Linotype" w:cs="Times New Roman"/>
          <w:b/>
        </w:rPr>
        <w:t xml:space="preserve"> </w:t>
      </w:r>
      <w:r w:rsidR="00F87697">
        <w:rPr>
          <w:rFonts w:ascii="Palatino Linotype" w:hAnsi="Palatino Linotype" w:cs="Times New Roman"/>
          <w:b/>
        </w:rPr>
        <w:t>e</w:t>
      </w:r>
      <w:r w:rsidRPr="00861A34">
        <w:rPr>
          <w:rFonts w:ascii="Palatino Linotype" w:hAnsi="Palatino Linotype" w:cs="Times New Roman"/>
          <w:b/>
        </w:rPr>
        <w:t>CO</w:t>
      </w:r>
      <w:r w:rsidRPr="00861A34">
        <w:rPr>
          <w:rFonts w:ascii="Palatino Linotype" w:hAnsi="Palatino Linotype" w:cs="Times New Roman"/>
          <w:b/>
          <w:vertAlign w:val="subscript"/>
        </w:rPr>
        <w:t>2</w:t>
      </w:r>
      <w:r w:rsidR="00DD599D">
        <w:rPr>
          <w:rFonts w:ascii="Palatino Linotype" w:hAnsi="Palatino Linotype" w:cs="Times New Roman"/>
          <w:b/>
        </w:rPr>
        <w:t xml:space="preserve"> by Demographics and Square F</w:t>
      </w:r>
      <w:r w:rsidRPr="00861A34">
        <w:rPr>
          <w:rFonts w:ascii="Palatino Linotype" w:hAnsi="Palatino Linotype" w:cs="Times New Roman"/>
          <w:b/>
        </w:rPr>
        <w:t>ootage</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610"/>
        <w:gridCol w:w="3781"/>
        <w:gridCol w:w="1709"/>
        <w:gridCol w:w="2240"/>
      </w:tblGrid>
      <w:tr w:rsidR="00001B2E" w:rsidRPr="00861A34" w:rsidTr="00F87697">
        <w:trPr>
          <w:trHeight w:hRule="exact" w:val="848"/>
        </w:trPr>
        <w:tc>
          <w:tcPr>
            <w:tcW w:w="862" w:type="pct"/>
            <w:tcBorders>
              <w:right w:val="single" w:sz="8" w:space="0" w:color="FFFFFF" w:themeColor="background1"/>
            </w:tcBorders>
            <w:shd w:val="clear" w:color="auto" w:fill="000000" w:themeFill="text1"/>
            <w:vAlign w:val="center"/>
          </w:tcPr>
          <w:p w:rsidR="00001B2E" w:rsidRPr="00861A34" w:rsidRDefault="00001B2E" w:rsidP="00001B2E">
            <w:pPr>
              <w:spacing w:before="120" w:after="120" w:line="300" w:lineRule="auto"/>
              <w:jc w:val="center"/>
              <w:rPr>
                <w:rFonts w:ascii="Palatino Linotype" w:hAnsi="Palatino Linotype"/>
                <w:b/>
                <w:sz w:val="20"/>
              </w:rPr>
            </w:pPr>
            <w:r w:rsidRPr="00861A34">
              <w:rPr>
                <w:rFonts w:ascii="Palatino Linotype" w:hAnsi="Palatino Linotype"/>
                <w:b/>
                <w:sz w:val="20"/>
              </w:rPr>
              <w:t>Year</w:t>
            </w:r>
          </w:p>
        </w:tc>
        <w:tc>
          <w:tcPr>
            <w:tcW w:w="2024" w:type="pct"/>
            <w:tcBorders>
              <w:left w:val="single" w:sz="8" w:space="0" w:color="FFFFFF" w:themeColor="background1"/>
              <w:right w:val="single" w:sz="8" w:space="0" w:color="FFFFFF" w:themeColor="background1"/>
            </w:tcBorders>
            <w:shd w:val="clear" w:color="auto" w:fill="000000" w:themeFill="text1"/>
            <w:vAlign w:val="center"/>
          </w:tcPr>
          <w:p w:rsidR="00001B2E" w:rsidRPr="00861A34" w:rsidRDefault="00001B2E" w:rsidP="00001B2E">
            <w:pPr>
              <w:spacing w:before="120" w:after="120" w:line="300" w:lineRule="auto"/>
              <w:jc w:val="center"/>
              <w:rPr>
                <w:rFonts w:ascii="Palatino Linotype" w:hAnsi="Palatino Linotype"/>
                <w:b/>
                <w:sz w:val="20"/>
              </w:rPr>
            </w:pPr>
            <w:r w:rsidRPr="00861A34">
              <w:rPr>
                <w:rFonts w:ascii="Palatino Linotype" w:hAnsi="Palatino Linotype"/>
                <w:b/>
                <w:sz w:val="20"/>
              </w:rPr>
              <w:t>Category</w:t>
            </w:r>
          </w:p>
        </w:tc>
        <w:tc>
          <w:tcPr>
            <w:tcW w:w="915" w:type="pct"/>
            <w:tcBorders>
              <w:left w:val="single" w:sz="8" w:space="0" w:color="FFFFFF" w:themeColor="background1"/>
              <w:right w:val="single" w:sz="8" w:space="0" w:color="FFFFFF" w:themeColor="background1"/>
            </w:tcBorders>
            <w:shd w:val="clear" w:color="auto" w:fill="000000" w:themeFill="text1"/>
            <w:vAlign w:val="center"/>
          </w:tcPr>
          <w:p w:rsidR="00001B2E" w:rsidRPr="00861A34" w:rsidRDefault="004B2466" w:rsidP="00001B2E">
            <w:pPr>
              <w:spacing w:before="120" w:after="120" w:line="300" w:lineRule="auto"/>
              <w:jc w:val="center"/>
              <w:rPr>
                <w:rFonts w:ascii="Palatino Linotype" w:hAnsi="Palatino Linotype"/>
                <w:b/>
                <w:sz w:val="20"/>
              </w:rPr>
            </w:pPr>
            <w:r>
              <w:rPr>
                <w:rFonts w:ascii="Palatino Linotype" w:hAnsi="Palatino Linotype"/>
                <w:b/>
                <w:sz w:val="20"/>
              </w:rPr>
              <w:t>Number of U</w:t>
            </w:r>
            <w:r w:rsidR="00001B2E" w:rsidRPr="00861A34">
              <w:rPr>
                <w:rFonts w:ascii="Palatino Linotype" w:hAnsi="Palatino Linotype"/>
                <w:b/>
                <w:sz w:val="20"/>
              </w:rPr>
              <w:t>nits</w:t>
            </w:r>
          </w:p>
        </w:tc>
        <w:tc>
          <w:tcPr>
            <w:tcW w:w="1199" w:type="pct"/>
            <w:tcBorders>
              <w:left w:val="single" w:sz="8" w:space="0" w:color="FFFFFF" w:themeColor="background1"/>
            </w:tcBorders>
            <w:shd w:val="clear" w:color="auto" w:fill="000000" w:themeFill="text1"/>
            <w:vAlign w:val="center"/>
          </w:tcPr>
          <w:p w:rsidR="00001B2E" w:rsidRPr="00861A34" w:rsidRDefault="00F87697" w:rsidP="004B2466">
            <w:pPr>
              <w:spacing w:before="120" w:after="120" w:line="300" w:lineRule="auto"/>
              <w:jc w:val="center"/>
              <w:rPr>
                <w:rFonts w:ascii="Palatino Linotype" w:hAnsi="Palatino Linotype"/>
                <w:b/>
                <w:sz w:val="20"/>
              </w:rPr>
            </w:pPr>
            <w:r>
              <w:rPr>
                <w:rFonts w:ascii="Palatino Linotype" w:hAnsi="Palatino Linotype"/>
                <w:b/>
                <w:sz w:val="20"/>
              </w:rPr>
              <w:t>MT</w:t>
            </w:r>
            <w:r w:rsidR="00001B2E" w:rsidRPr="00861A34">
              <w:rPr>
                <w:rFonts w:ascii="Palatino Linotype" w:hAnsi="Palatino Linotype"/>
                <w:b/>
                <w:sz w:val="20"/>
              </w:rPr>
              <w:t xml:space="preserve"> </w:t>
            </w:r>
            <w:r>
              <w:rPr>
                <w:rFonts w:ascii="Palatino Linotype" w:hAnsi="Palatino Linotype"/>
                <w:b/>
                <w:sz w:val="20"/>
              </w:rPr>
              <w:t>e</w:t>
            </w:r>
            <w:r w:rsidR="00001B2E" w:rsidRPr="00861A34">
              <w:rPr>
                <w:rFonts w:ascii="Palatino Linotype" w:hAnsi="Palatino Linotype"/>
                <w:b/>
                <w:sz w:val="20"/>
              </w:rPr>
              <w:t>CO</w:t>
            </w:r>
            <w:r w:rsidR="00001B2E" w:rsidRPr="00861A34">
              <w:rPr>
                <w:rFonts w:ascii="Palatino Linotype" w:hAnsi="Palatino Linotype"/>
                <w:b/>
                <w:sz w:val="20"/>
                <w:vertAlign w:val="subscript"/>
              </w:rPr>
              <w:t>2</w:t>
            </w:r>
            <w:r w:rsidR="00001B2E" w:rsidRPr="00861A34">
              <w:rPr>
                <w:rFonts w:ascii="Palatino Linotype" w:hAnsi="Palatino Linotype"/>
                <w:b/>
                <w:sz w:val="20"/>
              </w:rPr>
              <w:t xml:space="preserve"> </w:t>
            </w:r>
            <w:r w:rsidR="004B2466">
              <w:rPr>
                <w:rFonts w:ascii="Palatino Linotype" w:hAnsi="Palatino Linotype"/>
                <w:b/>
                <w:sz w:val="20"/>
              </w:rPr>
              <w:t>/Unit         by C</w:t>
            </w:r>
            <w:r w:rsidR="00001B2E" w:rsidRPr="00861A34">
              <w:rPr>
                <w:rFonts w:ascii="Palatino Linotype" w:hAnsi="Palatino Linotype"/>
                <w:b/>
                <w:sz w:val="20"/>
              </w:rPr>
              <w:t>ategory</w:t>
            </w:r>
          </w:p>
        </w:tc>
      </w:tr>
      <w:tr w:rsidR="00250C13" w:rsidRPr="00861A34" w:rsidTr="00F87697">
        <w:trPr>
          <w:trHeight w:hRule="exact" w:val="504"/>
        </w:trPr>
        <w:tc>
          <w:tcPr>
            <w:tcW w:w="862" w:type="pct"/>
          </w:tcPr>
          <w:p w:rsidR="00250C13" w:rsidRPr="00861A34" w:rsidRDefault="00DE25E8" w:rsidP="00861A34">
            <w:pPr>
              <w:spacing w:before="120" w:after="120" w:line="300" w:lineRule="auto"/>
              <w:jc w:val="center"/>
              <w:rPr>
                <w:rFonts w:ascii="Palatino Linotype" w:hAnsi="Palatino Linotype"/>
                <w:b/>
                <w:sz w:val="20"/>
              </w:rPr>
            </w:pPr>
            <w:r>
              <w:rPr>
                <w:rFonts w:ascii="Palatino Linotype" w:hAnsi="Palatino Linotype"/>
                <w:b/>
                <w:sz w:val="20"/>
              </w:rPr>
              <w:t>2014</w:t>
            </w:r>
          </w:p>
        </w:tc>
        <w:tc>
          <w:tcPr>
            <w:tcW w:w="2024" w:type="pct"/>
          </w:tcPr>
          <w:p w:rsidR="00250C13" w:rsidRPr="00861A34" w:rsidRDefault="00250C13" w:rsidP="00861A34">
            <w:pPr>
              <w:spacing w:before="120" w:after="120" w:line="300" w:lineRule="auto"/>
              <w:rPr>
                <w:rFonts w:ascii="Palatino Linotype" w:hAnsi="Palatino Linotype"/>
                <w:sz w:val="20"/>
              </w:rPr>
            </w:pPr>
            <w:r w:rsidRPr="00861A34">
              <w:rPr>
                <w:rFonts w:ascii="Palatino Linotype" w:hAnsi="Palatino Linotype"/>
                <w:sz w:val="20"/>
              </w:rPr>
              <w:t>Number of Students</w:t>
            </w:r>
          </w:p>
        </w:tc>
        <w:tc>
          <w:tcPr>
            <w:tcW w:w="915" w:type="pct"/>
            <w:vAlign w:val="center"/>
          </w:tcPr>
          <w:p w:rsidR="00250C13" w:rsidRPr="00861A34" w:rsidRDefault="00DD599D" w:rsidP="00861A34">
            <w:pPr>
              <w:spacing w:before="120" w:after="120" w:line="300" w:lineRule="auto"/>
              <w:jc w:val="center"/>
              <w:rPr>
                <w:rFonts w:ascii="Palatino Linotype" w:hAnsi="Palatino Linotype"/>
                <w:sz w:val="20"/>
              </w:rPr>
            </w:pPr>
            <w:r>
              <w:rPr>
                <w:rFonts w:ascii="Palatino Linotype" w:hAnsi="Palatino Linotype"/>
                <w:sz w:val="20"/>
              </w:rPr>
              <w:t>1,896</w:t>
            </w:r>
          </w:p>
        </w:tc>
        <w:tc>
          <w:tcPr>
            <w:tcW w:w="1199" w:type="pct"/>
            <w:vAlign w:val="center"/>
          </w:tcPr>
          <w:p w:rsidR="00250C13" w:rsidRDefault="00C7632B" w:rsidP="00861A34">
            <w:pPr>
              <w:spacing w:before="120" w:after="120" w:line="300" w:lineRule="auto"/>
              <w:jc w:val="center"/>
              <w:rPr>
                <w:rFonts w:ascii="Palatino Linotype" w:hAnsi="Palatino Linotype"/>
                <w:sz w:val="20"/>
              </w:rPr>
            </w:pPr>
            <w:r>
              <w:rPr>
                <w:rFonts w:ascii="Palatino Linotype" w:hAnsi="Palatino Linotype"/>
                <w:sz w:val="20"/>
              </w:rPr>
              <w:t>10.61</w:t>
            </w:r>
          </w:p>
          <w:p w:rsidR="00C7632B" w:rsidRPr="00861A34" w:rsidRDefault="00C7632B" w:rsidP="00861A34">
            <w:pPr>
              <w:spacing w:before="120" w:after="120" w:line="300" w:lineRule="auto"/>
              <w:jc w:val="center"/>
              <w:rPr>
                <w:rFonts w:ascii="Palatino Linotype" w:hAnsi="Palatino Linotype"/>
                <w:sz w:val="20"/>
              </w:rPr>
            </w:pPr>
          </w:p>
        </w:tc>
      </w:tr>
      <w:tr w:rsidR="00250C13" w:rsidRPr="00861A34" w:rsidTr="00F87697">
        <w:trPr>
          <w:trHeight w:hRule="exact" w:val="504"/>
        </w:trPr>
        <w:tc>
          <w:tcPr>
            <w:tcW w:w="862" w:type="pct"/>
          </w:tcPr>
          <w:p w:rsidR="00250C13" w:rsidRPr="00861A34" w:rsidRDefault="00250C13" w:rsidP="00861A34">
            <w:pPr>
              <w:spacing w:before="120" w:after="120" w:line="300" w:lineRule="auto"/>
              <w:jc w:val="center"/>
              <w:rPr>
                <w:rFonts w:ascii="Palatino Linotype" w:hAnsi="Palatino Linotype"/>
                <w:b/>
                <w:sz w:val="20"/>
              </w:rPr>
            </w:pPr>
          </w:p>
        </w:tc>
        <w:tc>
          <w:tcPr>
            <w:tcW w:w="2024" w:type="pct"/>
          </w:tcPr>
          <w:p w:rsidR="00250C13" w:rsidRPr="00861A34" w:rsidRDefault="00250C13" w:rsidP="00861A34">
            <w:pPr>
              <w:spacing w:before="120" w:after="120" w:line="300" w:lineRule="auto"/>
              <w:rPr>
                <w:rFonts w:ascii="Palatino Linotype" w:hAnsi="Palatino Linotype"/>
                <w:sz w:val="20"/>
              </w:rPr>
            </w:pPr>
            <w:r w:rsidRPr="00861A34">
              <w:rPr>
                <w:rFonts w:ascii="Palatino Linotype" w:hAnsi="Palatino Linotype"/>
                <w:sz w:val="20"/>
              </w:rPr>
              <w:t>Number of Students, Faculty, Staff</w:t>
            </w:r>
          </w:p>
        </w:tc>
        <w:tc>
          <w:tcPr>
            <w:tcW w:w="915" w:type="pct"/>
            <w:vAlign w:val="center"/>
          </w:tcPr>
          <w:p w:rsidR="00250C13" w:rsidRPr="00861A34" w:rsidRDefault="00DD599D" w:rsidP="00861A34">
            <w:pPr>
              <w:spacing w:before="120" w:after="120" w:line="300" w:lineRule="auto"/>
              <w:jc w:val="center"/>
              <w:rPr>
                <w:rFonts w:ascii="Palatino Linotype" w:hAnsi="Palatino Linotype"/>
                <w:sz w:val="20"/>
              </w:rPr>
            </w:pPr>
            <w:r>
              <w:rPr>
                <w:rFonts w:ascii="Palatino Linotype" w:hAnsi="Palatino Linotype"/>
                <w:sz w:val="20"/>
              </w:rPr>
              <w:t>2,402</w:t>
            </w:r>
          </w:p>
        </w:tc>
        <w:tc>
          <w:tcPr>
            <w:tcW w:w="1199" w:type="pct"/>
            <w:vAlign w:val="center"/>
          </w:tcPr>
          <w:p w:rsidR="00250C13" w:rsidRPr="00861A34" w:rsidRDefault="00C7632B" w:rsidP="00861A34">
            <w:pPr>
              <w:spacing w:before="120" w:after="120" w:line="300" w:lineRule="auto"/>
              <w:jc w:val="center"/>
              <w:rPr>
                <w:rFonts w:ascii="Palatino Linotype" w:hAnsi="Palatino Linotype"/>
                <w:sz w:val="20"/>
              </w:rPr>
            </w:pPr>
            <w:r>
              <w:rPr>
                <w:rFonts w:ascii="Palatino Linotype" w:hAnsi="Palatino Linotype"/>
                <w:sz w:val="20"/>
              </w:rPr>
              <w:t>8.37</w:t>
            </w:r>
          </w:p>
        </w:tc>
      </w:tr>
      <w:tr w:rsidR="00250C13" w:rsidRPr="00861A34" w:rsidTr="00F87697">
        <w:trPr>
          <w:trHeight w:hRule="exact" w:val="504"/>
        </w:trPr>
        <w:tc>
          <w:tcPr>
            <w:tcW w:w="862" w:type="pct"/>
          </w:tcPr>
          <w:p w:rsidR="00250C13" w:rsidRPr="00861A34" w:rsidRDefault="00250C13" w:rsidP="00861A34">
            <w:pPr>
              <w:spacing w:before="120" w:after="120" w:line="300" w:lineRule="auto"/>
              <w:jc w:val="center"/>
              <w:rPr>
                <w:rFonts w:ascii="Palatino Linotype" w:hAnsi="Palatino Linotype"/>
                <w:b/>
                <w:sz w:val="20"/>
              </w:rPr>
            </w:pPr>
          </w:p>
        </w:tc>
        <w:tc>
          <w:tcPr>
            <w:tcW w:w="2024" w:type="pct"/>
          </w:tcPr>
          <w:p w:rsidR="00250C13" w:rsidRPr="00861A34" w:rsidRDefault="00DD599D" w:rsidP="00DD599D">
            <w:pPr>
              <w:spacing w:before="120" w:after="120" w:line="300" w:lineRule="auto"/>
              <w:rPr>
                <w:rFonts w:ascii="Palatino Linotype" w:hAnsi="Palatino Linotype"/>
                <w:sz w:val="20"/>
              </w:rPr>
            </w:pPr>
            <w:r>
              <w:rPr>
                <w:rFonts w:ascii="Palatino Linotype" w:hAnsi="Palatino Linotype"/>
                <w:sz w:val="20"/>
              </w:rPr>
              <w:t>Gross Building Square Foo</w:t>
            </w:r>
            <w:r w:rsidR="00250C13" w:rsidRPr="00861A34">
              <w:rPr>
                <w:rFonts w:ascii="Palatino Linotype" w:hAnsi="Palatino Linotype"/>
                <w:sz w:val="20"/>
              </w:rPr>
              <w:t>t</w:t>
            </w:r>
            <w:r>
              <w:rPr>
                <w:rFonts w:ascii="Palatino Linotype" w:hAnsi="Palatino Linotype"/>
                <w:sz w:val="20"/>
              </w:rPr>
              <w:t>age</w:t>
            </w:r>
          </w:p>
        </w:tc>
        <w:tc>
          <w:tcPr>
            <w:tcW w:w="915" w:type="pct"/>
            <w:vAlign w:val="center"/>
          </w:tcPr>
          <w:p w:rsidR="00250C13" w:rsidRPr="00861A34" w:rsidRDefault="00DD599D" w:rsidP="00861A34">
            <w:pPr>
              <w:spacing w:before="120" w:after="120" w:line="300" w:lineRule="auto"/>
              <w:jc w:val="center"/>
              <w:rPr>
                <w:rFonts w:ascii="Palatino Linotype" w:hAnsi="Palatino Linotype"/>
                <w:sz w:val="20"/>
              </w:rPr>
            </w:pPr>
            <w:r>
              <w:rPr>
                <w:rFonts w:ascii="Palatino Linotype" w:hAnsi="Palatino Linotype"/>
                <w:sz w:val="20"/>
              </w:rPr>
              <w:t>1,346,820</w:t>
            </w:r>
          </w:p>
        </w:tc>
        <w:tc>
          <w:tcPr>
            <w:tcW w:w="1199" w:type="pct"/>
            <w:vAlign w:val="center"/>
          </w:tcPr>
          <w:p w:rsidR="00250C13" w:rsidRDefault="00C7632B" w:rsidP="00861A34">
            <w:pPr>
              <w:spacing w:before="120" w:after="120" w:line="300" w:lineRule="auto"/>
              <w:jc w:val="center"/>
              <w:rPr>
                <w:rFonts w:ascii="Palatino Linotype" w:hAnsi="Palatino Linotype"/>
                <w:sz w:val="20"/>
              </w:rPr>
            </w:pPr>
            <w:r>
              <w:rPr>
                <w:rFonts w:ascii="Palatino Linotype" w:hAnsi="Palatino Linotype"/>
                <w:sz w:val="20"/>
              </w:rPr>
              <w:t>0.015</w:t>
            </w:r>
          </w:p>
          <w:p w:rsidR="00C7632B" w:rsidRPr="00861A34" w:rsidRDefault="00C7632B" w:rsidP="00861A34">
            <w:pPr>
              <w:spacing w:before="120" w:after="120" w:line="300" w:lineRule="auto"/>
              <w:jc w:val="center"/>
              <w:rPr>
                <w:rFonts w:ascii="Palatino Linotype" w:hAnsi="Palatino Linotype"/>
                <w:sz w:val="20"/>
              </w:rPr>
            </w:pPr>
          </w:p>
        </w:tc>
      </w:tr>
      <w:tr w:rsidR="00DB31ED" w:rsidRPr="00861A34" w:rsidTr="00F87697">
        <w:trPr>
          <w:trHeight w:hRule="exact" w:val="504"/>
        </w:trPr>
        <w:tc>
          <w:tcPr>
            <w:tcW w:w="862" w:type="pct"/>
          </w:tcPr>
          <w:p w:rsidR="00DB31ED" w:rsidRPr="00861A34" w:rsidRDefault="00DB31ED" w:rsidP="00001B2E">
            <w:pPr>
              <w:spacing w:before="120" w:after="120" w:line="300" w:lineRule="auto"/>
              <w:jc w:val="center"/>
              <w:rPr>
                <w:rFonts w:ascii="Palatino Linotype" w:hAnsi="Palatino Linotype"/>
                <w:b/>
                <w:sz w:val="20"/>
              </w:rPr>
            </w:pPr>
            <w:r w:rsidRPr="00861A34">
              <w:rPr>
                <w:rFonts w:ascii="Palatino Linotype" w:hAnsi="Palatino Linotype"/>
                <w:b/>
                <w:sz w:val="20"/>
              </w:rPr>
              <w:t>2011</w:t>
            </w:r>
          </w:p>
        </w:tc>
        <w:tc>
          <w:tcPr>
            <w:tcW w:w="2024" w:type="pct"/>
          </w:tcPr>
          <w:p w:rsidR="00DB31ED" w:rsidRPr="00861A34" w:rsidRDefault="00DB31ED" w:rsidP="00861A34">
            <w:pPr>
              <w:spacing w:before="120" w:after="120" w:line="300" w:lineRule="auto"/>
              <w:rPr>
                <w:rFonts w:ascii="Palatino Linotype" w:hAnsi="Palatino Linotype"/>
                <w:sz w:val="20"/>
              </w:rPr>
            </w:pPr>
            <w:r w:rsidRPr="00861A34">
              <w:rPr>
                <w:rFonts w:ascii="Palatino Linotype" w:hAnsi="Palatino Linotype"/>
                <w:sz w:val="20"/>
              </w:rPr>
              <w:t>Number of Students</w:t>
            </w:r>
          </w:p>
        </w:tc>
        <w:tc>
          <w:tcPr>
            <w:tcW w:w="915" w:type="pct"/>
            <w:vAlign w:val="center"/>
          </w:tcPr>
          <w:p w:rsidR="00DB31ED" w:rsidRPr="00861A34" w:rsidRDefault="00DB31ED" w:rsidP="00001B2E">
            <w:pPr>
              <w:spacing w:before="120" w:after="120" w:line="300" w:lineRule="auto"/>
              <w:jc w:val="center"/>
              <w:rPr>
                <w:rFonts w:ascii="Palatino Linotype" w:hAnsi="Palatino Linotype"/>
                <w:sz w:val="20"/>
              </w:rPr>
            </w:pPr>
            <w:r w:rsidRPr="00861A34">
              <w:rPr>
                <w:rFonts w:ascii="Palatino Linotype" w:hAnsi="Palatino Linotype"/>
                <w:sz w:val="20"/>
              </w:rPr>
              <w:t>1</w:t>
            </w:r>
            <w:r w:rsidR="00DD599D">
              <w:rPr>
                <w:rFonts w:ascii="Palatino Linotype" w:hAnsi="Palatino Linotype"/>
                <w:sz w:val="20"/>
              </w:rPr>
              <w:t>,</w:t>
            </w:r>
            <w:r w:rsidRPr="00861A34">
              <w:rPr>
                <w:rFonts w:ascii="Palatino Linotype" w:hAnsi="Palatino Linotype"/>
                <w:sz w:val="20"/>
              </w:rPr>
              <w:t>954.5</w:t>
            </w:r>
          </w:p>
        </w:tc>
        <w:tc>
          <w:tcPr>
            <w:tcW w:w="1199" w:type="pct"/>
            <w:vAlign w:val="center"/>
          </w:tcPr>
          <w:p w:rsidR="00DB31ED" w:rsidRPr="00861A34" w:rsidRDefault="00680E96" w:rsidP="00001B2E">
            <w:pPr>
              <w:spacing w:before="120" w:after="120" w:line="300" w:lineRule="auto"/>
              <w:jc w:val="center"/>
              <w:rPr>
                <w:rFonts w:ascii="Palatino Linotype" w:hAnsi="Palatino Linotype"/>
                <w:sz w:val="20"/>
              </w:rPr>
            </w:pPr>
            <w:r w:rsidRPr="00861A34">
              <w:rPr>
                <w:rFonts w:ascii="Palatino Linotype" w:hAnsi="Palatino Linotype"/>
                <w:sz w:val="20"/>
              </w:rPr>
              <w:t>14.54</w:t>
            </w:r>
          </w:p>
        </w:tc>
      </w:tr>
      <w:tr w:rsidR="00DB31ED" w:rsidRPr="00861A34" w:rsidTr="00F87697">
        <w:trPr>
          <w:trHeight w:hRule="exact" w:val="504"/>
        </w:trPr>
        <w:tc>
          <w:tcPr>
            <w:tcW w:w="862" w:type="pct"/>
          </w:tcPr>
          <w:p w:rsidR="00DB31ED" w:rsidRPr="00861A34" w:rsidRDefault="00DB31ED" w:rsidP="00001B2E">
            <w:pPr>
              <w:spacing w:before="120" w:after="120" w:line="300" w:lineRule="auto"/>
              <w:jc w:val="center"/>
              <w:rPr>
                <w:rFonts w:ascii="Palatino Linotype" w:hAnsi="Palatino Linotype"/>
                <w:b/>
                <w:sz w:val="20"/>
              </w:rPr>
            </w:pPr>
          </w:p>
        </w:tc>
        <w:tc>
          <w:tcPr>
            <w:tcW w:w="2024" w:type="pct"/>
          </w:tcPr>
          <w:p w:rsidR="00DB31ED" w:rsidRPr="00861A34" w:rsidRDefault="00DB31ED" w:rsidP="00861A34">
            <w:pPr>
              <w:spacing w:before="120" w:after="120" w:line="300" w:lineRule="auto"/>
              <w:rPr>
                <w:rFonts w:ascii="Palatino Linotype" w:hAnsi="Palatino Linotype"/>
                <w:sz w:val="20"/>
              </w:rPr>
            </w:pPr>
            <w:r w:rsidRPr="00861A34">
              <w:rPr>
                <w:rFonts w:ascii="Palatino Linotype" w:hAnsi="Palatino Linotype"/>
                <w:sz w:val="20"/>
              </w:rPr>
              <w:t>Number of Students, Faculty, Staff</w:t>
            </w:r>
          </w:p>
        </w:tc>
        <w:tc>
          <w:tcPr>
            <w:tcW w:w="915" w:type="pct"/>
            <w:vAlign w:val="center"/>
          </w:tcPr>
          <w:p w:rsidR="00DB31ED" w:rsidRPr="00861A34" w:rsidRDefault="00DB31ED" w:rsidP="00001B2E">
            <w:pPr>
              <w:spacing w:before="120" w:after="120" w:line="300" w:lineRule="auto"/>
              <w:jc w:val="center"/>
              <w:rPr>
                <w:rFonts w:ascii="Palatino Linotype" w:hAnsi="Palatino Linotype"/>
                <w:sz w:val="20"/>
              </w:rPr>
            </w:pPr>
            <w:r w:rsidRPr="00861A34">
              <w:rPr>
                <w:rFonts w:ascii="Palatino Linotype" w:hAnsi="Palatino Linotype"/>
                <w:sz w:val="20"/>
              </w:rPr>
              <w:t>2</w:t>
            </w:r>
            <w:r w:rsidR="00DD599D">
              <w:rPr>
                <w:rFonts w:ascii="Palatino Linotype" w:hAnsi="Palatino Linotype"/>
                <w:sz w:val="20"/>
              </w:rPr>
              <w:t>,</w:t>
            </w:r>
            <w:r w:rsidRPr="00861A34">
              <w:rPr>
                <w:rFonts w:ascii="Palatino Linotype" w:hAnsi="Palatino Linotype"/>
                <w:sz w:val="20"/>
              </w:rPr>
              <w:t>377.5</w:t>
            </w:r>
          </w:p>
          <w:p w:rsidR="00DB31ED" w:rsidRPr="00861A34" w:rsidRDefault="00DB31ED" w:rsidP="00001B2E">
            <w:pPr>
              <w:spacing w:before="120" w:after="120" w:line="300" w:lineRule="auto"/>
              <w:jc w:val="center"/>
              <w:rPr>
                <w:rFonts w:ascii="Palatino Linotype" w:hAnsi="Palatino Linotype"/>
                <w:sz w:val="20"/>
              </w:rPr>
            </w:pPr>
            <w:r w:rsidRPr="00861A34">
              <w:rPr>
                <w:rFonts w:ascii="Palatino Linotype" w:hAnsi="Palatino Linotype"/>
                <w:sz w:val="20"/>
              </w:rPr>
              <w:tab/>
            </w:r>
            <w:r w:rsidRPr="00861A34">
              <w:rPr>
                <w:rFonts w:ascii="Palatino Linotype" w:hAnsi="Palatino Linotype"/>
                <w:sz w:val="20"/>
              </w:rPr>
              <w:tab/>
            </w:r>
          </w:p>
        </w:tc>
        <w:tc>
          <w:tcPr>
            <w:tcW w:w="1199" w:type="pct"/>
            <w:vAlign w:val="center"/>
          </w:tcPr>
          <w:p w:rsidR="00DB31ED" w:rsidRPr="00861A34" w:rsidRDefault="00680E96" w:rsidP="00001B2E">
            <w:pPr>
              <w:spacing w:before="120" w:after="120" w:line="300" w:lineRule="auto"/>
              <w:jc w:val="center"/>
              <w:rPr>
                <w:rFonts w:ascii="Palatino Linotype" w:hAnsi="Palatino Linotype"/>
                <w:sz w:val="20"/>
              </w:rPr>
            </w:pPr>
            <w:r w:rsidRPr="00861A34">
              <w:rPr>
                <w:rFonts w:ascii="Palatino Linotype" w:hAnsi="Palatino Linotype"/>
                <w:sz w:val="20"/>
              </w:rPr>
              <w:t>12.00</w:t>
            </w:r>
          </w:p>
        </w:tc>
      </w:tr>
      <w:tr w:rsidR="00DB31ED" w:rsidRPr="00861A34" w:rsidTr="00F87697">
        <w:trPr>
          <w:trHeight w:hRule="exact" w:val="504"/>
        </w:trPr>
        <w:tc>
          <w:tcPr>
            <w:tcW w:w="862" w:type="pct"/>
          </w:tcPr>
          <w:p w:rsidR="00DB31ED" w:rsidRPr="00861A34" w:rsidRDefault="00DB31ED" w:rsidP="00001B2E">
            <w:pPr>
              <w:spacing w:before="120" w:after="120" w:line="300" w:lineRule="auto"/>
              <w:jc w:val="center"/>
              <w:rPr>
                <w:rFonts w:ascii="Palatino Linotype" w:hAnsi="Palatino Linotype"/>
                <w:b/>
                <w:sz w:val="20"/>
              </w:rPr>
            </w:pPr>
          </w:p>
        </w:tc>
        <w:tc>
          <w:tcPr>
            <w:tcW w:w="2024" w:type="pct"/>
          </w:tcPr>
          <w:p w:rsidR="00DD599D" w:rsidRDefault="00C7632B" w:rsidP="00DD599D">
            <w:pPr>
              <w:spacing w:before="120" w:after="120" w:line="300" w:lineRule="auto"/>
              <w:rPr>
                <w:rFonts w:ascii="Palatino Linotype" w:hAnsi="Palatino Linotype"/>
                <w:sz w:val="20"/>
              </w:rPr>
            </w:pPr>
            <w:r>
              <w:rPr>
                <w:rFonts w:ascii="Palatino Linotype" w:hAnsi="Palatino Linotype"/>
                <w:sz w:val="20"/>
              </w:rPr>
              <w:t>Gross Building Square Footage</w:t>
            </w:r>
          </w:p>
          <w:p w:rsidR="00DB31ED" w:rsidRPr="00861A34" w:rsidRDefault="00DD599D" w:rsidP="00DD599D">
            <w:pPr>
              <w:spacing w:before="120" w:after="120" w:line="300" w:lineRule="auto"/>
              <w:rPr>
                <w:rFonts w:ascii="Palatino Linotype" w:hAnsi="Palatino Linotype"/>
                <w:sz w:val="20"/>
              </w:rPr>
            </w:pPr>
            <w:r>
              <w:rPr>
                <w:rFonts w:ascii="Palatino Linotype" w:hAnsi="Palatino Linotype"/>
                <w:sz w:val="20"/>
              </w:rPr>
              <w:t>Square Footage</w:t>
            </w:r>
          </w:p>
        </w:tc>
        <w:tc>
          <w:tcPr>
            <w:tcW w:w="915" w:type="pct"/>
            <w:vAlign w:val="center"/>
          </w:tcPr>
          <w:p w:rsidR="00DB31ED" w:rsidRPr="00861A34" w:rsidRDefault="00DB31ED" w:rsidP="006E03C8">
            <w:pPr>
              <w:spacing w:before="120" w:after="120" w:line="300" w:lineRule="auto"/>
              <w:jc w:val="center"/>
              <w:rPr>
                <w:rFonts w:ascii="Palatino Linotype" w:hAnsi="Palatino Linotype"/>
                <w:sz w:val="20"/>
              </w:rPr>
            </w:pPr>
            <w:r w:rsidRPr="00861A34">
              <w:rPr>
                <w:rFonts w:ascii="Palatino Linotype" w:hAnsi="Palatino Linotype"/>
                <w:sz w:val="20"/>
              </w:rPr>
              <w:t>1,397,652.4</w:t>
            </w:r>
          </w:p>
          <w:p w:rsidR="00DB31ED" w:rsidRPr="00861A34" w:rsidRDefault="00DB31ED" w:rsidP="00001B2E">
            <w:pPr>
              <w:spacing w:before="120" w:after="120" w:line="300" w:lineRule="auto"/>
              <w:jc w:val="center"/>
              <w:rPr>
                <w:rFonts w:ascii="Palatino Linotype" w:hAnsi="Palatino Linotype"/>
                <w:sz w:val="20"/>
              </w:rPr>
            </w:pPr>
          </w:p>
        </w:tc>
        <w:tc>
          <w:tcPr>
            <w:tcW w:w="1199" w:type="pct"/>
            <w:vAlign w:val="center"/>
          </w:tcPr>
          <w:p w:rsidR="00DB31ED" w:rsidRPr="00861A34" w:rsidRDefault="00680E96" w:rsidP="00001B2E">
            <w:pPr>
              <w:spacing w:before="120" w:after="120" w:line="300" w:lineRule="auto"/>
              <w:jc w:val="center"/>
              <w:rPr>
                <w:rFonts w:ascii="Palatino Linotype" w:hAnsi="Palatino Linotype"/>
                <w:sz w:val="20"/>
              </w:rPr>
            </w:pPr>
            <w:r w:rsidRPr="00861A34">
              <w:rPr>
                <w:rFonts w:ascii="Palatino Linotype" w:hAnsi="Palatino Linotype"/>
                <w:sz w:val="20"/>
              </w:rPr>
              <w:t>0.02</w:t>
            </w:r>
          </w:p>
        </w:tc>
      </w:tr>
    </w:tbl>
    <w:p w:rsidR="007711E6" w:rsidRPr="00861A34" w:rsidRDefault="007711E6">
      <w:pPr>
        <w:rPr>
          <w:rFonts w:ascii="Palatino Linotype" w:hAnsi="Palatino Linotype"/>
        </w:rPr>
      </w:pPr>
    </w:p>
    <w:p w:rsidR="00836464" w:rsidRPr="00861A34" w:rsidRDefault="00F46977" w:rsidP="000E42E7">
      <w:pPr>
        <w:rPr>
          <w:rFonts w:ascii="Palatino Linotype" w:hAnsi="Palatino Linotype" w:cs="Times New Roman"/>
        </w:rPr>
      </w:pPr>
      <w:r w:rsidRPr="00861A34">
        <w:rPr>
          <w:rFonts w:ascii="Palatino Linotype" w:hAnsi="Palatino Linotype" w:cs="Arial"/>
          <w:b/>
          <w:smallCaps/>
          <w:sz w:val="28"/>
          <w:szCs w:val="28"/>
        </w:rPr>
        <w:t>Power Production and Consumption</w:t>
      </w:r>
    </w:p>
    <w:p w:rsidR="004E430C" w:rsidRPr="00861A34" w:rsidRDefault="00DE25E8" w:rsidP="00F10144">
      <w:pPr>
        <w:pStyle w:val="Heading2"/>
        <w:spacing w:after="120"/>
        <w:ind w:left="0"/>
        <w:rPr>
          <w:rFonts w:ascii="Palatino Linotype" w:hAnsi="Palatino Linotype"/>
          <w:smallCaps/>
          <w:sz w:val="22"/>
          <w:szCs w:val="22"/>
        </w:rPr>
      </w:pPr>
      <w:r>
        <w:rPr>
          <w:rFonts w:ascii="Palatino Linotype" w:hAnsi="Palatino Linotype"/>
          <w:smallCaps/>
          <w:sz w:val="22"/>
          <w:szCs w:val="22"/>
        </w:rPr>
        <w:t xml:space="preserve">Produced </w:t>
      </w:r>
      <w:r w:rsidR="00C7333A">
        <w:rPr>
          <w:rFonts w:ascii="Palatino Linotype" w:hAnsi="Palatino Linotype"/>
          <w:smallCaps/>
          <w:sz w:val="22"/>
          <w:szCs w:val="22"/>
        </w:rPr>
        <w:t xml:space="preserve">and </w:t>
      </w:r>
      <w:r>
        <w:rPr>
          <w:rFonts w:ascii="Palatino Linotype" w:hAnsi="Palatino Linotype"/>
          <w:smallCaps/>
          <w:sz w:val="22"/>
          <w:szCs w:val="22"/>
        </w:rPr>
        <w:t>Purchased</w:t>
      </w:r>
      <w:r w:rsidR="00246B0E" w:rsidRPr="00861A34">
        <w:rPr>
          <w:rFonts w:ascii="Palatino Linotype" w:hAnsi="Palatino Linotype"/>
          <w:smallCaps/>
          <w:sz w:val="22"/>
          <w:szCs w:val="22"/>
        </w:rPr>
        <w:t xml:space="preserve"> Electricity</w:t>
      </w:r>
    </w:p>
    <w:p w:rsidR="000D6DC2" w:rsidRDefault="000D6DC2" w:rsidP="000D6DC2">
      <w:pPr>
        <w:pStyle w:val="BodyText2"/>
        <w:ind w:left="0"/>
        <w:rPr>
          <w:rFonts w:ascii="Palatino Linotype" w:hAnsi="Palatino Linotype"/>
        </w:rPr>
      </w:pPr>
      <w:r>
        <w:rPr>
          <w:rFonts w:ascii="Palatino Linotype" w:hAnsi="Palatino Linotype"/>
        </w:rPr>
        <w:t>Saint John’s operates a cogeneration facility which produce</w:t>
      </w:r>
      <w:r w:rsidR="00707AFA">
        <w:rPr>
          <w:rFonts w:ascii="Palatino Linotype" w:hAnsi="Palatino Linotype"/>
        </w:rPr>
        <w:t>d</w:t>
      </w:r>
      <w:r>
        <w:rPr>
          <w:rFonts w:ascii="Palatino Linotype" w:hAnsi="Palatino Linotype"/>
        </w:rPr>
        <w:t xml:space="preserve"> all of the campus’ steam needs and 23.85 percent of the university’s electr</w:t>
      </w:r>
      <w:r w:rsidR="00707AFA">
        <w:rPr>
          <w:rFonts w:ascii="Palatino Linotype" w:hAnsi="Palatino Linotype"/>
        </w:rPr>
        <w:t>icity during fiscal year 2014.  The d</w:t>
      </w:r>
      <w:r w:rsidR="004E430C" w:rsidRPr="00861A34">
        <w:rPr>
          <w:rFonts w:ascii="Palatino Linotype" w:hAnsi="Palatino Linotype"/>
        </w:rPr>
        <w:t xml:space="preserve">ata for </w:t>
      </w:r>
      <w:r w:rsidR="00DD1EA4">
        <w:rPr>
          <w:rFonts w:ascii="Palatino Linotype" w:hAnsi="Palatino Linotype"/>
        </w:rPr>
        <w:t>steam and electricity</w:t>
      </w:r>
      <w:r w:rsidR="005E3B29" w:rsidRPr="00861A34">
        <w:rPr>
          <w:rFonts w:ascii="Palatino Linotype" w:hAnsi="Palatino Linotype"/>
        </w:rPr>
        <w:t xml:space="preserve"> generation</w:t>
      </w:r>
      <w:r w:rsidR="00707AFA">
        <w:rPr>
          <w:rFonts w:ascii="Palatino Linotype" w:hAnsi="Palatino Linotype"/>
        </w:rPr>
        <w:t xml:space="preserve"> provided in the table below</w:t>
      </w:r>
      <w:r w:rsidR="005E3B29" w:rsidRPr="00861A34">
        <w:rPr>
          <w:rFonts w:ascii="Palatino Linotype" w:hAnsi="Palatino Linotype"/>
        </w:rPr>
        <w:t xml:space="preserve"> is </w:t>
      </w:r>
      <w:r w:rsidR="00DD1EA4">
        <w:rPr>
          <w:rFonts w:ascii="Palatino Linotype" w:hAnsi="Palatino Linotype"/>
        </w:rPr>
        <w:t xml:space="preserve">from </w:t>
      </w:r>
      <w:r w:rsidR="00707AFA">
        <w:rPr>
          <w:rFonts w:ascii="Palatino Linotype" w:hAnsi="Palatino Linotype"/>
        </w:rPr>
        <w:t xml:space="preserve">this </w:t>
      </w:r>
      <w:r w:rsidR="005E3B29" w:rsidRPr="00861A34">
        <w:rPr>
          <w:rFonts w:ascii="Palatino Linotype" w:hAnsi="Palatino Linotype"/>
        </w:rPr>
        <w:t>cogeneration</w:t>
      </w:r>
      <w:r w:rsidR="00707AFA">
        <w:rPr>
          <w:rFonts w:ascii="Palatino Linotype" w:hAnsi="Palatino Linotype"/>
        </w:rPr>
        <w:t xml:space="preserve"> facility</w:t>
      </w:r>
      <w:r w:rsidR="00DD1EA4">
        <w:rPr>
          <w:rFonts w:ascii="Palatino Linotype" w:hAnsi="Palatino Linotype"/>
        </w:rPr>
        <w:t xml:space="preserve">. </w:t>
      </w:r>
      <w:r w:rsidR="00707AFA">
        <w:rPr>
          <w:rFonts w:ascii="Palatino Linotype" w:hAnsi="Palatino Linotype"/>
        </w:rPr>
        <w:t xml:space="preserve"> </w:t>
      </w:r>
      <w:r w:rsidR="00DD1EA4">
        <w:rPr>
          <w:rFonts w:ascii="Palatino Linotype" w:hAnsi="Palatino Linotype"/>
        </w:rPr>
        <w:t xml:space="preserve">The cogeneration </w:t>
      </w:r>
      <w:r w:rsidR="00707AFA">
        <w:rPr>
          <w:rFonts w:ascii="Palatino Linotype" w:hAnsi="Palatino Linotype"/>
        </w:rPr>
        <w:t xml:space="preserve">facility </w:t>
      </w:r>
      <w:r w:rsidR="00DD1EA4">
        <w:rPr>
          <w:rFonts w:ascii="Palatino Linotype" w:hAnsi="Palatino Linotype"/>
        </w:rPr>
        <w:t>is currently operated on natural gas and #2 fuel oil.</w:t>
      </w:r>
      <w:r w:rsidR="00707AFA">
        <w:rPr>
          <w:rFonts w:ascii="Palatino Linotype" w:hAnsi="Palatino Linotype"/>
        </w:rPr>
        <w:t xml:space="preserve"> </w:t>
      </w:r>
      <w:r w:rsidR="00DD1EA4">
        <w:rPr>
          <w:rFonts w:ascii="Palatino Linotype" w:hAnsi="Palatino Linotype"/>
        </w:rPr>
        <w:t xml:space="preserve"> Saint John’s no longer burns </w:t>
      </w:r>
      <w:r w:rsidR="00707AFA">
        <w:rPr>
          <w:rFonts w:ascii="Palatino Linotype" w:hAnsi="Palatino Linotype"/>
        </w:rPr>
        <w:t xml:space="preserve">any </w:t>
      </w:r>
      <w:r w:rsidR="00DD1EA4">
        <w:rPr>
          <w:rFonts w:ascii="Palatino Linotype" w:hAnsi="Palatino Linotype"/>
        </w:rPr>
        <w:t>c</w:t>
      </w:r>
      <w:r w:rsidR="00707AFA">
        <w:rPr>
          <w:rFonts w:ascii="Palatino Linotype" w:hAnsi="Palatino Linotype"/>
        </w:rPr>
        <w:t>oal on campus, but it is shown in Table 9</w:t>
      </w:r>
      <w:r w:rsidR="00DD1EA4">
        <w:rPr>
          <w:rFonts w:ascii="Palatino Linotype" w:hAnsi="Palatino Linotype"/>
        </w:rPr>
        <w:t xml:space="preserve"> to show the progress made since 2011.  Table 9 includes data about fuels sources, steam and electricity generation,</w:t>
      </w:r>
      <w:r w:rsidR="004E430C" w:rsidRPr="00861A34">
        <w:rPr>
          <w:rFonts w:ascii="Palatino Linotype" w:hAnsi="Palatino Linotype"/>
        </w:rPr>
        <w:t xml:space="preserve"> </w:t>
      </w:r>
      <w:r w:rsidR="00DD1EA4">
        <w:rPr>
          <w:rFonts w:ascii="Palatino Linotype" w:hAnsi="Palatino Linotype"/>
        </w:rPr>
        <w:t xml:space="preserve">and </w:t>
      </w:r>
      <w:r w:rsidR="005E3B29" w:rsidRPr="00861A34">
        <w:rPr>
          <w:rFonts w:ascii="Palatino Linotype" w:hAnsi="Palatino Linotype"/>
        </w:rPr>
        <w:t xml:space="preserve">purchased </w:t>
      </w:r>
      <w:r w:rsidR="00DD1EA4">
        <w:rPr>
          <w:rFonts w:ascii="Palatino Linotype" w:hAnsi="Palatino Linotype"/>
        </w:rPr>
        <w:t>electricity</w:t>
      </w:r>
      <w:r w:rsidR="004E430C" w:rsidRPr="00861A34">
        <w:rPr>
          <w:rFonts w:ascii="Palatino Linotype" w:hAnsi="Palatino Linotype"/>
        </w:rPr>
        <w:t>.</w:t>
      </w:r>
      <w:r w:rsidR="002A478B" w:rsidRPr="00861A34">
        <w:rPr>
          <w:rFonts w:ascii="Palatino Linotype" w:hAnsi="Palatino Linotype"/>
        </w:rPr>
        <w:t xml:space="preserve"> </w:t>
      </w:r>
    </w:p>
    <w:p w:rsidR="000D6DC2" w:rsidRPr="00861A34" w:rsidRDefault="00707AFA" w:rsidP="000D6DC2">
      <w:pPr>
        <w:pStyle w:val="BodyText2"/>
        <w:ind w:left="0"/>
        <w:rPr>
          <w:rFonts w:ascii="Palatino Linotype" w:hAnsi="Palatino Linotype"/>
          <w:b/>
        </w:rPr>
      </w:pPr>
      <w:r>
        <w:rPr>
          <w:rFonts w:ascii="Palatino Linotype" w:hAnsi="Palatino Linotype"/>
        </w:rPr>
        <w:t>The carbon e</w:t>
      </w:r>
      <w:r w:rsidR="000D6DC2" w:rsidRPr="00861A34">
        <w:rPr>
          <w:rFonts w:ascii="Palatino Linotype" w:hAnsi="Palatino Linotype"/>
        </w:rPr>
        <w:t xml:space="preserve">missions from purchased electricity from Xcel Energy were calculated using emission factors representing the power pool average for kilowatt hours consumed in the MROW </w:t>
      </w:r>
      <w:r w:rsidR="000D6DC2">
        <w:rPr>
          <w:rFonts w:ascii="Palatino Linotype" w:hAnsi="Palatino Linotype"/>
        </w:rPr>
        <w:t>eGrid sub-</w:t>
      </w:r>
      <w:r w:rsidR="000D6DC2" w:rsidRPr="00861A34">
        <w:rPr>
          <w:rFonts w:ascii="Palatino Linotype" w:hAnsi="Palatino Linotype"/>
        </w:rPr>
        <w:t xml:space="preserve">region.  </w:t>
      </w:r>
      <w:r w:rsidR="000D6DC2">
        <w:rPr>
          <w:rFonts w:ascii="Palatino Linotype" w:hAnsi="Palatino Linotype"/>
        </w:rPr>
        <w:t xml:space="preserve">Saint John’s has been part of the MROW sub-region since 2006. Prior to 2006, Saint John’s drew power from the MAPP eGrid sub-region.  </w:t>
      </w:r>
      <w:r w:rsidR="000D6DC2" w:rsidRPr="00861A34">
        <w:rPr>
          <w:rFonts w:ascii="Palatino Linotype" w:hAnsi="Palatino Linotype"/>
        </w:rPr>
        <w:t>The use of power pool average emission factors is a standard method incorporated into CA-CP</w:t>
      </w:r>
      <w:r>
        <w:rPr>
          <w:rFonts w:ascii="Palatino Linotype" w:hAnsi="Palatino Linotype"/>
        </w:rPr>
        <w:t>,</w:t>
      </w:r>
      <w:r w:rsidR="000D6DC2" w:rsidRPr="00861A34">
        <w:rPr>
          <w:rFonts w:ascii="Palatino Linotype" w:hAnsi="Palatino Linotype"/>
        </w:rPr>
        <w:t xml:space="preserve"> and is used b</w:t>
      </w:r>
      <w:r>
        <w:rPr>
          <w:rFonts w:ascii="Palatino Linotype" w:hAnsi="Palatino Linotype"/>
        </w:rPr>
        <w:t>y the WRI in their GHG Protocol</w:t>
      </w:r>
      <w:r w:rsidR="000D6DC2" w:rsidRPr="00861A34">
        <w:rPr>
          <w:rFonts w:ascii="Palatino Linotype" w:hAnsi="Palatino Linotype"/>
        </w:rPr>
        <w:t xml:space="preserve"> and the U.S. Department of Energy in the 1605(b) Voluntary Reporting of Greenhouse Gas Emissions Program.  </w:t>
      </w:r>
    </w:p>
    <w:p w:rsidR="005E3B29" w:rsidRDefault="000D6DC2" w:rsidP="004E430C">
      <w:pPr>
        <w:pStyle w:val="BodyText2"/>
        <w:ind w:left="0"/>
        <w:rPr>
          <w:rFonts w:ascii="Palatino Linotype" w:hAnsi="Palatino Linotype"/>
        </w:rPr>
      </w:pPr>
      <w:r w:rsidRPr="00861A34">
        <w:rPr>
          <w:rFonts w:ascii="Palatino Linotype" w:hAnsi="Palatino Linotype"/>
        </w:rPr>
        <w:t>Data for coal is reported in short tons.  Natural gas is reported in MMbtu</w:t>
      </w:r>
      <w:r w:rsidR="00707AFA">
        <w:rPr>
          <w:rFonts w:ascii="Palatino Linotype" w:hAnsi="Palatino Linotype"/>
        </w:rPr>
        <w:t xml:space="preserve"> in the spreadsheet calculator.  The data for cogeneration steam production is recorded by the SJU power plant </w:t>
      </w:r>
      <w:r w:rsidRPr="00861A34">
        <w:rPr>
          <w:rFonts w:ascii="Palatino Linotype" w:hAnsi="Palatino Linotype"/>
        </w:rPr>
        <w:t>in pounds of steam</w:t>
      </w:r>
      <w:r w:rsidR="00707AFA">
        <w:rPr>
          <w:rFonts w:ascii="Palatino Linotype" w:hAnsi="Palatino Linotype"/>
        </w:rPr>
        <w:t xml:space="preserve">.  This figure must be </w:t>
      </w:r>
      <w:r w:rsidRPr="00861A34">
        <w:rPr>
          <w:rFonts w:ascii="Palatino Linotype" w:hAnsi="Palatino Linotype"/>
        </w:rPr>
        <w:t xml:space="preserve">converted </w:t>
      </w:r>
      <w:r w:rsidR="00707AFA">
        <w:rPr>
          <w:rFonts w:ascii="Palatino Linotype" w:hAnsi="Palatino Linotype"/>
        </w:rPr>
        <w:t>in</w:t>
      </w:r>
      <w:r w:rsidRPr="00861A34">
        <w:rPr>
          <w:rFonts w:ascii="Palatino Linotype" w:hAnsi="Palatino Linotype"/>
        </w:rPr>
        <w:t>to MM</w:t>
      </w:r>
      <w:r>
        <w:rPr>
          <w:rFonts w:ascii="Palatino Linotype" w:hAnsi="Palatino Linotype"/>
        </w:rPr>
        <w:t>btu</w:t>
      </w:r>
      <w:r w:rsidR="00707AFA">
        <w:rPr>
          <w:rFonts w:ascii="Palatino Linotype" w:hAnsi="Palatino Linotype"/>
        </w:rPr>
        <w:t xml:space="preserve"> in order to be entered into the CA-CP calculator</w:t>
      </w:r>
      <w:r>
        <w:rPr>
          <w:rFonts w:ascii="Palatino Linotype" w:hAnsi="Palatino Linotype"/>
        </w:rPr>
        <w:t>.  A</w:t>
      </w:r>
      <w:r w:rsidRPr="00861A34">
        <w:rPr>
          <w:rFonts w:ascii="Palatino Linotype" w:hAnsi="Palatino Linotype"/>
        </w:rPr>
        <w:t xml:space="preserve">ccording to the </w:t>
      </w:r>
      <w:r>
        <w:rPr>
          <w:rFonts w:ascii="Palatino Linotype" w:hAnsi="Palatino Linotype"/>
        </w:rPr>
        <w:t>Energy Star website</w:t>
      </w:r>
      <w:r w:rsidRPr="00861A34">
        <w:rPr>
          <w:rFonts w:ascii="Palatino Linotype" w:hAnsi="Palatino Linotype"/>
        </w:rPr>
        <w:t>,</w:t>
      </w:r>
      <w:r>
        <w:rPr>
          <w:rFonts w:ascii="Palatino Linotype" w:hAnsi="Palatino Linotype"/>
        </w:rPr>
        <w:t xml:space="preserve"> one pound of steam equals 1,194 Btu</w:t>
      </w:r>
      <w:r w:rsidRPr="00861A34">
        <w:rPr>
          <w:rFonts w:ascii="Palatino Linotype" w:hAnsi="Palatino Linotype"/>
        </w:rPr>
        <w:t>.  To convert from</w:t>
      </w:r>
      <w:r>
        <w:rPr>
          <w:rFonts w:ascii="Palatino Linotype" w:hAnsi="Palatino Linotype"/>
        </w:rPr>
        <w:t xml:space="preserve"> Bt</w:t>
      </w:r>
      <w:r w:rsidRPr="00861A34">
        <w:rPr>
          <w:rFonts w:ascii="Palatino Linotype" w:hAnsi="Palatino Linotype"/>
        </w:rPr>
        <w:t>u to MM</w:t>
      </w:r>
      <w:r>
        <w:rPr>
          <w:rFonts w:ascii="Palatino Linotype" w:hAnsi="Palatino Linotype"/>
        </w:rPr>
        <w:t>B</w:t>
      </w:r>
      <w:r w:rsidRPr="00861A34">
        <w:rPr>
          <w:rFonts w:ascii="Palatino Linotype" w:hAnsi="Palatino Linotype"/>
        </w:rPr>
        <w:t>tu, the number is divided by 1</w:t>
      </w:r>
      <w:r>
        <w:rPr>
          <w:rFonts w:ascii="Palatino Linotype" w:hAnsi="Palatino Linotype"/>
        </w:rPr>
        <w:t>,</w:t>
      </w:r>
      <w:r w:rsidRPr="00861A34">
        <w:rPr>
          <w:rFonts w:ascii="Palatino Linotype" w:hAnsi="Palatino Linotype"/>
        </w:rPr>
        <w:t>000</w:t>
      </w:r>
      <w:r>
        <w:rPr>
          <w:rFonts w:ascii="Palatino Linotype" w:hAnsi="Palatino Linotype"/>
        </w:rPr>
        <w:t xml:space="preserve">,000.  </w:t>
      </w:r>
    </w:p>
    <w:p w:rsidR="000D6DC2" w:rsidRDefault="000D6DC2" w:rsidP="000D6DC2">
      <w:pPr>
        <w:pStyle w:val="BodyText2"/>
        <w:ind w:left="0"/>
        <w:rPr>
          <w:rFonts w:ascii="Palatino Linotype" w:hAnsi="Palatino Linotype"/>
        </w:rPr>
      </w:pPr>
      <w:r>
        <w:rPr>
          <w:rFonts w:ascii="Palatino Linotype" w:hAnsi="Palatino Linotype"/>
        </w:rPr>
        <w:t>The default e</w:t>
      </w:r>
      <w:r w:rsidR="004E430C" w:rsidRPr="00861A34">
        <w:rPr>
          <w:rFonts w:ascii="Palatino Linotype" w:hAnsi="Palatino Linotype"/>
        </w:rPr>
        <w:t>mission factors for carbon dioxide (CO</w:t>
      </w:r>
      <w:r w:rsidR="004E430C" w:rsidRPr="00861A34">
        <w:rPr>
          <w:rFonts w:ascii="Palatino Linotype" w:hAnsi="Palatino Linotype"/>
          <w:vertAlign w:val="subscript"/>
        </w:rPr>
        <w:t>2</w:t>
      </w:r>
      <w:r w:rsidR="004E430C" w:rsidRPr="00861A34">
        <w:rPr>
          <w:rFonts w:ascii="Palatino Linotype" w:hAnsi="Palatino Linotype"/>
        </w:rPr>
        <w:t>), methane (CH</w:t>
      </w:r>
      <w:r w:rsidR="004E430C" w:rsidRPr="00861A34">
        <w:rPr>
          <w:rFonts w:ascii="Palatino Linotype" w:hAnsi="Palatino Linotype"/>
          <w:vertAlign w:val="subscript"/>
        </w:rPr>
        <w:t>4</w:t>
      </w:r>
      <w:r w:rsidR="004E430C" w:rsidRPr="00861A34">
        <w:rPr>
          <w:rFonts w:ascii="Palatino Linotype" w:hAnsi="Palatino Linotype"/>
        </w:rPr>
        <w:t>) and nitrous oxide (N</w:t>
      </w:r>
      <w:r w:rsidR="004E430C" w:rsidRPr="00861A34">
        <w:rPr>
          <w:rFonts w:ascii="Palatino Linotype" w:hAnsi="Palatino Linotype"/>
          <w:vertAlign w:val="subscript"/>
        </w:rPr>
        <w:t>2</w:t>
      </w:r>
      <w:r>
        <w:rPr>
          <w:rFonts w:ascii="Palatino Linotype" w:hAnsi="Palatino Linotype"/>
        </w:rPr>
        <w:t>O) from the WRI GHG Protocol</w:t>
      </w:r>
      <w:r w:rsidR="004E430C" w:rsidRPr="00861A34">
        <w:rPr>
          <w:rFonts w:ascii="Palatino Linotype" w:hAnsi="Palatino Linotype"/>
        </w:rPr>
        <w:t xml:space="preserve"> Stationary Combustion spreadsheet are used to calculate GHG emissions from natural gas consumption. </w:t>
      </w:r>
      <w:r w:rsidRPr="000D6DC2">
        <w:rPr>
          <w:rFonts w:ascii="Palatino Linotype" w:hAnsi="Palatino Linotype"/>
        </w:rPr>
        <w:t>CH4</w:t>
      </w:r>
      <w:r>
        <w:rPr>
          <w:rFonts w:ascii="Palatino Linotype" w:hAnsi="Palatino Linotype"/>
        </w:rPr>
        <w:t xml:space="preserve"> </w:t>
      </w:r>
      <w:r w:rsidR="004E430C" w:rsidRPr="000D6DC2">
        <w:rPr>
          <w:rFonts w:ascii="Palatino Linotype" w:hAnsi="Palatino Linotype"/>
        </w:rPr>
        <w:t>and</w:t>
      </w:r>
      <w:r w:rsidR="004E430C" w:rsidRPr="00861A34">
        <w:rPr>
          <w:rFonts w:ascii="Palatino Linotype" w:hAnsi="Palatino Linotype"/>
        </w:rPr>
        <w:t xml:space="preserve"> N</w:t>
      </w:r>
      <w:r w:rsidR="004E430C" w:rsidRPr="00861A34">
        <w:rPr>
          <w:rFonts w:ascii="Palatino Linotype" w:hAnsi="Palatino Linotype"/>
          <w:vertAlign w:val="subscript"/>
        </w:rPr>
        <w:t>2</w:t>
      </w:r>
      <w:r w:rsidR="004E430C" w:rsidRPr="00861A34">
        <w:rPr>
          <w:rFonts w:ascii="Palatino Linotype" w:hAnsi="Palatino Linotype"/>
        </w:rPr>
        <w:t>O emissions are converted to carbon</w:t>
      </w:r>
      <w:r>
        <w:rPr>
          <w:rFonts w:ascii="Palatino Linotype" w:hAnsi="Palatino Linotype"/>
        </w:rPr>
        <w:t xml:space="preserve"> dioxide-equivalents using the global warming potentials provided by</w:t>
      </w:r>
      <w:r w:rsidR="004E430C" w:rsidRPr="00861A34">
        <w:rPr>
          <w:rFonts w:ascii="Palatino Linotype" w:hAnsi="Palatino Linotype"/>
        </w:rPr>
        <w:t xml:space="preserve"> the Intergovernmental Panel on Climate Change’s Third Assessment Report</w:t>
      </w:r>
      <w:r>
        <w:rPr>
          <w:rFonts w:ascii="Palatino Linotype" w:hAnsi="Palatino Linotype"/>
        </w:rPr>
        <w:t xml:space="preserve"> (See Table 3 for more information)</w:t>
      </w:r>
      <w:r w:rsidR="004E430C" w:rsidRPr="00861A34">
        <w:rPr>
          <w:rFonts w:ascii="Palatino Linotype" w:hAnsi="Palatino Linotype"/>
        </w:rPr>
        <w:t xml:space="preserve">.  </w:t>
      </w:r>
    </w:p>
    <w:p w:rsidR="004E430C" w:rsidRPr="00861A34" w:rsidRDefault="000D6DC2" w:rsidP="004E430C">
      <w:pPr>
        <w:pStyle w:val="BodyText2"/>
        <w:ind w:left="0"/>
        <w:rPr>
          <w:rFonts w:ascii="Palatino Linotype" w:hAnsi="Palatino Linotype"/>
        </w:rPr>
      </w:pPr>
      <w:r>
        <w:rPr>
          <w:rFonts w:ascii="Palatino Linotype" w:hAnsi="Palatino Linotype"/>
        </w:rPr>
        <w:t>The electricity and steam generated on campus, as well as the electricity purchased from Xcel Energy, is used by more entities than solely the university. For this reason, all of the data from the power plant has been multiplied by 68.85</w:t>
      </w:r>
      <w:r w:rsidR="00BE50AB">
        <w:rPr>
          <w:rFonts w:ascii="Palatino Linotype" w:hAnsi="Palatino Linotype"/>
        </w:rPr>
        <w:t xml:space="preserve"> percent</w:t>
      </w:r>
      <w:r>
        <w:rPr>
          <w:rFonts w:ascii="Palatino Linotype" w:hAnsi="Palatino Linotype"/>
        </w:rPr>
        <w:t xml:space="preserve"> in order to show the portion which is attributable to university functions.</w:t>
      </w:r>
    </w:p>
    <w:p w:rsidR="00246B0E" w:rsidRPr="00861A34" w:rsidRDefault="004E430C" w:rsidP="00351EE6">
      <w:pPr>
        <w:pStyle w:val="BodyText2"/>
        <w:rPr>
          <w:rFonts w:ascii="Palatino Linotype" w:hAnsi="Palatino Linotype"/>
          <w:b/>
        </w:rPr>
      </w:pPr>
      <w:r w:rsidRPr="00861A34">
        <w:rPr>
          <w:rFonts w:ascii="Palatino Linotype" w:hAnsi="Palatino Linotype"/>
          <w:b/>
        </w:rPr>
        <w:lastRenderedPageBreak/>
        <w:t xml:space="preserve">Table 6: </w:t>
      </w:r>
      <w:r w:rsidR="00DD1EA4">
        <w:rPr>
          <w:rFonts w:ascii="Palatino Linotype" w:hAnsi="Palatino Linotype"/>
          <w:b/>
        </w:rPr>
        <w:t>Fuel Sources, Steam</w:t>
      </w:r>
      <w:r w:rsidR="00DE25E8">
        <w:rPr>
          <w:rFonts w:ascii="Palatino Linotype" w:hAnsi="Palatino Linotype"/>
          <w:b/>
        </w:rPr>
        <w:t xml:space="preserve"> </w:t>
      </w:r>
      <w:r w:rsidR="00DD1EA4">
        <w:rPr>
          <w:rFonts w:ascii="Palatino Linotype" w:hAnsi="Palatino Linotype"/>
          <w:b/>
        </w:rPr>
        <w:t xml:space="preserve">Production, and </w:t>
      </w:r>
      <w:r w:rsidR="00DE25E8">
        <w:rPr>
          <w:rFonts w:ascii="Palatino Linotype" w:hAnsi="Palatino Linotype"/>
          <w:b/>
        </w:rPr>
        <w:t>G</w:t>
      </w:r>
      <w:r w:rsidR="00A01B3A" w:rsidRPr="00861A34">
        <w:rPr>
          <w:rFonts w:ascii="Palatino Linotype" w:hAnsi="Palatino Linotype"/>
          <w:b/>
        </w:rPr>
        <w:t xml:space="preserve">enerated and </w:t>
      </w:r>
      <w:r w:rsidR="00DE25E8">
        <w:rPr>
          <w:rFonts w:ascii="Palatino Linotype" w:hAnsi="Palatino Linotype"/>
          <w:b/>
        </w:rPr>
        <w:t>P</w:t>
      </w:r>
      <w:r w:rsidRPr="00861A34">
        <w:rPr>
          <w:rFonts w:ascii="Palatino Linotype" w:hAnsi="Palatino Linotype"/>
          <w:b/>
        </w:rPr>
        <w:t>urchased</w:t>
      </w:r>
      <w:r w:rsidR="00DD1EA4">
        <w:rPr>
          <w:rFonts w:ascii="Palatino Linotype" w:hAnsi="Palatino Linotype"/>
          <w:b/>
        </w:rPr>
        <w:t xml:space="preserve"> Electricity</w:t>
      </w:r>
      <w:r w:rsidRPr="00861A34">
        <w:rPr>
          <w:rFonts w:ascii="Palatino Linotype" w:hAnsi="Palatino Linotype"/>
          <w:b/>
        </w:rPr>
        <w:t xml:space="preserve"> </w:t>
      </w:r>
    </w:p>
    <w:tbl>
      <w:tblPr>
        <w:tblStyle w:val="MediumGrid31"/>
        <w:tblW w:w="0" w:type="auto"/>
        <w:tblLook w:val="04A0" w:firstRow="1" w:lastRow="0" w:firstColumn="1" w:lastColumn="0" w:noHBand="0" w:noVBand="1"/>
      </w:tblPr>
      <w:tblGrid>
        <w:gridCol w:w="3122"/>
        <w:gridCol w:w="3107"/>
        <w:gridCol w:w="3111"/>
      </w:tblGrid>
      <w:tr w:rsidR="00DE10B5" w:rsidRPr="00861A34" w:rsidTr="00D56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bottom w:val="single" w:sz="4" w:space="0" w:color="auto"/>
            </w:tcBorders>
          </w:tcPr>
          <w:p w:rsidR="00246B0E" w:rsidRPr="00861A34" w:rsidRDefault="00246B0E" w:rsidP="00F46977">
            <w:pPr>
              <w:pStyle w:val="BodyText2"/>
              <w:ind w:left="0"/>
              <w:rPr>
                <w:rFonts w:ascii="Palatino Linotype" w:hAnsi="Palatino Linotype" w:cstheme="minorHAnsi"/>
                <w:sz w:val="20"/>
                <w:szCs w:val="20"/>
              </w:rPr>
            </w:pPr>
          </w:p>
        </w:tc>
        <w:tc>
          <w:tcPr>
            <w:tcW w:w="3192" w:type="dxa"/>
            <w:tcBorders>
              <w:bottom w:val="single" w:sz="4" w:space="0" w:color="auto"/>
            </w:tcBorders>
          </w:tcPr>
          <w:p w:rsidR="00246B0E" w:rsidRPr="00861A34" w:rsidRDefault="00246B0E" w:rsidP="004E430C">
            <w:pPr>
              <w:pStyle w:val="BodyText2"/>
              <w:ind w:left="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sz w:val="20"/>
                <w:szCs w:val="20"/>
              </w:rPr>
            </w:pPr>
            <w:r w:rsidRPr="00861A34">
              <w:rPr>
                <w:rFonts w:ascii="Palatino Linotype" w:hAnsi="Palatino Linotype" w:cstheme="minorHAnsi"/>
                <w:sz w:val="20"/>
                <w:szCs w:val="20"/>
                <w:bdr w:val="single" w:sz="4" w:space="0" w:color="auto"/>
              </w:rPr>
              <w:t>2</w:t>
            </w:r>
            <w:r w:rsidR="00DE25E8">
              <w:rPr>
                <w:rFonts w:ascii="Palatino Linotype" w:hAnsi="Palatino Linotype" w:cstheme="minorHAnsi"/>
                <w:sz w:val="20"/>
                <w:szCs w:val="20"/>
              </w:rPr>
              <w:t>014</w:t>
            </w:r>
          </w:p>
        </w:tc>
        <w:tc>
          <w:tcPr>
            <w:tcW w:w="3192" w:type="dxa"/>
            <w:tcBorders>
              <w:bottom w:val="single" w:sz="4" w:space="0" w:color="auto"/>
            </w:tcBorders>
          </w:tcPr>
          <w:p w:rsidR="00246B0E" w:rsidRPr="00861A34" w:rsidRDefault="00DB31ED" w:rsidP="004E430C">
            <w:pPr>
              <w:pStyle w:val="BodyText2"/>
              <w:ind w:left="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sz w:val="20"/>
                <w:szCs w:val="20"/>
              </w:rPr>
            </w:pPr>
            <w:r w:rsidRPr="00861A34">
              <w:rPr>
                <w:rFonts w:ascii="Palatino Linotype" w:hAnsi="Palatino Linotype" w:cstheme="minorHAnsi"/>
                <w:sz w:val="20"/>
                <w:szCs w:val="20"/>
              </w:rPr>
              <w:t>2011</w:t>
            </w:r>
          </w:p>
        </w:tc>
      </w:tr>
      <w:tr w:rsidR="00DB31ED" w:rsidRPr="00861A34" w:rsidTr="00D56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DB31ED" w:rsidRPr="00861A34" w:rsidRDefault="00EB1FE3" w:rsidP="00F46977">
            <w:pPr>
              <w:pStyle w:val="BodyText2"/>
              <w:ind w:left="0"/>
              <w:rPr>
                <w:rFonts w:ascii="Palatino Linotype" w:hAnsi="Palatino Linotype" w:cstheme="minorHAnsi"/>
                <w:color w:val="auto"/>
                <w:sz w:val="20"/>
                <w:szCs w:val="20"/>
              </w:rPr>
            </w:pPr>
            <w:r>
              <w:rPr>
                <w:rFonts w:ascii="Palatino Linotype" w:hAnsi="Palatino Linotype" w:cstheme="minorHAnsi"/>
                <w:color w:val="auto"/>
                <w:sz w:val="20"/>
                <w:szCs w:val="20"/>
              </w:rPr>
              <w:t>Coal (Short T</w:t>
            </w:r>
            <w:r w:rsidR="00DB31ED" w:rsidRPr="00861A34">
              <w:rPr>
                <w:rFonts w:ascii="Palatino Linotype" w:hAnsi="Palatino Linotype" w:cstheme="minorHAnsi"/>
                <w:color w:val="auto"/>
                <w:sz w:val="20"/>
                <w:szCs w:val="20"/>
              </w:rPr>
              <w:t>ons)</w:t>
            </w:r>
          </w:p>
        </w:tc>
        <w:tc>
          <w:tcPr>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DB31ED" w:rsidRPr="00861A34" w:rsidRDefault="00DE25E8" w:rsidP="00861A34">
            <w:pPr>
              <w:pStyle w:val="BodyText2"/>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sz w:val="20"/>
                <w:szCs w:val="20"/>
              </w:rPr>
            </w:pPr>
            <w:r>
              <w:rPr>
                <w:rFonts w:ascii="Palatino Linotype" w:hAnsi="Palatino Linotype" w:cstheme="minorHAnsi"/>
                <w:sz w:val="20"/>
                <w:szCs w:val="20"/>
              </w:rPr>
              <w:t>0</w:t>
            </w:r>
          </w:p>
        </w:tc>
        <w:tc>
          <w:tcPr>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DB31ED" w:rsidRPr="00861A34" w:rsidRDefault="002A478B" w:rsidP="00E13E7D">
            <w:pPr>
              <w:pStyle w:val="BodyText2"/>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sz w:val="20"/>
                <w:szCs w:val="20"/>
              </w:rPr>
            </w:pPr>
            <w:r w:rsidRPr="00861A34">
              <w:rPr>
                <w:rFonts w:ascii="Palatino Linotype" w:hAnsi="Palatino Linotype" w:cstheme="minorHAnsi"/>
                <w:sz w:val="20"/>
                <w:szCs w:val="20"/>
              </w:rPr>
              <w:t>4,374</w:t>
            </w:r>
          </w:p>
        </w:tc>
      </w:tr>
      <w:tr w:rsidR="00DB31ED" w:rsidRPr="00861A34" w:rsidTr="00D560F2">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DB31ED" w:rsidRPr="00861A34" w:rsidRDefault="00DB31ED" w:rsidP="00EB1FE3">
            <w:pPr>
              <w:pStyle w:val="BodyText2"/>
              <w:ind w:left="0"/>
              <w:rPr>
                <w:rFonts w:ascii="Palatino Linotype" w:hAnsi="Palatino Linotype" w:cstheme="minorHAnsi"/>
                <w:sz w:val="20"/>
                <w:szCs w:val="20"/>
              </w:rPr>
            </w:pPr>
            <w:r w:rsidRPr="00861A34">
              <w:rPr>
                <w:rFonts w:ascii="Palatino Linotype" w:hAnsi="Palatino Linotype" w:cstheme="minorHAnsi"/>
                <w:color w:val="auto"/>
                <w:sz w:val="20"/>
                <w:szCs w:val="20"/>
              </w:rPr>
              <w:t>Natural Gas (MM</w:t>
            </w:r>
            <w:r w:rsidR="00EB1FE3">
              <w:rPr>
                <w:rFonts w:ascii="Palatino Linotype" w:hAnsi="Palatino Linotype" w:cstheme="minorHAnsi"/>
                <w:color w:val="auto"/>
                <w:sz w:val="20"/>
                <w:szCs w:val="20"/>
              </w:rPr>
              <w:t>B</w:t>
            </w:r>
            <w:r w:rsidRPr="00861A34">
              <w:rPr>
                <w:rFonts w:ascii="Palatino Linotype" w:hAnsi="Palatino Linotype" w:cstheme="minorHAnsi"/>
                <w:color w:val="auto"/>
                <w:sz w:val="20"/>
                <w:szCs w:val="20"/>
              </w:rPr>
              <w:t>tu)</w:t>
            </w:r>
          </w:p>
        </w:tc>
        <w:tc>
          <w:tcPr>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DD1EA4" w:rsidRPr="00861A34" w:rsidRDefault="00DD1EA4" w:rsidP="00DD1EA4">
            <w:pPr>
              <w:pStyle w:val="BodyText2"/>
              <w:ind w:left="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sz w:val="20"/>
                <w:szCs w:val="20"/>
              </w:rPr>
            </w:pPr>
            <w:r>
              <w:rPr>
                <w:rFonts w:ascii="Palatino Linotype" w:hAnsi="Palatino Linotype" w:cstheme="minorHAnsi"/>
                <w:sz w:val="20"/>
                <w:szCs w:val="20"/>
              </w:rPr>
              <w:t>169,784</w:t>
            </w:r>
          </w:p>
        </w:tc>
        <w:tc>
          <w:tcPr>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DB31ED" w:rsidRPr="00861A34" w:rsidRDefault="002A478B" w:rsidP="00E13E7D">
            <w:pPr>
              <w:pStyle w:val="BodyText2"/>
              <w:ind w:left="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sz w:val="20"/>
                <w:szCs w:val="20"/>
              </w:rPr>
            </w:pPr>
            <w:r w:rsidRPr="00861A34">
              <w:rPr>
                <w:rFonts w:ascii="Palatino Linotype" w:hAnsi="Palatino Linotype" w:cstheme="minorHAnsi"/>
                <w:sz w:val="20"/>
                <w:szCs w:val="20"/>
              </w:rPr>
              <w:t>74,956</w:t>
            </w:r>
          </w:p>
        </w:tc>
      </w:tr>
      <w:tr w:rsidR="009E6434" w:rsidRPr="00861A34" w:rsidTr="00D56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9E6434" w:rsidRPr="00861A34" w:rsidRDefault="00EB1FE3" w:rsidP="00F46977">
            <w:pPr>
              <w:pStyle w:val="BodyText2"/>
              <w:ind w:left="0"/>
              <w:rPr>
                <w:rFonts w:ascii="Palatino Linotype" w:hAnsi="Palatino Linotype" w:cstheme="minorHAnsi"/>
                <w:sz w:val="20"/>
                <w:szCs w:val="20"/>
              </w:rPr>
            </w:pPr>
            <w:r>
              <w:rPr>
                <w:rFonts w:ascii="Palatino Linotype" w:hAnsi="Palatino Linotype" w:cstheme="minorHAnsi"/>
                <w:color w:val="auto"/>
                <w:sz w:val="20"/>
                <w:szCs w:val="20"/>
              </w:rPr>
              <w:t>Other Natural Gas (MMB</w:t>
            </w:r>
            <w:r w:rsidR="009E6434" w:rsidRPr="00861A34">
              <w:rPr>
                <w:rFonts w:ascii="Palatino Linotype" w:hAnsi="Palatino Linotype" w:cstheme="minorHAnsi"/>
                <w:color w:val="auto"/>
                <w:sz w:val="20"/>
                <w:szCs w:val="20"/>
              </w:rPr>
              <w:t>tu)</w:t>
            </w:r>
            <w:r w:rsidR="009E6434" w:rsidRPr="00861A34">
              <w:rPr>
                <w:rFonts w:ascii="Palatino Linotype" w:hAnsi="Palatino Linotype" w:cstheme="minorHAnsi"/>
                <w:sz w:val="20"/>
                <w:szCs w:val="20"/>
              </w:rPr>
              <w:t xml:space="preserve">her </w:t>
            </w:r>
          </w:p>
        </w:tc>
        <w:tc>
          <w:tcPr>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9E6434" w:rsidRPr="00861A34" w:rsidRDefault="00EB1FE3" w:rsidP="00861A34">
            <w:pPr>
              <w:pStyle w:val="BodyText2"/>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sz w:val="20"/>
                <w:szCs w:val="20"/>
              </w:rPr>
            </w:pPr>
            <w:r>
              <w:rPr>
                <w:rFonts w:ascii="Palatino Linotype" w:hAnsi="Palatino Linotype" w:cstheme="minorHAnsi"/>
                <w:sz w:val="20"/>
                <w:szCs w:val="20"/>
              </w:rPr>
              <w:t>0</w:t>
            </w:r>
          </w:p>
        </w:tc>
        <w:tc>
          <w:tcPr>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9E6434" w:rsidRPr="00861A34" w:rsidRDefault="009E6434" w:rsidP="00E13E7D">
            <w:pPr>
              <w:pStyle w:val="BodyText2"/>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sz w:val="20"/>
                <w:szCs w:val="20"/>
              </w:rPr>
            </w:pPr>
            <w:r w:rsidRPr="00861A34">
              <w:rPr>
                <w:rFonts w:ascii="Palatino Linotype" w:hAnsi="Palatino Linotype" w:cstheme="minorHAnsi"/>
                <w:sz w:val="20"/>
                <w:szCs w:val="20"/>
              </w:rPr>
              <w:t>7,385</w:t>
            </w:r>
          </w:p>
        </w:tc>
      </w:tr>
      <w:tr w:rsidR="00DB31ED" w:rsidRPr="00861A34" w:rsidTr="00D560F2">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DB31ED" w:rsidRPr="00861A34" w:rsidRDefault="00EB1FE3" w:rsidP="00F46977">
            <w:pPr>
              <w:pStyle w:val="BodyText2"/>
              <w:ind w:left="0"/>
              <w:rPr>
                <w:rFonts w:ascii="Palatino Linotype" w:hAnsi="Palatino Linotype" w:cstheme="minorHAnsi"/>
                <w:color w:val="000000" w:themeColor="text1"/>
                <w:sz w:val="20"/>
                <w:szCs w:val="20"/>
              </w:rPr>
            </w:pPr>
            <w:r>
              <w:rPr>
                <w:rFonts w:ascii="Palatino Linotype" w:hAnsi="Palatino Linotype" w:cstheme="minorHAnsi"/>
                <w:color w:val="000000" w:themeColor="text1"/>
                <w:sz w:val="20"/>
                <w:szCs w:val="20"/>
              </w:rPr>
              <w:t>#2 Fuel Oil (G</w:t>
            </w:r>
            <w:r w:rsidR="00DB31ED" w:rsidRPr="00861A34">
              <w:rPr>
                <w:rFonts w:ascii="Palatino Linotype" w:hAnsi="Palatino Linotype" w:cstheme="minorHAnsi"/>
                <w:color w:val="000000" w:themeColor="text1"/>
                <w:sz w:val="20"/>
                <w:szCs w:val="20"/>
              </w:rPr>
              <w:t>allons)</w:t>
            </w:r>
          </w:p>
        </w:tc>
        <w:tc>
          <w:tcPr>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DB31ED" w:rsidRPr="00861A34" w:rsidRDefault="00DD1EA4" w:rsidP="00861A34">
            <w:pPr>
              <w:pStyle w:val="BodyText2"/>
              <w:ind w:left="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sz w:val="20"/>
                <w:szCs w:val="20"/>
              </w:rPr>
            </w:pPr>
            <w:r>
              <w:rPr>
                <w:rFonts w:ascii="Palatino Linotype" w:hAnsi="Palatino Linotype" w:cstheme="minorHAnsi"/>
                <w:sz w:val="20"/>
                <w:szCs w:val="20"/>
              </w:rPr>
              <w:t>35,063</w:t>
            </w:r>
          </w:p>
        </w:tc>
        <w:tc>
          <w:tcPr>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DB31ED" w:rsidRPr="00861A34" w:rsidRDefault="002A478B" w:rsidP="00E13E7D">
            <w:pPr>
              <w:pStyle w:val="BodyText2"/>
              <w:ind w:left="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sz w:val="20"/>
                <w:szCs w:val="20"/>
              </w:rPr>
            </w:pPr>
            <w:r w:rsidRPr="00861A34">
              <w:rPr>
                <w:rFonts w:ascii="Palatino Linotype" w:hAnsi="Palatino Linotype" w:cstheme="minorHAnsi"/>
                <w:sz w:val="20"/>
                <w:szCs w:val="20"/>
              </w:rPr>
              <w:t>71</w:t>
            </w:r>
          </w:p>
        </w:tc>
      </w:tr>
      <w:tr w:rsidR="00EB1FE3" w:rsidRPr="00861A34" w:rsidTr="00D56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EB1FE3" w:rsidRPr="00861A34" w:rsidRDefault="00EB1FE3" w:rsidP="00F46977">
            <w:pPr>
              <w:pStyle w:val="BodyText2"/>
              <w:ind w:left="0"/>
              <w:rPr>
                <w:rFonts w:ascii="Palatino Linotype" w:hAnsi="Palatino Linotype" w:cstheme="minorHAnsi"/>
                <w:color w:val="000000" w:themeColor="text1"/>
                <w:sz w:val="20"/>
                <w:szCs w:val="20"/>
              </w:rPr>
            </w:pPr>
            <w:r>
              <w:rPr>
                <w:rFonts w:ascii="Palatino Linotype" w:hAnsi="Palatino Linotype" w:cstheme="minorHAnsi"/>
                <w:color w:val="000000" w:themeColor="text1"/>
                <w:sz w:val="20"/>
                <w:szCs w:val="20"/>
              </w:rPr>
              <w:t>Generated Steam (MMBtu)</w:t>
            </w:r>
          </w:p>
        </w:tc>
        <w:tc>
          <w:tcPr>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EB1FE3" w:rsidRPr="00861A34" w:rsidRDefault="00EB1FE3" w:rsidP="00861A34">
            <w:pPr>
              <w:pStyle w:val="BodyText2"/>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color w:val="000000" w:themeColor="text1"/>
                <w:sz w:val="20"/>
                <w:szCs w:val="20"/>
              </w:rPr>
            </w:pPr>
            <w:r>
              <w:rPr>
                <w:rFonts w:ascii="Palatino Linotype" w:hAnsi="Palatino Linotype" w:cstheme="minorHAnsi"/>
                <w:color w:val="000000" w:themeColor="text1"/>
                <w:sz w:val="20"/>
                <w:szCs w:val="20"/>
              </w:rPr>
              <w:t>176,178</w:t>
            </w:r>
          </w:p>
        </w:tc>
        <w:tc>
          <w:tcPr>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EB1FE3" w:rsidRPr="00861A34" w:rsidRDefault="00EB1FE3" w:rsidP="002A478B">
            <w:pPr>
              <w:pStyle w:val="BodyText2"/>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color w:val="000000" w:themeColor="text1"/>
                <w:sz w:val="20"/>
                <w:szCs w:val="20"/>
              </w:rPr>
            </w:pPr>
            <w:r>
              <w:rPr>
                <w:rFonts w:ascii="Palatino Linotype" w:hAnsi="Palatino Linotype" w:cstheme="minorHAnsi"/>
                <w:color w:val="000000" w:themeColor="text1"/>
                <w:sz w:val="20"/>
                <w:szCs w:val="20"/>
              </w:rPr>
              <w:t>152,914</w:t>
            </w:r>
          </w:p>
        </w:tc>
      </w:tr>
      <w:tr w:rsidR="00DB31ED" w:rsidRPr="00861A34" w:rsidTr="00D560F2">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DB31ED" w:rsidRPr="00861A34" w:rsidRDefault="00DB31ED" w:rsidP="00F46977">
            <w:pPr>
              <w:pStyle w:val="BodyText2"/>
              <w:ind w:left="0"/>
              <w:rPr>
                <w:rFonts w:ascii="Palatino Linotype" w:hAnsi="Palatino Linotype" w:cstheme="minorHAnsi"/>
                <w:color w:val="000000" w:themeColor="text1"/>
                <w:sz w:val="20"/>
                <w:szCs w:val="20"/>
              </w:rPr>
            </w:pPr>
            <w:r w:rsidRPr="00861A34">
              <w:rPr>
                <w:rFonts w:ascii="Palatino Linotype" w:hAnsi="Palatino Linotype" w:cstheme="minorHAnsi"/>
                <w:color w:val="000000" w:themeColor="text1"/>
                <w:sz w:val="20"/>
                <w:szCs w:val="20"/>
              </w:rPr>
              <w:t>Generated Electricity</w:t>
            </w:r>
            <w:r w:rsidR="00AA50DF" w:rsidRPr="00861A34">
              <w:rPr>
                <w:rFonts w:ascii="Palatino Linotype" w:hAnsi="Palatino Linotype" w:cstheme="minorHAnsi"/>
                <w:color w:val="000000" w:themeColor="text1"/>
                <w:sz w:val="20"/>
                <w:szCs w:val="20"/>
              </w:rPr>
              <w:t xml:space="preserve"> (kWh)</w:t>
            </w:r>
          </w:p>
        </w:tc>
        <w:tc>
          <w:tcPr>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DB31ED" w:rsidRPr="00861A34" w:rsidRDefault="00DD1EA4" w:rsidP="00861A34">
            <w:pPr>
              <w:pStyle w:val="BodyText2"/>
              <w:ind w:left="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color w:val="000000" w:themeColor="text1"/>
                <w:sz w:val="20"/>
                <w:szCs w:val="20"/>
              </w:rPr>
            </w:pPr>
            <w:r>
              <w:rPr>
                <w:rFonts w:ascii="Palatino Linotype" w:hAnsi="Palatino Linotype" w:cstheme="minorHAnsi"/>
                <w:color w:val="000000" w:themeColor="text1"/>
                <w:sz w:val="20"/>
                <w:szCs w:val="20"/>
              </w:rPr>
              <w:t>2,512,906</w:t>
            </w:r>
          </w:p>
        </w:tc>
        <w:tc>
          <w:tcPr>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DB31ED" w:rsidRPr="00861A34" w:rsidRDefault="002A478B" w:rsidP="002A478B">
            <w:pPr>
              <w:pStyle w:val="BodyText2"/>
              <w:ind w:left="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color w:val="000000" w:themeColor="text1"/>
                <w:sz w:val="20"/>
                <w:szCs w:val="20"/>
              </w:rPr>
            </w:pPr>
            <w:r w:rsidRPr="00861A34">
              <w:rPr>
                <w:rFonts w:ascii="Palatino Linotype" w:hAnsi="Palatino Linotype" w:cstheme="minorHAnsi"/>
                <w:color w:val="000000" w:themeColor="text1"/>
                <w:sz w:val="20"/>
                <w:szCs w:val="20"/>
              </w:rPr>
              <w:t>1,944,521</w:t>
            </w:r>
          </w:p>
        </w:tc>
      </w:tr>
      <w:tr w:rsidR="00DB31ED" w:rsidRPr="00861A34" w:rsidTr="00D56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DB31ED" w:rsidRPr="00861A34" w:rsidRDefault="00DB31ED" w:rsidP="00F46977">
            <w:pPr>
              <w:pStyle w:val="BodyText2"/>
              <w:ind w:left="0"/>
              <w:rPr>
                <w:rFonts w:ascii="Palatino Linotype" w:hAnsi="Palatino Linotype" w:cstheme="minorHAnsi"/>
                <w:color w:val="auto"/>
                <w:sz w:val="20"/>
                <w:szCs w:val="20"/>
              </w:rPr>
            </w:pPr>
            <w:r w:rsidRPr="00861A34">
              <w:rPr>
                <w:rFonts w:ascii="Palatino Linotype" w:hAnsi="Palatino Linotype" w:cstheme="minorHAnsi"/>
                <w:color w:val="auto"/>
                <w:sz w:val="20"/>
                <w:szCs w:val="20"/>
              </w:rPr>
              <w:t>Purchased Electricity (kWh)</w:t>
            </w:r>
          </w:p>
        </w:tc>
        <w:tc>
          <w:tcPr>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DB31ED" w:rsidRPr="00861A34" w:rsidRDefault="00DD1EA4" w:rsidP="00861A34">
            <w:pPr>
              <w:pStyle w:val="BodyText2"/>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sz w:val="20"/>
                <w:szCs w:val="20"/>
              </w:rPr>
            </w:pPr>
            <w:r>
              <w:rPr>
                <w:rFonts w:ascii="Palatino Linotype" w:hAnsi="Palatino Linotype" w:cstheme="minorHAnsi"/>
                <w:sz w:val="20"/>
                <w:szCs w:val="20"/>
              </w:rPr>
              <w:t>8,024,013</w:t>
            </w:r>
          </w:p>
        </w:tc>
        <w:tc>
          <w:tcPr>
            <w:tcW w:w="3192" w:type="dxa"/>
            <w:tcBorders>
              <w:top w:val="single" w:sz="4" w:space="0" w:color="auto"/>
              <w:left w:val="single" w:sz="4" w:space="0" w:color="auto"/>
              <w:bottom w:val="single" w:sz="4" w:space="0" w:color="auto"/>
              <w:right w:val="single" w:sz="4" w:space="0" w:color="auto"/>
            </w:tcBorders>
            <w:shd w:val="clear" w:color="auto" w:fill="FFFFFF" w:themeFill="background1"/>
          </w:tcPr>
          <w:p w:rsidR="00DB31ED" w:rsidRPr="00861A34" w:rsidRDefault="002A478B" w:rsidP="002A478B">
            <w:pPr>
              <w:pStyle w:val="BodyText2"/>
              <w:tabs>
                <w:tab w:val="left" w:pos="945"/>
              </w:tabs>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sz w:val="20"/>
                <w:szCs w:val="20"/>
              </w:rPr>
            </w:pPr>
            <w:r w:rsidRPr="00861A34">
              <w:rPr>
                <w:rFonts w:ascii="Palatino Linotype" w:hAnsi="Palatino Linotype" w:cstheme="minorHAnsi"/>
                <w:sz w:val="20"/>
                <w:szCs w:val="20"/>
              </w:rPr>
              <w:t>10,308,453</w:t>
            </w:r>
          </w:p>
        </w:tc>
      </w:tr>
    </w:tbl>
    <w:p w:rsidR="00836464" w:rsidRPr="00861A34" w:rsidRDefault="00836464">
      <w:pPr>
        <w:pStyle w:val="Heading2"/>
        <w:ind w:left="0"/>
        <w:rPr>
          <w:rFonts w:ascii="Palatino Linotype" w:hAnsi="Palatino Linotype"/>
          <w:color w:val="auto"/>
        </w:rPr>
      </w:pPr>
    </w:p>
    <w:p w:rsidR="004E660C" w:rsidRDefault="004E660C" w:rsidP="00223928">
      <w:pPr>
        <w:pStyle w:val="Heading2"/>
        <w:spacing w:after="120"/>
        <w:ind w:left="0"/>
        <w:rPr>
          <w:rFonts w:ascii="Palatino Linotype" w:hAnsi="Palatino Linotype"/>
          <w:smallCaps/>
        </w:rPr>
      </w:pPr>
    </w:p>
    <w:p w:rsidR="004E660C" w:rsidRDefault="004E660C" w:rsidP="00223928">
      <w:pPr>
        <w:pStyle w:val="Heading2"/>
        <w:spacing w:after="120"/>
        <w:ind w:left="0"/>
        <w:rPr>
          <w:rFonts w:ascii="Palatino Linotype" w:hAnsi="Palatino Linotype"/>
          <w:smallCaps/>
        </w:rPr>
      </w:pPr>
    </w:p>
    <w:p w:rsidR="004E660C" w:rsidRDefault="004E660C" w:rsidP="00223928">
      <w:pPr>
        <w:pStyle w:val="Heading2"/>
        <w:spacing w:after="120"/>
        <w:ind w:left="0"/>
        <w:rPr>
          <w:rFonts w:ascii="Palatino Linotype" w:hAnsi="Palatino Linotype"/>
          <w:smallCaps/>
        </w:rPr>
      </w:pPr>
    </w:p>
    <w:p w:rsidR="004E660C" w:rsidRPr="004E660C" w:rsidRDefault="004E660C" w:rsidP="004E660C"/>
    <w:p w:rsidR="00223928" w:rsidRPr="00861A34" w:rsidRDefault="00223928" w:rsidP="00223928">
      <w:pPr>
        <w:pStyle w:val="Heading2"/>
        <w:spacing w:after="120"/>
        <w:ind w:left="0"/>
        <w:rPr>
          <w:rFonts w:ascii="Palatino Linotype" w:hAnsi="Palatino Linotype"/>
          <w:smallCaps/>
        </w:rPr>
      </w:pPr>
      <w:r w:rsidRPr="00861A34">
        <w:rPr>
          <w:rFonts w:ascii="Palatino Linotype" w:hAnsi="Palatino Linotype"/>
          <w:smallCaps/>
        </w:rPr>
        <w:t>Transportation</w:t>
      </w:r>
    </w:p>
    <w:p w:rsidR="002E468C" w:rsidRPr="00861A34" w:rsidRDefault="00E87951" w:rsidP="004E430C">
      <w:pPr>
        <w:spacing w:after="0"/>
        <w:rPr>
          <w:rFonts w:ascii="Palatino Linotype" w:hAnsi="Palatino Linotype"/>
        </w:rPr>
      </w:pPr>
      <w:r w:rsidRPr="00861A34">
        <w:rPr>
          <w:rFonts w:ascii="Palatino Linotype" w:hAnsi="Palatino Linotype"/>
        </w:rPr>
        <w:t>T</w:t>
      </w:r>
      <w:r w:rsidR="004E430C" w:rsidRPr="00861A34">
        <w:rPr>
          <w:rFonts w:ascii="Palatino Linotype" w:hAnsi="Palatino Linotype"/>
        </w:rPr>
        <w:t xml:space="preserve">able 7 details the number of miles </w:t>
      </w:r>
      <w:r w:rsidR="00981511">
        <w:rPr>
          <w:rFonts w:ascii="Palatino Linotype" w:hAnsi="Palatino Linotype"/>
        </w:rPr>
        <w:t xml:space="preserve">flown or driven </w:t>
      </w:r>
      <w:r w:rsidR="004E430C" w:rsidRPr="00861A34">
        <w:rPr>
          <w:rFonts w:ascii="Palatino Linotype" w:hAnsi="Palatino Linotype"/>
        </w:rPr>
        <w:t>and</w:t>
      </w:r>
      <w:r w:rsidR="00981511">
        <w:rPr>
          <w:rFonts w:ascii="Palatino Linotype" w:hAnsi="Palatino Linotype"/>
        </w:rPr>
        <w:t xml:space="preserve"> the number of</w:t>
      </w:r>
      <w:r w:rsidR="004E430C" w:rsidRPr="00861A34">
        <w:rPr>
          <w:rFonts w:ascii="Palatino Linotype" w:hAnsi="Palatino Linotype"/>
        </w:rPr>
        <w:t xml:space="preserve"> gallons</w:t>
      </w:r>
      <w:r w:rsidR="00981511">
        <w:rPr>
          <w:rFonts w:ascii="Palatino Linotype" w:hAnsi="Palatino Linotype"/>
        </w:rPr>
        <w:t xml:space="preserve"> of fuel consumed</w:t>
      </w:r>
      <w:r w:rsidR="004E430C" w:rsidRPr="00861A34">
        <w:rPr>
          <w:rFonts w:ascii="Palatino Linotype" w:hAnsi="Palatino Linotype"/>
        </w:rPr>
        <w:t xml:space="preserve"> by program.  </w:t>
      </w:r>
    </w:p>
    <w:p w:rsidR="004E430C" w:rsidRPr="00861A34" w:rsidRDefault="00DE25E8" w:rsidP="00325C88">
      <w:pPr>
        <w:pStyle w:val="BodyText2"/>
        <w:rPr>
          <w:rFonts w:ascii="Palatino Linotype" w:hAnsi="Palatino Linotype"/>
          <w:b/>
        </w:rPr>
      </w:pPr>
      <w:r>
        <w:rPr>
          <w:rFonts w:ascii="Palatino Linotype" w:hAnsi="Palatino Linotype"/>
          <w:b/>
        </w:rPr>
        <w:t>Table 7: Mileage and Gallons for Transportation</w:t>
      </w:r>
      <w:r w:rsidR="00C7333A">
        <w:rPr>
          <w:rFonts w:ascii="Palatino Linotype" w:hAnsi="Palatino Linotype"/>
          <w:b/>
        </w:rPr>
        <w:t xml:space="preserve"> in</w:t>
      </w:r>
      <w:r w:rsidR="00AA50DF" w:rsidRPr="00861A34">
        <w:rPr>
          <w:rFonts w:ascii="Palatino Linotype" w:hAnsi="Palatino Linotype"/>
          <w:b/>
        </w:rPr>
        <w:t xml:space="preserve"> </w:t>
      </w:r>
      <w:r w:rsidR="00C7333A">
        <w:rPr>
          <w:rFonts w:ascii="Palatino Linotype" w:hAnsi="Palatino Linotype"/>
          <w:b/>
        </w:rPr>
        <w:t>2014 and 2011</w:t>
      </w:r>
    </w:p>
    <w:tbl>
      <w:tblPr>
        <w:tblStyle w:val="TableGrid"/>
        <w:tblW w:w="0" w:type="auto"/>
        <w:tblLook w:val="04A0" w:firstRow="1" w:lastRow="0" w:firstColumn="1" w:lastColumn="0" w:noHBand="0" w:noVBand="1"/>
      </w:tblPr>
      <w:tblGrid>
        <w:gridCol w:w="1970"/>
        <w:gridCol w:w="2136"/>
        <w:gridCol w:w="1744"/>
        <w:gridCol w:w="1889"/>
        <w:gridCol w:w="1611"/>
      </w:tblGrid>
      <w:tr w:rsidR="004E430C" w:rsidRPr="00861A34" w:rsidTr="007A4671">
        <w:trPr>
          <w:trHeight w:val="288"/>
        </w:trPr>
        <w:tc>
          <w:tcPr>
            <w:tcW w:w="2030" w:type="dxa"/>
            <w:shd w:val="clear" w:color="auto" w:fill="000000" w:themeFill="text1"/>
          </w:tcPr>
          <w:p w:rsidR="004E430C" w:rsidRPr="00861A34" w:rsidRDefault="004E430C" w:rsidP="004E430C">
            <w:pPr>
              <w:jc w:val="center"/>
              <w:rPr>
                <w:rFonts w:ascii="Palatino Linotype" w:hAnsi="Palatino Linotype" w:cstheme="minorHAnsi"/>
                <w:b/>
                <w:sz w:val="20"/>
                <w:szCs w:val="20"/>
              </w:rPr>
            </w:pPr>
            <w:r w:rsidRPr="00861A34">
              <w:rPr>
                <w:rFonts w:ascii="Palatino Linotype" w:hAnsi="Palatino Linotype" w:cstheme="minorHAnsi"/>
                <w:sz w:val="20"/>
                <w:szCs w:val="20"/>
              </w:rPr>
              <w:t>Activity</w:t>
            </w:r>
          </w:p>
        </w:tc>
        <w:tc>
          <w:tcPr>
            <w:tcW w:w="3903" w:type="dxa"/>
            <w:gridSpan w:val="2"/>
            <w:shd w:val="clear" w:color="auto" w:fill="000000" w:themeFill="text1"/>
          </w:tcPr>
          <w:p w:rsidR="004E430C" w:rsidRPr="00861A34" w:rsidRDefault="00C7333A" w:rsidP="004E430C">
            <w:pPr>
              <w:jc w:val="center"/>
              <w:rPr>
                <w:rFonts w:ascii="Palatino Linotype" w:hAnsi="Palatino Linotype" w:cstheme="minorHAnsi"/>
                <w:b/>
                <w:sz w:val="20"/>
                <w:szCs w:val="20"/>
              </w:rPr>
            </w:pPr>
            <w:r>
              <w:rPr>
                <w:rFonts w:ascii="Palatino Linotype" w:hAnsi="Palatino Linotype" w:cstheme="minorHAnsi"/>
                <w:sz w:val="20"/>
                <w:szCs w:val="20"/>
              </w:rPr>
              <w:t>2014</w:t>
            </w:r>
          </w:p>
        </w:tc>
        <w:tc>
          <w:tcPr>
            <w:tcW w:w="3643" w:type="dxa"/>
            <w:gridSpan w:val="2"/>
            <w:shd w:val="clear" w:color="auto" w:fill="000000" w:themeFill="text1"/>
          </w:tcPr>
          <w:p w:rsidR="004E430C" w:rsidRPr="00861A34" w:rsidRDefault="00DB31ED" w:rsidP="00B35BCF">
            <w:pPr>
              <w:jc w:val="center"/>
              <w:rPr>
                <w:rFonts w:ascii="Palatino Linotype" w:hAnsi="Palatino Linotype" w:cstheme="minorHAnsi"/>
                <w:b/>
                <w:sz w:val="20"/>
                <w:szCs w:val="20"/>
              </w:rPr>
            </w:pPr>
            <w:r w:rsidRPr="00861A34">
              <w:rPr>
                <w:rFonts w:ascii="Palatino Linotype" w:hAnsi="Palatino Linotype" w:cstheme="minorHAnsi"/>
                <w:sz w:val="20"/>
                <w:szCs w:val="20"/>
              </w:rPr>
              <w:t>2011</w:t>
            </w:r>
          </w:p>
        </w:tc>
      </w:tr>
      <w:tr w:rsidR="00246B0E" w:rsidRPr="00861A34" w:rsidTr="007A4671">
        <w:trPr>
          <w:trHeight w:val="288"/>
        </w:trPr>
        <w:tc>
          <w:tcPr>
            <w:tcW w:w="2030" w:type="dxa"/>
            <w:shd w:val="clear" w:color="auto" w:fill="A6A6A6" w:themeFill="background1" w:themeFillShade="A6"/>
          </w:tcPr>
          <w:p w:rsidR="004E430C" w:rsidRPr="00861A34" w:rsidRDefault="00246B0E" w:rsidP="004E430C">
            <w:pPr>
              <w:jc w:val="center"/>
              <w:rPr>
                <w:rFonts w:ascii="Palatino Linotype" w:hAnsi="Palatino Linotype" w:cstheme="minorHAnsi"/>
                <w:b/>
                <w:bCs/>
                <w:sz w:val="20"/>
                <w:szCs w:val="20"/>
              </w:rPr>
            </w:pPr>
            <w:r w:rsidRPr="00861A34">
              <w:rPr>
                <w:rFonts w:ascii="Palatino Linotype" w:hAnsi="Palatino Linotype" w:cstheme="minorHAnsi"/>
                <w:sz w:val="20"/>
                <w:szCs w:val="20"/>
              </w:rPr>
              <w:t>Air Miles</w:t>
            </w:r>
          </w:p>
        </w:tc>
        <w:tc>
          <w:tcPr>
            <w:tcW w:w="2136" w:type="dxa"/>
            <w:shd w:val="clear" w:color="auto" w:fill="A6A6A6" w:themeFill="background1" w:themeFillShade="A6"/>
          </w:tcPr>
          <w:p w:rsidR="004E430C" w:rsidRPr="00861A34" w:rsidRDefault="004E430C" w:rsidP="004E430C">
            <w:pPr>
              <w:jc w:val="center"/>
              <w:rPr>
                <w:rFonts w:ascii="Palatino Linotype" w:hAnsi="Palatino Linotype" w:cstheme="minorHAnsi"/>
                <w:sz w:val="20"/>
                <w:szCs w:val="20"/>
              </w:rPr>
            </w:pPr>
            <w:r w:rsidRPr="00861A34">
              <w:rPr>
                <w:rFonts w:ascii="Palatino Linotype" w:hAnsi="Palatino Linotype" w:cstheme="minorHAnsi"/>
                <w:sz w:val="20"/>
                <w:szCs w:val="20"/>
              </w:rPr>
              <w:t>Miles</w:t>
            </w:r>
          </w:p>
        </w:tc>
        <w:tc>
          <w:tcPr>
            <w:tcW w:w="1767" w:type="dxa"/>
            <w:shd w:val="clear" w:color="auto" w:fill="A6A6A6" w:themeFill="background1" w:themeFillShade="A6"/>
          </w:tcPr>
          <w:p w:rsidR="004E430C" w:rsidRPr="00861A34" w:rsidRDefault="00B35BCF" w:rsidP="004E430C">
            <w:pPr>
              <w:jc w:val="center"/>
              <w:rPr>
                <w:rFonts w:ascii="Palatino Linotype" w:hAnsi="Palatino Linotype" w:cstheme="minorHAnsi"/>
                <w:sz w:val="20"/>
                <w:szCs w:val="20"/>
              </w:rPr>
            </w:pPr>
            <w:r w:rsidRPr="00861A34">
              <w:rPr>
                <w:rFonts w:ascii="Palatino Linotype" w:hAnsi="Palatino Linotype" w:cstheme="minorHAnsi"/>
                <w:sz w:val="20"/>
                <w:szCs w:val="20"/>
              </w:rPr>
              <w:t>Gallons</w:t>
            </w:r>
          </w:p>
        </w:tc>
        <w:tc>
          <w:tcPr>
            <w:tcW w:w="1968" w:type="dxa"/>
            <w:shd w:val="clear" w:color="auto" w:fill="A6A6A6" w:themeFill="background1" w:themeFillShade="A6"/>
          </w:tcPr>
          <w:p w:rsidR="004E430C" w:rsidRPr="00861A34" w:rsidRDefault="004E430C" w:rsidP="004E430C">
            <w:pPr>
              <w:jc w:val="center"/>
              <w:rPr>
                <w:rFonts w:ascii="Palatino Linotype" w:hAnsi="Palatino Linotype" w:cstheme="minorHAnsi"/>
                <w:sz w:val="20"/>
                <w:szCs w:val="20"/>
              </w:rPr>
            </w:pPr>
            <w:r w:rsidRPr="00861A34">
              <w:rPr>
                <w:rFonts w:ascii="Palatino Linotype" w:hAnsi="Palatino Linotype" w:cstheme="minorHAnsi"/>
                <w:sz w:val="20"/>
                <w:szCs w:val="20"/>
              </w:rPr>
              <w:t>Miles</w:t>
            </w:r>
          </w:p>
        </w:tc>
        <w:tc>
          <w:tcPr>
            <w:tcW w:w="1675" w:type="dxa"/>
            <w:shd w:val="clear" w:color="auto" w:fill="A6A6A6" w:themeFill="background1" w:themeFillShade="A6"/>
          </w:tcPr>
          <w:p w:rsidR="004E430C" w:rsidRPr="00861A34" w:rsidRDefault="00B35BCF" w:rsidP="004E430C">
            <w:pPr>
              <w:jc w:val="center"/>
              <w:rPr>
                <w:rFonts w:ascii="Palatino Linotype" w:hAnsi="Palatino Linotype" w:cstheme="minorHAnsi"/>
                <w:sz w:val="20"/>
                <w:szCs w:val="20"/>
              </w:rPr>
            </w:pPr>
            <w:r w:rsidRPr="00861A34">
              <w:rPr>
                <w:rFonts w:ascii="Palatino Linotype" w:hAnsi="Palatino Linotype" w:cstheme="minorHAnsi"/>
                <w:sz w:val="20"/>
                <w:szCs w:val="20"/>
              </w:rPr>
              <w:t>Gallons</w:t>
            </w:r>
          </w:p>
        </w:tc>
      </w:tr>
      <w:tr w:rsidR="00DB31ED" w:rsidRPr="00861A34" w:rsidTr="007A4671">
        <w:trPr>
          <w:trHeight w:val="288"/>
        </w:trPr>
        <w:tc>
          <w:tcPr>
            <w:tcW w:w="2030" w:type="dxa"/>
          </w:tcPr>
          <w:p w:rsidR="00DB31ED" w:rsidRPr="00861A34" w:rsidRDefault="00DB31ED" w:rsidP="004E430C">
            <w:pPr>
              <w:jc w:val="center"/>
              <w:rPr>
                <w:rFonts w:ascii="Palatino Linotype" w:hAnsi="Palatino Linotype" w:cstheme="minorHAnsi"/>
                <w:b/>
                <w:bCs/>
                <w:sz w:val="20"/>
                <w:szCs w:val="20"/>
              </w:rPr>
            </w:pPr>
            <w:r w:rsidRPr="00861A34">
              <w:rPr>
                <w:rFonts w:ascii="Palatino Linotype" w:hAnsi="Palatino Linotype" w:cstheme="minorHAnsi"/>
                <w:sz w:val="20"/>
                <w:szCs w:val="20"/>
              </w:rPr>
              <w:t>Study</w:t>
            </w:r>
            <w:r w:rsidRPr="00861A34">
              <w:rPr>
                <w:rFonts w:ascii="Palatino Linotype" w:eastAsia="Times New Roman" w:hAnsi="Palatino Linotype" w:cstheme="minorHAnsi"/>
                <w:sz w:val="20"/>
                <w:szCs w:val="20"/>
              </w:rPr>
              <w:t xml:space="preserve"> </w:t>
            </w:r>
            <w:r w:rsidRPr="00861A34">
              <w:rPr>
                <w:rFonts w:ascii="Palatino Linotype" w:hAnsi="Palatino Linotype" w:cstheme="minorHAnsi"/>
                <w:sz w:val="20"/>
                <w:szCs w:val="20"/>
              </w:rPr>
              <w:t>Abroad</w:t>
            </w:r>
            <w:r w:rsidRPr="00861A34">
              <w:rPr>
                <w:rFonts w:ascii="Palatino Linotype" w:eastAsia="Times New Roman" w:hAnsi="Palatino Linotype" w:cstheme="minorHAnsi"/>
                <w:sz w:val="20"/>
                <w:szCs w:val="20"/>
              </w:rPr>
              <w:t xml:space="preserve"> </w:t>
            </w:r>
            <w:r w:rsidRPr="00861A34">
              <w:rPr>
                <w:rFonts w:ascii="Palatino Linotype" w:hAnsi="Palatino Linotype" w:cstheme="minorHAnsi"/>
                <w:sz w:val="20"/>
                <w:szCs w:val="20"/>
              </w:rPr>
              <w:t>Travel</w:t>
            </w:r>
          </w:p>
        </w:tc>
        <w:tc>
          <w:tcPr>
            <w:tcW w:w="2136" w:type="dxa"/>
          </w:tcPr>
          <w:p w:rsidR="00DB31ED" w:rsidRPr="00861A34" w:rsidRDefault="00C7333A" w:rsidP="00861A34">
            <w:pPr>
              <w:jc w:val="center"/>
              <w:rPr>
                <w:rFonts w:ascii="Palatino Linotype" w:hAnsi="Palatino Linotype" w:cstheme="minorHAnsi"/>
                <w:sz w:val="20"/>
                <w:szCs w:val="20"/>
              </w:rPr>
            </w:pPr>
            <w:r>
              <w:rPr>
                <w:rFonts w:ascii="Palatino Linotype" w:hAnsi="Palatino Linotype" w:cstheme="minorHAnsi"/>
                <w:sz w:val="20"/>
                <w:szCs w:val="20"/>
              </w:rPr>
              <w:t>2,951,323</w:t>
            </w:r>
          </w:p>
        </w:tc>
        <w:tc>
          <w:tcPr>
            <w:tcW w:w="1767" w:type="dxa"/>
          </w:tcPr>
          <w:p w:rsidR="00DB31ED" w:rsidRPr="00861A34" w:rsidRDefault="00C7333A" w:rsidP="00861A34">
            <w:pPr>
              <w:jc w:val="center"/>
              <w:rPr>
                <w:rFonts w:ascii="Palatino Linotype" w:hAnsi="Palatino Linotype" w:cstheme="minorHAnsi"/>
                <w:sz w:val="20"/>
                <w:szCs w:val="20"/>
              </w:rPr>
            </w:pPr>
            <w:r>
              <w:rPr>
                <w:rFonts w:ascii="Palatino Linotype" w:hAnsi="Palatino Linotype" w:cstheme="minorHAnsi"/>
                <w:sz w:val="20"/>
                <w:szCs w:val="20"/>
              </w:rPr>
              <w:t>---</w:t>
            </w:r>
          </w:p>
        </w:tc>
        <w:tc>
          <w:tcPr>
            <w:tcW w:w="1968" w:type="dxa"/>
          </w:tcPr>
          <w:p w:rsidR="00DB31ED" w:rsidRPr="00861A34" w:rsidRDefault="007A4671" w:rsidP="004E430C">
            <w:pPr>
              <w:jc w:val="center"/>
              <w:rPr>
                <w:rFonts w:ascii="Palatino Linotype" w:hAnsi="Palatino Linotype" w:cstheme="minorHAnsi"/>
                <w:sz w:val="20"/>
                <w:szCs w:val="20"/>
              </w:rPr>
            </w:pPr>
            <w:r w:rsidRPr="00861A34">
              <w:rPr>
                <w:rFonts w:ascii="Palatino Linotype" w:hAnsi="Palatino Linotype" w:cstheme="minorHAnsi"/>
                <w:sz w:val="20"/>
                <w:szCs w:val="20"/>
              </w:rPr>
              <w:t>1,752,660</w:t>
            </w:r>
          </w:p>
        </w:tc>
        <w:tc>
          <w:tcPr>
            <w:tcW w:w="1675" w:type="dxa"/>
          </w:tcPr>
          <w:p w:rsidR="00DB31ED" w:rsidRPr="00861A34" w:rsidRDefault="00C7333A" w:rsidP="004E430C">
            <w:pPr>
              <w:jc w:val="center"/>
              <w:rPr>
                <w:rFonts w:ascii="Palatino Linotype" w:hAnsi="Palatino Linotype" w:cstheme="minorHAnsi"/>
                <w:sz w:val="20"/>
                <w:szCs w:val="20"/>
              </w:rPr>
            </w:pPr>
            <w:r>
              <w:rPr>
                <w:rFonts w:ascii="Palatino Linotype" w:hAnsi="Palatino Linotype" w:cstheme="minorHAnsi"/>
                <w:sz w:val="20"/>
                <w:szCs w:val="20"/>
              </w:rPr>
              <w:t>---</w:t>
            </w:r>
          </w:p>
        </w:tc>
      </w:tr>
      <w:tr w:rsidR="00DB31ED" w:rsidRPr="00861A34" w:rsidTr="007A4671">
        <w:trPr>
          <w:trHeight w:val="288"/>
        </w:trPr>
        <w:tc>
          <w:tcPr>
            <w:tcW w:w="2030" w:type="dxa"/>
          </w:tcPr>
          <w:p w:rsidR="00DB31ED" w:rsidRPr="00861A34" w:rsidRDefault="00DB31ED" w:rsidP="004E430C">
            <w:pPr>
              <w:jc w:val="center"/>
              <w:rPr>
                <w:rFonts w:ascii="Palatino Linotype" w:hAnsi="Palatino Linotype" w:cstheme="minorHAnsi"/>
                <w:b/>
                <w:bCs/>
                <w:sz w:val="20"/>
                <w:szCs w:val="20"/>
              </w:rPr>
            </w:pPr>
            <w:r w:rsidRPr="00861A34">
              <w:rPr>
                <w:rFonts w:ascii="Palatino Linotype" w:hAnsi="Palatino Linotype" w:cstheme="minorHAnsi"/>
                <w:sz w:val="20"/>
                <w:szCs w:val="20"/>
              </w:rPr>
              <w:t>Reimbursed Air miles</w:t>
            </w:r>
          </w:p>
        </w:tc>
        <w:tc>
          <w:tcPr>
            <w:tcW w:w="2136" w:type="dxa"/>
          </w:tcPr>
          <w:p w:rsidR="00DB31ED" w:rsidRPr="00861A34" w:rsidRDefault="00C7333A" w:rsidP="00861A34">
            <w:pPr>
              <w:jc w:val="center"/>
              <w:rPr>
                <w:rFonts w:ascii="Palatino Linotype" w:hAnsi="Palatino Linotype" w:cstheme="minorHAnsi"/>
                <w:sz w:val="20"/>
                <w:szCs w:val="20"/>
              </w:rPr>
            </w:pPr>
            <w:r>
              <w:rPr>
                <w:rFonts w:ascii="Palatino Linotype" w:hAnsi="Palatino Linotype" w:cstheme="minorHAnsi"/>
                <w:sz w:val="20"/>
                <w:szCs w:val="20"/>
              </w:rPr>
              <w:t>618,829</w:t>
            </w:r>
          </w:p>
        </w:tc>
        <w:tc>
          <w:tcPr>
            <w:tcW w:w="1767" w:type="dxa"/>
          </w:tcPr>
          <w:p w:rsidR="00DB31ED" w:rsidRPr="00861A34" w:rsidRDefault="00C7333A" w:rsidP="00861A34">
            <w:pPr>
              <w:jc w:val="center"/>
              <w:rPr>
                <w:rFonts w:ascii="Palatino Linotype" w:hAnsi="Palatino Linotype" w:cstheme="minorHAnsi"/>
                <w:sz w:val="20"/>
                <w:szCs w:val="20"/>
              </w:rPr>
            </w:pPr>
            <w:r>
              <w:rPr>
                <w:rFonts w:ascii="Palatino Linotype" w:hAnsi="Palatino Linotype" w:cstheme="minorHAnsi"/>
                <w:sz w:val="20"/>
                <w:szCs w:val="20"/>
              </w:rPr>
              <w:t>---</w:t>
            </w:r>
          </w:p>
        </w:tc>
        <w:tc>
          <w:tcPr>
            <w:tcW w:w="1968" w:type="dxa"/>
          </w:tcPr>
          <w:p w:rsidR="00DB31ED" w:rsidRPr="00861A34" w:rsidRDefault="007A4671" w:rsidP="004E430C">
            <w:pPr>
              <w:jc w:val="center"/>
              <w:rPr>
                <w:rFonts w:ascii="Palatino Linotype" w:hAnsi="Palatino Linotype" w:cstheme="minorHAnsi"/>
                <w:sz w:val="20"/>
                <w:szCs w:val="20"/>
              </w:rPr>
            </w:pPr>
            <w:r w:rsidRPr="00861A34">
              <w:rPr>
                <w:rFonts w:ascii="Palatino Linotype" w:hAnsi="Palatino Linotype" w:cstheme="minorHAnsi"/>
                <w:sz w:val="20"/>
                <w:szCs w:val="20"/>
              </w:rPr>
              <w:t>1,732,743</w:t>
            </w:r>
          </w:p>
        </w:tc>
        <w:tc>
          <w:tcPr>
            <w:tcW w:w="1675" w:type="dxa"/>
          </w:tcPr>
          <w:p w:rsidR="00DB31ED" w:rsidRPr="00861A34" w:rsidRDefault="00C7333A" w:rsidP="004E430C">
            <w:pPr>
              <w:jc w:val="center"/>
              <w:rPr>
                <w:rFonts w:ascii="Palatino Linotype" w:hAnsi="Palatino Linotype" w:cstheme="minorHAnsi"/>
                <w:sz w:val="20"/>
                <w:szCs w:val="20"/>
              </w:rPr>
            </w:pPr>
            <w:r>
              <w:rPr>
                <w:rFonts w:ascii="Palatino Linotype" w:hAnsi="Palatino Linotype" w:cstheme="minorHAnsi"/>
                <w:sz w:val="20"/>
                <w:szCs w:val="20"/>
              </w:rPr>
              <w:t>---</w:t>
            </w:r>
          </w:p>
        </w:tc>
      </w:tr>
      <w:tr w:rsidR="00DB31ED" w:rsidRPr="00861A34" w:rsidTr="007A4671">
        <w:trPr>
          <w:trHeight w:val="288"/>
        </w:trPr>
        <w:tc>
          <w:tcPr>
            <w:tcW w:w="2030" w:type="dxa"/>
          </w:tcPr>
          <w:p w:rsidR="00DB31ED" w:rsidRPr="00861A34" w:rsidRDefault="00DB31ED" w:rsidP="004E430C">
            <w:pPr>
              <w:jc w:val="center"/>
              <w:rPr>
                <w:rFonts w:ascii="Palatino Linotype" w:hAnsi="Palatino Linotype" w:cstheme="minorHAnsi"/>
                <w:b/>
                <w:bCs/>
                <w:sz w:val="20"/>
                <w:szCs w:val="20"/>
              </w:rPr>
            </w:pPr>
            <w:r w:rsidRPr="00861A34">
              <w:rPr>
                <w:rFonts w:ascii="Palatino Linotype" w:hAnsi="Palatino Linotype" w:cstheme="minorHAnsi"/>
                <w:sz w:val="20"/>
                <w:szCs w:val="20"/>
              </w:rPr>
              <w:t>ABE trips</w:t>
            </w:r>
          </w:p>
        </w:tc>
        <w:tc>
          <w:tcPr>
            <w:tcW w:w="2136" w:type="dxa"/>
          </w:tcPr>
          <w:p w:rsidR="00DB31ED" w:rsidRPr="00861A34" w:rsidRDefault="00C7333A" w:rsidP="00C7333A">
            <w:pPr>
              <w:jc w:val="center"/>
              <w:rPr>
                <w:rFonts w:ascii="Palatino Linotype" w:hAnsi="Palatino Linotype" w:cstheme="minorHAnsi"/>
                <w:sz w:val="20"/>
                <w:szCs w:val="20"/>
              </w:rPr>
            </w:pPr>
            <w:r>
              <w:rPr>
                <w:rFonts w:ascii="Palatino Linotype" w:hAnsi="Palatino Linotype" w:cstheme="minorHAnsi"/>
                <w:sz w:val="20"/>
                <w:szCs w:val="20"/>
              </w:rPr>
              <w:t>53,700</w:t>
            </w:r>
          </w:p>
        </w:tc>
        <w:tc>
          <w:tcPr>
            <w:tcW w:w="1767" w:type="dxa"/>
          </w:tcPr>
          <w:p w:rsidR="00DB31ED" w:rsidRPr="00861A34" w:rsidRDefault="00C7333A" w:rsidP="00861A34">
            <w:pPr>
              <w:jc w:val="center"/>
              <w:rPr>
                <w:rFonts w:ascii="Palatino Linotype" w:hAnsi="Palatino Linotype" w:cstheme="minorHAnsi"/>
                <w:sz w:val="20"/>
                <w:szCs w:val="20"/>
              </w:rPr>
            </w:pPr>
            <w:r>
              <w:rPr>
                <w:rFonts w:ascii="Palatino Linotype" w:hAnsi="Palatino Linotype" w:cstheme="minorHAnsi"/>
                <w:sz w:val="20"/>
                <w:szCs w:val="20"/>
              </w:rPr>
              <w:t>---</w:t>
            </w:r>
          </w:p>
        </w:tc>
        <w:tc>
          <w:tcPr>
            <w:tcW w:w="1968" w:type="dxa"/>
          </w:tcPr>
          <w:p w:rsidR="00DB31ED" w:rsidRPr="00861A34" w:rsidRDefault="007A4671" w:rsidP="004E430C">
            <w:pPr>
              <w:jc w:val="center"/>
              <w:rPr>
                <w:rFonts w:ascii="Palatino Linotype" w:hAnsi="Palatino Linotype" w:cstheme="minorHAnsi"/>
                <w:sz w:val="20"/>
                <w:szCs w:val="20"/>
              </w:rPr>
            </w:pPr>
            <w:r w:rsidRPr="00861A34">
              <w:rPr>
                <w:rFonts w:ascii="Palatino Linotype" w:hAnsi="Palatino Linotype" w:cstheme="minorHAnsi"/>
                <w:sz w:val="20"/>
                <w:szCs w:val="20"/>
              </w:rPr>
              <w:t>25,120</w:t>
            </w:r>
          </w:p>
        </w:tc>
        <w:tc>
          <w:tcPr>
            <w:tcW w:w="1675" w:type="dxa"/>
          </w:tcPr>
          <w:p w:rsidR="00DB31ED" w:rsidRPr="00861A34" w:rsidRDefault="00C7333A" w:rsidP="004E430C">
            <w:pPr>
              <w:jc w:val="center"/>
              <w:rPr>
                <w:rFonts w:ascii="Palatino Linotype" w:hAnsi="Palatino Linotype" w:cstheme="minorHAnsi"/>
                <w:sz w:val="20"/>
                <w:szCs w:val="20"/>
              </w:rPr>
            </w:pPr>
            <w:r>
              <w:rPr>
                <w:rFonts w:ascii="Palatino Linotype" w:hAnsi="Palatino Linotype" w:cstheme="minorHAnsi"/>
                <w:sz w:val="20"/>
                <w:szCs w:val="20"/>
              </w:rPr>
              <w:t>---</w:t>
            </w:r>
          </w:p>
        </w:tc>
      </w:tr>
      <w:tr w:rsidR="00DB31ED" w:rsidRPr="00861A34" w:rsidTr="007A4671">
        <w:trPr>
          <w:trHeight w:val="288"/>
        </w:trPr>
        <w:tc>
          <w:tcPr>
            <w:tcW w:w="2030" w:type="dxa"/>
          </w:tcPr>
          <w:p w:rsidR="00DB31ED" w:rsidRPr="00861A34" w:rsidRDefault="00DB31ED" w:rsidP="004E430C">
            <w:pPr>
              <w:jc w:val="center"/>
              <w:rPr>
                <w:rFonts w:ascii="Palatino Linotype" w:hAnsi="Palatino Linotype" w:cstheme="minorHAnsi"/>
                <w:b/>
                <w:bCs/>
                <w:sz w:val="20"/>
                <w:szCs w:val="20"/>
              </w:rPr>
            </w:pPr>
            <w:r w:rsidRPr="00861A34">
              <w:rPr>
                <w:rFonts w:ascii="Palatino Linotype" w:hAnsi="Palatino Linotype" w:cstheme="minorHAnsi"/>
                <w:sz w:val="20"/>
                <w:szCs w:val="20"/>
              </w:rPr>
              <w:t>Admissions</w:t>
            </w:r>
          </w:p>
        </w:tc>
        <w:tc>
          <w:tcPr>
            <w:tcW w:w="2136" w:type="dxa"/>
          </w:tcPr>
          <w:tbl>
            <w:tblPr>
              <w:tblW w:w="1920" w:type="dxa"/>
              <w:tblLook w:val="04A0" w:firstRow="1" w:lastRow="0" w:firstColumn="1" w:lastColumn="0" w:noHBand="0" w:noVBand="1"/>
            </w:tblPr>
            <w:tblGrid>
              <w:gridCol w:w="1920"/>
            </w:tblGrid>
            <w:tr w:rsidR="00DB31ED" w:rsidRPr="00861A34" w:rsidTr="00861A34">
              <w:trPr>
                <w:trHeight w:val="300"/>
              </w:trPr>
              <w:tc>
                <w:tcPr>
                  <w:tcW w:w="960" w:type="dxa"/>
                  <w:tcBorders>
                    <w:top w:val="nil"/>
                    <w:left w:val="nil"/>
                    <w:bottom w:val="nil"/>
                    <w:right w:val="nil"/>
                  </w:tcBorders>
                  <w:shd w:val="clear" w:color="auto" w:fill="auto"/>
                  <w:noWrap/>
                  <w:vAlign w:val="bottom"/>
                  <w:hideMark/>
                </w:tcPr>
                <w:p w:rsidR="00DB31ED" w:rsidRPr="00861A34" w:rsidRDefault="00C7333A" w:rsidP="00861A34">
                  <w:pPr>
                    <w:spacing w:after="0" w:line="240" w:lineRule="auto"/>
                    <w:jc w:val="center"/>
                    <w:rPr>
                      <w:rFonts w:ascii="Palatino Linotype" w:hAnsi="Palatino Linotype" w:cstheme="minorHAnsi"/>
                      <w:sz w:val="20"/>
                      <w:szCs w:val="20"/>
                    </w:rPr>
                  </w:pPr>
                  <w:r>
                    <w:rPr>
                      <w:rFonts w:ascii="Palatino Linotype" w:hAnsi="Palatino Linotype" w:cstheme="minorHAnsi"/>
                      <w:sz w:val="20"/>
                      <w:szCs w:val="20"/>
                    </w:rPr>
                    <w:t>319,949</w:t>
                  </w:r>
                </w:p>
              </w:tc>
            </w:tr>
          </w:tbl>
          <w:p w:rsidR="00DB31ED" w:rsidRPr="00861A34" w:rsidRDefault="00DB31ED" w:rsidP="00861A34">
            <w:pPr>
              <w:jc w:val="center"/>
              <w:rPr>
                <w:rFonts w:ascii="Palatino Linotype" w:hAnsi="Palatino Linotype" w:cstheme="minorHAnsi"/>
                <w:sz w:val="20"/>
                <w:szCs w:val="20"/>
              </w:rPr>
            </w:pPr>
          </w:p>
        </w:tc>
        <w:tc>
          <w:tcPr>
            <w:tcW w:w="1767" w:type="dxa"/>
          </w:tcPr>
          <w:p w:rsidR="00DB31ED" w:rsidRPr="00861A34" w:rsidRDefault="00C7333A" w:rsidP="00861A34">
            <w:pPr>
              <w:jc w:val="center"/>
              <w:rPr>
                <w:rFonts w:ascii="Palatino Linotype" w:hAnsi="Palatino Linotype" w:cstheme="minorHAnsi"/>
                <w:sz w:val="20"/>
                <w:szCs w:val="20"/>
              </w:rPr>
            </w:pPr>
            <w:r>
              <w:rPr>
                <w:rFonts w:ascii="Palatino Linotype" w:hAnsi="Palatino Linotype" w:cstheme="minorHAnsi"/>
                <w:sz w:val="20"/>
                <w:szCs w:val="20"/>
              </w:rPr>
              <w:t>---</w:t>
            </w:r>
          </w:p>
        </w:tc>
        <w:tc>
          <w:tcPr>
            <w:tcW w:w="1968" w:type="dxa"/>
          </w:tcPr>
          <w:p w:rsidR="00DB31ED" w:rsidRPr="00861A34" w:rsidRDefault="007A4671" w:rsidP="004E430C">
            <w:pPr>
              <w:jc w:val="center"/>
              <w:rPr>
                <w:rFonts w:ascii="Palatino Linotype" w:hAnsi="Palatino Linotype" w:cstheme="minorHAnsi"/>
                <w:sz w:val="20"/>
                <w:szCs w:val="20"/>
              </w:rPr>
            </w:pPr>
            <w:r w:rsidRPr="00861A34">
              <w:rPr>
                <w:rFonts w:ascii="Palatino Linotype" w:hAnsi="Palatino Linotype" w:cstheme="minorHAnsi"/>
                <w:sz w:val="20"/>
                <w:szCs w:val="20"/>
              </w:rPr>
              <w:t>505,599</w:t>
            </w:r>
          </w:p>
        </w:tc>
        <w:tc>
          <w:tcPr>
            <w:tcW w:w="1675" w:type="dxa"/>
          </w:tcPr>
          <w:p w:rsidR="00DB31ED" w:rsidRPr="00861A34" w:rsidRDefault="00C7333A" w:rsidP="004E430C">
            <w:pPr>
              <w:jc w:val="center"/>
              <w:rPr>
                <w:rFonts w:ascii="Palatino Linotype" w:hAnsi="Palatino Linotype" w:cstheme="minorHAnsi"/>
                <w:sz w:val="20"/>
                <w:szCs w:val="20"/>
              </w:rPr>
            </w:pPr>
            <w:r>
              <w:rPr>
                <w:rFonts w:ascii="Palatino Linotype" w:hAnsi="Palatino Linotype" w:cstheme="minorHAnsi"/>
                <w:sz w:val="20"/>
                <w:szCs w:val="20"/>
              </w:rPr>
              <w:t>---</w:t>
            </w:r>
          </w:p>
        </w:tc>
      </w:tr>
      <w:tr w:rsidR="00DB31ED" w:rsidRPr="00861A34" w:rsidTr="007A4671">
        <w:trPr>
          <w:trHeight w:val="288"/>
        </w:trPr>
        <w:tc>
          <w:tcPr>
            <w:tcW w:w="2030" w:type="dxa"/>
            <w:shd w:val="clear" w:color="auto" w:fill="A6A6A6" w:themeFill="background1" w:themeFillShade="A6"/>
          </w:tcPr>
          <w:p w:rsidR="00DB31ED" w:rsidRPr="00861A34" w:rsidRDefault="00DB31ED" w:rsidP="004E430C">
            <w:pPr>
              <w:jc w:val="center"/>
              <w:rPr>
                <w:rFonts w:ascii="Palatino Linotype" w:hAnsi="Palatino Linotype" w:cstheme="minorHAnsi"/>
                <w:b/>
                <w:bCs/>
                <w:sz w:val="20"/>
                <w:szCs w:val="20"/>
              </w:rPr>
            </w:pPr>
            <w:r w:rsidRPr="00861A34">
              <w:rPr>
                <w:rFonts w:ascii="Palatino Linotype" w:hAnsi="Palatino Linotype" w:cstheme="minorHAnsi"/>
                <w:sz w:val="20"/>
                <w:szCs w:val="20"/>
              </w:rPr>
              <w:t>Vehicle Commuting</w:t>
            </w:r>
          </w:p>
        </w:tc>
        <w:tc>
          <w:tcPr>
            <w:tcW w:w="2136" w:type="dxa"/>
            <w:shd w:val="clear" w:color="auto" w:fill="A6A6A6" w:themeFill="background1" w:themeFillShade="A6"/>
          </w:tcPr>
          <w:p w:rsidR="00DB31ED" w:rsidRPr="00861A34" w:rsidRDefault="00C7333A" w:rsidP="00861A34">
            <w:pPr>
              <w:jc w:val="center"/>
              <w:rPr>
                <w:rFonts w:ascii="Palatino Linotype" w:hAnsi="Palatino Linotype" w:cstheme="minorHAnsi"/>
                <w:sz w:val="20"/>
                <w:szCs w:val="20"/>
              </w:rPr>
            </w:pPr>
            <w:r>
              <w:rPr>
                <w:rFonts w:ascii="Palatino Linotype" w:hAnsi="Palatino Linotype" w:cstheme="minorHAnsi"/>
                <w:sz w:val="20"/>
                <w:szCs w:val="20"/>
              </w:rPr>
              <w:t>Miles</w:t>
            </w:r>
          </w:p>
        </w:tc>
        <w:tc>
          <w:tcPr>
            <w:tcW w:w="1767" w:type="dxa"/>
            <w:shd w:val="clear" w:color="auto" w:fill="A6A6A6" w:themeFill="background1" w:themeFillShade="A6"/>
          </w:tcPr>
          <w:p w:rsidR="00DB31ED" w:rsidRPr="00861A34" w:rsidRDefault="00C7333A" w:rsidP="00861A34">
            <w:pPr>
              <w:jc w:val="center"/>
              <w:rPr>
                <w:rFonts w:ascii="Palatino Linotype" w:hAnsi="Palatino Linotype" w:cstheme="minorHAnsi"/>
                <w:sz w:val="20"/>
                <w:szCs w:val="20"/>
              </w:rPr>
            </w:pPr>
            <w:r>
              <w:rPr>
                <w:rFonts w:ascii="Palatino Linotype" w:hAnsi="Palatino Linotype" w:cstheme="minorHAnsi"/>
                <w:sz w:val="20"/>
                <w:szCs w:val="20"/>
              </w:rPr>
              <w:t>Gallons</w:t>
            </w:r>
          </w:p>
        </w:tc>
        <w:tc>
          <w:tcPr>
            <w:tcW w:w="1968" w:type="dxa"/>
            <w:shd w:val="clear" w:color="auto" w:fill="A6A6A6" w:themeFill="background1" w:themeFillShade="A6"/>
          </w:tcPr>
          <w:p w:rsidR="00DB31ED" w:rsidRPr="00861A34" w:rsidRDefault="00C7333A" w:rsidP="004E430C">
            <w:pPr>
              <w:jc w:val="center"/>
              <w:rPr>
                <w:rFonts w:ascii="Palatino Linotype" w:hAnsi="Palatino Linotype" w:cstheme="minorHAnsi"/>
                <w:sz w:val="20"/>
                <w:szCs w:val="20"/>
              </w:rPr>
            </w:pPr>
            <w:r>
              <w:rPr>
                <w:rFonts w:ascii="Palatino Linotype" w:hAnsi="Palatino Linotype" w:cstheme="minorHAnsi"/>
                <w:sz w:val="20"/>
                <w:szCs w:val="20"/>
              </w:rPr>
              <w:t>Miles</w:t>
            </w:r>
          </w:p>
        </w:tc>
        <w:tc>
          <w:tcPr>
            <w:tcW w:w="1675" w:type="dxa"/>
            <w:shd w:val="clear" w:color="auto" w:fill="A6A6A6" w:themeFill="background1" w:themeFillShade="A6"/>
          </w:tcPr>
          <w:p w:rsidR="00DB31ED" w:rsidRPr="00861A34" w:rsidRDefault="00C7333A" w:rsidP="004E430C">
            <w:pPr>
              <w:jc w:val="center"/>
              <w:rPr>
                <w:rFonts w:ascii="Palatino Linotype" w:hAnsi="Palatino Linotype" w:cstheme="minorHAnsi"/>
                <w:sz w:val="20"/>
                <w:szCs w:val="20"/>
              </w:rPr>
            </w:pPr>
            <w:r>
              <w:rPr>
                <w:rFonts w:ascii="Palatino Linotype" w:hAnsi="Palatino Linotype" w:cstheme="minorHAnsi"/>
                <w:sz w:val="20"/>
                <w:szCs w:val="20"/>
              </w:rPr>
              <w:t>Gallons</w:t>
            </w:r>
          </w:p>
        </w:tc>
      </w:tr>
      <w:tr w:rsidR="007A4671" w:rsidRPr="00861A34" w:rsidTr="007A4671">
        <w:trPr>
          <w:trHeight w:val="288"/>
        </w:trPr>
        <w:tc>
          <w:tcPr>
            <w:tcW w:w="2030" w:type="dxa"/>
          </w:tcPr>
          <w:p w:rsidR="007A4671" w:rsidRPr="00861A34" w:rsidRDefault="007A4671" w:rsidP="004E430C">
            <w:pPr>
              <w:jc w:val="center"/>
              <w:rPr>
                <w:rFonts w:ascii="Palatino Linotype" w:hAnsi="Palatino Linotype" w:cstheme="minorHAnsi"/>
                <w:b/>
                <w:bCs/>
                <w:sz w:val="20"/>
                <w:szCs w:val="20"/>
              </w:rPr>
            </w:pPr>
            <w:r w:rsidRPr="00861A34">
              <w:rPr>
                <w:rFonts w:ascii="Palatino Linotype" w:hAnsi="Palatino Linotype" w:cstheme="minorHAnsi"/>
                <w:sz w:val="20"/>
                <w:szCs w:val="20"/>
              </w:rPr>
              <w:t>Faculty and Staff</w:t>
            </w:r>
          </w:p>
        </w:tc>
        <w:tc>
          <w:tcPr>
            <w:tcW w:w="2136" w:type="dxa"/>
          </w:tcPr>
          <w:p w:rsidR="007A4671" w:rsidRPr="00861A34" w:rsidRDefault="002C6F4A" w:rsidP="00861A34">
            <w:pPr>
              <w:jc w:val="center"/>
              <w:rPr>
                <w:rFonts w:ascii="Palatino Linotype" w:hAnsi="Palatino Linotype" w:cstheme="minorHAnsi"/>
                <w:sz w:val="20"/>
                <w:szCs w:val="20"/>
              </w:rPr>
            </w:pPr>
            <w:r>
              <w:rPr>
                <w:rFonts w:ascii="Palatino Linotype" w:hAnsi="Palatino Linotype" w:cstheme="minorHAnsi"/>
                <w:sz w:val="20"/>
                <w:szCs w:val="20"/>
              </w:rPr>
              <w:t>4,697,295</w:t>
            </w:r>
          </w:p>
        </w:tc>
        <w:tc>
          <w:tcPr>
            <w:tcW w:w="1767" w:type="dxa"/>
          </w:tcPr>
          <w:p w:rsidR="007A4671" w:rsidRPr="00861A34" w:rsidRDefault="00C7333A" w:rsidP="00861A34">
            <w:pPr>
              <w:jc w:val="center"/>
              <w:rPr>
                <w:rFonts w:ascii="Palatino Linotype" w:hAnsi="Palatino Linotype" w:cstheme="minorHAnsi"/>
                <w:sz w:val="20"/>
                <w:szCs w:val="20"/>
              </w:rPr>
            </w:pPr>
            <w:r>
              <w:rPr>
                <w:rFonts w:ascii="Palatino Linotype" w:hAnsi="Palatino Linotype" w:cstheme="minorHAnsi"/>
                <w:sz w:val="20"/>
                <w:szCs w:val="20"/>
              </w:rPr>
              <w:t>---</w:t>
            </w:r>
          </w:p>
        </w:tc>
        <w:tc>
          <w:tcPr>
            <w:tcW w:w="1968" w:type="dxa"/>
          </w:tcPr>
          <w:p w:rsidR="007A4671" w:rsidRPr="00861A34" w:rsidRDefault="007A4671" w:rsidP="00861A34">
            <w:pPr>
              <w:jc w:val="center"/>
              <w:rPr>
                <w:rFonts w:ascii="Palatino Linotype" w:hAnsi="Palatino Linotype" w:cstheme="minorHAnsi"/>
                <w:sz w:val="20"/>
                <w:szCs w:val="20"/>
              </w:rPr>
            </w:pPr>
            <w:r w:rsidRPr="00861A34">
              <w:rPr>
                <w:rFonts w:ascii="Palatino Linotype" w:hAnsi="Palatino Linotype" w:cstheme="minorHAnsi"/>
                <w:sz w:val="20"/>
                <w:szCs w:val="20"/>
              </w:rPr>
              <w:t>6,994,728</w:t>
            </w:r>
          </w:p>
        </w:tc>
        <w:tc>
          <w:tcPr>
            <w:tcW w:w="1675" w:type="dxa"/>
          </w:tcPr>
          <w:p w:rsidR="007A4671" w:rsidRPr="00861A34" w:rsidRDefault="00C7333A" w:rsidP="004E430C">
            <w:pPr>
              <w:jc w:val="center"/>
              <w:rPr>
                <w:rFonts w:ascii="Palatino Linotype" w:hAnsi="Palatino Linotype" w:cstheme="minorHAnsi"/>
                <w:sz w:val="20"/>
                <w:szCs w:val="20"/>
              </w:rPr>
            </w:pPr>
            <w:r>
              <w:rPr>
                <w:rFonts w:ascii="Palatino Linotype" w:hAnsi="Palatino Linotype" w:cstheme="minorHAnsi"/>
                <w:sz w:val="20"/>
                <w:szCs w:val="20"/>
              </w:rPr>
              <w:t>---</w:t>
            </w:r>
          </w:p>
        </w:tc>
      </w:tr>
      <w:tr w:rsidR="007A4671" w:rsidRPr="00861A34" w:rsidTr="007A4671">
        <w:trPr>
          <w:trHeight w:val="288"/>
        </w:trPr>
        <w:tc>
          <w:tcPr>
            <w:tcW w:w="2030" w:type="dxa"/>
          </w:tcPr>
          <w:p w:rsidR="007A4671" w:rsidRPr="00861A34" w:rsidRDefault="007A4671" w:rsidP="004E430C">
            <w:pPr>
              <w:jc w:val="center"/>
              <w:rPr>
                <w:rFonts w:ascii="Palatino Linotype" w:hAnsi="Palatino Linotype" w:cstheme="minorHAnsi"/>
                <w:b/>
                <w:bCs/>
                <w:sz w:val="20"/>
                <w:szCs w:val="20"/>
              </w:rPr>
            </w:pPr>
            <w:r w:rsidRPr="00861A34">
              <w:rPr>
                <w:rFonts w:ascii="Palatino Linotype" w:hAnsi="Palatino Linotype" w:cstheme="minorHAnsi"/>
                <w:sz w:val="20"/>
                <w:szCs w:val="20"/>
              </w:rPr>
              <w:lastRenderedPageBreak/>
              <w:t>Student Commuting</w:t>
            </w:r>
          </w:p>
        </w:tc>
        <w:tc>
          <w:tcPr>
            <w:tcW w:w="2136" w:type="dxa"/>
          </w:tcPr>
          <w:p w:rsidR="007A4671" w:rsidRPr="00861A34" w:rsidRDefault="002C6F4A" w:rsidP="00861A34">
            <w:pPr>
              <w:jc w:val="center"/>
              <w:rPr>
                <w:rFonts w:ascii="Palatino Linotype" w:hAnsi="Palatino Linotype" w:cstheme="minorHAnsi"/>
                <w:sz w:val="20"/>
                <w:szCs w:val="20"/>
              </w:rPr>
            </w:pPr>
            <w:r>
              <w:rPr>
                <w:rFonts w:ascii="Palatino Linotype" w:hAnsi="Palatino Linotype" w:cstheme="minorHAnsi"/>
                <w:sz w:val="20"/>
                <w:szCs w:val="20"/>
              </w:rPr>
              <w:t>892,284</w:t>
            </w:r>
          </w:p>
        </w:tc>
        <w:tc>
          <w:tcPr>
            <w:tcW w:w="1767" w:type="dxa"/>
          </w:tcPr>
          <w:p w:rsidR="007A4671" w:rsidRPr="00861A34" w:rsidRDefault="00C7333A" w:rsidP="00861A34">
            <w:pPr>
              <w:jc w:val="center"/>
              <w:rPr>
                <w:rFonts w:ascii="Palatino Linotype" w:hAnsi="Palatino Linotype" w:cstheme="minorHAnsi"/>
                <w:sz w:val="20"/>
                <w:szCs w:val="20"/>
              </w:rPr>
            </w:pPr>
            <w:r>
              <w:rPr>
                <w:rFonts w:ascii="Palatino Linotype" w:hAnsi="Palatino Linotype" w:cstheme="minorHAnsi"/>
                <w:sz w:val="20"/>
                <w:szCs w:val="20"/>
              </w:rPr>
              <w:t>---</w:t>
            </w:r>
          </w:p>
        </w:tc>
        <w:tc>
          <w:tcPr>
            <w:tcW w:w="1968" w:type="dxa"/>
          </w:tcPr>
          <w:p w:rsidR="007A4671" w:rsidRPr="00861A34" w:rsidRDefault="007A4671" w:rsidP="00861A34">
            <w:pPr>
              <w:jc w:val="center"/>
              <w:rPr>
                <w:rFonts w:ascii="Palatino Linotype" w:hAnsi="Palatino Linotype" w:cstheme="minorHAnsi"/>
                <w:sz w:val="20"/>
                <w:szCs w:val="20"/>
              </w:rPr>
            </w:pPr>
            <w:r w:rsidRPr="00861A34">
              <w:rPr>
                <w:rFonts w:ascii="Palatino Linotype" w:hAnsi="Palatino Linotype" w:cstheme="minorHAnsi"/>
                <w:sz w:val="20"/>
                <w:szCs w:val="20"/>
              </w:rPr>
              <w:t>919,815</w:t>
            </w:r>
          </w:p>
        </w:tc>
        <w:tc>
          <w:tcPr>
            <w:tcW w:w="1675" w:type="dxa"/>
          </w:tcPr>
          <w:p w:rsidR="007A4671" w:rsidRPr="00861A34" w:rsidRDefault="00C7333A" w:rsidP="004E430C">
            <w:pPr>
              <w:jc w:val="center"/>
              <w:rPr>
                <w:rFonts w:ascii="Palatino Linotype" w:hAnsi="Palatino Linotype" w:cstheme="minorHAnsi"/>
                <w:sz w:val="20"/>
                <w:szCs w:val="20"/>
              </w:rPr>
            </w:pPr>
            <w:r>
              <w:rPr>
                <w:rFonts w:ascii="Palatino Linotype" w:hAnsi="Palatino Linotype" w:cstheme="minorHAnsi"/>
                <w:sz w:val="20"/>
                <w:szCs w:val="20"/>
              </w:rPr>
              <w:t>---</w:t>
            </w:r>
          </w:p>
        </w:tc>
      </w:tr>
      <w:tr w:rsidR="00DB31ED" w:rsidRPr="00861A34" w:rsidTr="002E468C">
        <w:trPr>
          <w:trHeight w:val="260"/>
        </w:trPr>
        <w:tc>
          <w:tcPr>
            <w:tcW w:w="2030" w:type="dxa"/>
            <w:shd w:val="clear" w:color="auto" w:fill="A6A6A6" w:themeFill="background1" w:themeFillShade="A6"/>
          </w:tcPr>
          <w:p w:rsidR="00DB31ED" w:rsidRPr="00861A34" w:rsidRDefault="00DB31ED" w:rsidP="00C7333A">
            <w:pPr>
              <w:jc w:val="center"/>
              <w:rPr>
                <w:rFonts w:ascii="Palatino Linotype" w:hAnsi="Palatino Linotype" w:cstheme="minorHAnsi"/>
                <w:b/>
                <w:bCs/>
                <w:sz w:val="20"/>
                <w:szCs w:val="20"/>
              </w:rPr>
            </w:pPr>
            <w:r w:rsidRPr="00861A34">
              <w:rPr>
                <w:rFonts w:ascii="Palatino Linotype" w:hAnsi="Palatino Linotype" w:cstheme="minorHAnsi"/>
                <w:sz w:val="20"/>
                <w:szCs w:val="20"/>
              </w:rPr>
              <w:t>Busing</w:t>
            </w:r>
          </w:p>
        </w:tc>
        <w:tc>
          <w:tcPr>
            <w:tcW w:w="2136" w:type="dxa"/>
            <w:shd w:val="clear" w:color="auto" w:fill="A6A6A6" w:themeFill="background1" w:themeFillShade="A6"/>
          </w:tcPr>
          <w:p w:rsidR="00DB31ED" w:rsidRPr="00861A34" w:rsidRDefault="00C7333A" w:rsidP="00861A34">
            <w:pPr>
              <w:jc w:val="center"/>
              <w:rPr>
                <w:rFonts w:ascii="Palatino Linotype" w:hAnsi="Palatino Linotype" w:cstheme="minorHAnsi"/>
                <w:sz w:val="20"/>
                <w:szCs w:val="20"/>
              </w:rPr>
            </w:pPr>
            <w:r>
              <w:rPr>
                <w:rFonts w:ascii="Palatino Linotype" w:hAnsi="Palatino Linotype" w:cstheme="minorHAnsi"/>
                <w:sz w:val="20"/>
                <w:szCs w:val="20"/>
              </w:rPr>
              <w:t>Miles</w:t>
            </w:r>
          </w:p>
        </w:tc>
        <w:tc>
          <w:tcPr>
            <w:tcW w:w="1767" w:type="dxa"/>
            <w:shd w:val="clear" w:color="auto" w:fill="A6A6A6" w:themeFill="background1" w:themeFillShade="A6"/>
          </w:tcPr>
          <w:p w:rsidR="00DB31ED" w:rsidRPr="00861A34" w:rsidRDefault="00C7333A" w:rsidP="00861A34">
            <w:pPr>
              <w:jc w:val="center"/>
              <w:rPr>
                <w:rFonts w:ascii="Palatino Linotype" w:hAnsi="Palatino Linotype" w:cstheme="minorHAnsi"/>
                <w:sz w:val="20"/>
                <w:szCs w:val="20"/>
              </w:rPr>
            </w:pPr>
            <w:r>
              <w:rPr>
                <w:rFonts w:ascii="Palatino Linotype" w:hAnsi="Palatino Linotype" w:cstheme="minorHAnsi"/>
                <w:sz w:val="20"/>
                <w:szCs w:val="20"/>
              </w:rPr>
              <w:t>Gallons</w:t>
            </w:r>
          </w:p>
        </w:tc>
        <w:tc>
          <w:tcPr>
            <w:tcW w:w="1968" w:type="dxa"/>
            <w:shd w:val="clear" w:color="auto" w:fill="A6A6A6" w:themeFill="background1" w:themeFillShade="A6"/>
          </w:tcPr>
          <w:p w:rsidR="00DB31ED" w:rsidRPr="00861A34" w:rsidRDefault="00C7333A" w:rsidP="004E430C">
            <w:pPr>
              <w:jc w:val="center"/>
              <w:rPr>
                <w:rFonts w:ascii="Palatino Linotype" w:hAnsi="Palatino Linotype" w:cstheme="minorHAnsi"/>
                <w:sz w:val="20"/>
                <w:szCs w:val="20"/>
              </w:rPr>
            </w:pPr>
            <w:r>
              <w:rPr>
                <w:rFonts w:ascii="Palatino Linotype" w:hAnsi="Palatino Linotype" w:cstheme="minorHAnsi"/>
                <w:sz w:val="20"/>
                <w:szCs w:val="20"/>
              </w:rPr>
              <w:t>Miles</w:t>
            </w:r>
          </w:p>
        </w:tc>
        <w:tc>
          <w:tcPr>
            <w:tcW w:w="1675" w:type="dxa"/>
            <w:shd w:val="clear" w:color="auto" w:fill="A6A6A6" w:themeFill="background1" w:themeFillShade="A6"/>
          </w:tcPr>
          <w:p w:rsidR="00DB31ED" w:rsidRPr="00861A34" w:rsidRDefault="00C7333A" w:rsidP="004E430C">
            <w:pPr>
              <w:jc w:val="center"/>
              <w:rPr>
                <w:rFonts w:ascii="Palatino Linotype" w:hAnsi="Palatino Linotype" w:cstheme="minorHAnsi"/>
                <w:sz w:val="20"/>
                <w:szCs w:val="20"/>
              </w:rPr>
            </w:pPr>
            <w:r>
              <w:rPr>
                <w:rFonts w:ascii="Palatino Linotype" w:hAnsi="Palatino Linotype" w:cstheme="minorHAnsi"/>
                <w:sz w:val="20"/>
                <w:szCs w:val="20"/>
              </w:rPr>
              <w:t>Gallons</w:t>
            </w:r>
          </w:p>
        </w:tc>
      </w:tr>
      <w:tr w:rsidR="00DB31ED" w:rsidRPr="00861A34" w:rsidTr="007A4671">
        <w:trPr>
          <w:trHeight w:val="288"/>
        </w:trPr>
        <w:tc>
          <w:tcPr>
            <w:tcW w:w="2030" w:type="dxa"/>
          </w:tcPr>
          <w:p w:rsidR="00DB31ED" w:rsidRPr="00861A34" w:rsidRDefault="00DB31ED" w:rsidP="00C7333A">
            <w:pPr>
              <w:jc w:val="center"/>
              <w:rPr>
                <w:rFonts w:ascii="Palatino Linotype" w:hAnsi="Palatino Linotype" w:cstheme="minorHAnsi"/>
                <w:b/>
                <w:bCs/>
                <w:sz w:val="20"/>
                <w:szCs w:val="20"/>
              </w:rPr>
            </w:pPr>
            <w:r w:rsidRPr="00861A34">
              <w:rPr>
                <w:rFonts w:ascii="Palatino Linotype" w:hAnsi="Palatino Linotype" w:cstheme="minorHAnsi"/>
                <w:sz w:val="20"/>
                <w:szCs w:val="20"/>
              </w:rPr>
              <w:t>L</w:t>
            </w:r>
            <w:r w:rsidR="00C7333A">
              <w:rPr>
                <w:rFonts w:ascii="Palatino Linotype" w:hAnsi="Palatino Linotype" w:cstheme="minorHAnsi"/>
                <w:sz w:val="20"/>
                <w:szCs w:val="20"/>
              </w:rPr>
              <w:t>INK</w:t>
            </w:r>
          </w:p>
        </w:tc>
        <w:tc>
          <w:tcPr>
            <w:tcW w:w="2136" w:type="dxa"/>
          </w:tcPr>
          <w:p w:rsidR="00DB31ED" w:rsidRPr="00244CF3" w:rsidRDefault="002C6F4A" w:rsidP="00861A34">
            <w:pPr>
              <w:jc w:val="center"/>
              <w:rPr>
                <w:rFonts w:ascii="Palatino Linotype" w:hAnsi="Palatino Linotype" w:cstheme="minorHAnsi"/>
                <w:sz w:val="20"/>
                <w:szCs w:val="20"/>
              </w:rPr>
            </w:pPr>
            <w:r w:rsidRPr="00244CF3">
              <w:rPr>
                <w:rFonts w:ascii="Palatino Linotype" w:hAnsi="Palatino Linotype" w:cstheme="minorHAnsi"/>
                <w:sz w:val="20"/>
                <w:szCs w:val="20"/>
              </w:rPr>
              <w:t>---</w:t>
            </w:r>
          </w:p>
        </w:tc>
        <w:tc>
          <w:tcPr>
            <w:tcW w:w="1767" w:type="dxa"/>
          </w:tcPr>
          <w:p w:rsidR="00DB31ED" w:rsidRPr="00244CF3" w:rsidRDefault="00244CF3" w:rsidP="00244CF3">
            <w:pPr>
              <w:jc w:val="center"/>
              <w:rPr>
                <w:rFonts w:ascii="Palatino Linotype" w:hAnsi="Palatino Linotype" w:cstheme="minorHAnsi"/>
                <w:sz w:val="20"/>
                <w:szCs w:val="20"/>
              </w:rPr>
            </w:pPr>
            <w:r w:rsidRPr="00244CF3">
              <w:rPr>
                <w:rFonts w:ascii="Palatino Linotype" w:hAnsi="Palatino Linotype" w:cstheme="minorHAnsi"/>
                <w:sz w:val="20"/>
                <w:szCs w:val="20"/>
              </w:rPr>
              <w:t>14,576+5282.5</w:t>
            </w:r>
            <w:r>
              <w:rPr>
                <w:rFonts w:ascii="Palatino Linotype" w:hAnsi="Palatino Linotype" w:cstheme="minorHAnsi"/>
                <w:sz w:val="20"/>
                <w:szCs w:val="20"/>
              </w:rPr>
              <w:t>*</w:t>
            </w:r>
          </w:p>
        </w:tc>
        <w:tc>
          <w:tcPr>
            <w:tcW w:w="1968" w:type="dxa"/>
          </w:tcPr>
          <w:p w:rsidR="00DB31ED" w:rsidRPr="00861A34" w:rsidRDefault="007A4671" w:rsidP="004E430C">
            <w:pPr>
              <w:jc w:val="center"/>
              <w:rPr>
                <w:rFonts w:ascii="Palatino Linotype" w:hAnsi="Palatino Linotype" w:cstheme="minorHAnsi"/>
                <w:sz w:val="20"/>
                <w:szCs w:val="20"/>
              </w:rPr>
            </w:pPr>
            <w:r w:rsidRPr="00861A34">
              <w:rPr>
                <w:rFonts w:ascii="Palatino Linotype" w:hAnsi="Palatino Linotype" w:cstheme="minorHAnsi"/>
                <w:sz w:val="20"/>
                <w:szCs w:val="20"/>
              </w:rPr>
              <w:t>80,123</w:t>
            </w:r>
          </w:p>
        </w:tc>
        <w:tc>
          <w:tcPr>
            <w:tcW w:w="1675" w:type="dxa"/>
          </w:tcPr>
          <w:p w:rsidR="00DB31ED" w:rsidRPr="00861A34" w:rsidRDefault="002E468C" w:rsidP="00B35BCF">
            <w:pPr>
              <w:jc w:val="center"/>
              <w:rPr>
                <w:rFonts w:ascii="Palatino Linotype" w:hAnsi="Palatino Linotype" w:cstheme="minorHAnsi"/>
                <w:sz w:val="20"/>
                <w:szCs w:val="20"/>
              </w:rPr>
            </w:pPr>
            <w:r w:rsidRPr="00861A34">
              <w:rPr>
                <w:rFonts w:ascii="Palatino Linotype" w:hAnsi="Palatino Linotype" w:cstheme="minorHAnsi"/>
                <w:sz w:val="20"/>
                <w:szCs w:val="20"/>
              </w:rPr>
              <w:t>13,354</w:t>
            </w:r>
          </w:p>
        </w:tc>
      </w:tr>
      <w:tr w:rsidR="00DB31ED" w:rsidRPr="00861A34" w:rsidTr="007A4671">
        <w:trPr>
          <w:trHeight w:val="288"/>
        </w:trPr>
        <w:tc>
          <w:tcPr>
            <w:tcW w:w="2030" w:type="dxa"/>
          </w:tcPr>
          <w:p w:rsidR="00DB31ED" w:rsidRPr="00861A34" w:rsidRDefault="00DB31ED" w:rsidP="004E430C">
            <w:pPr>
              <w:jc w:val="center"/>
              <w:rPr>
                <w:rFonts w:ascii="Palatino Linotype" w:hAnsi="Palatino Linotype" w:cstheme="minorHAnsi"/>
                <w:b/>
                <w:bCs/>
                <w:sz w:val="20"/>
                <w:szCs w:val="20"/>
              </w:rPr>
            </w:pPr>
            <w:r w:rsidRPr="00861A34">
              <w:rPr>
                <w:rFonts w:ascii="Palatino Linotype" w:hAnsi="Palatino Linotype" w:cstheme="minorHAnsi"/>
                <w:sz w:val="20"/>
                <w:szCs w:val="20"/>
              </w:rPr>
              <w:t>Trobec’s</w:t>
            </w:r>
          </w:p>
        </w:tc>
        <w:tc>
          <w:tcPr>
            <w:tcW w:w="2136" w:type="dxa"/>
          </w:tcPr>
          <w:p w:rsidR="00DB31ED" w:rsidRPr="00861A34" w:rsidRDefault="00C7333A" w:rsidP="00861A34">
            <w:pPr>
              <w:jc w:val="center"/>
              <w:rPr>
                <w:rFonts w:ascii="Palatino Linotype" w:hAnsi="Palatino Linotype" w:cstheme="minorHAnsi"/>
                <w:sz w:val="20"/>
                <w:szCs w:val="20"/>
              </w:rPr>
            </w:pPr>
            <w:r>
              <w:rPr>
                <w:rFonts w:ascii="Palatino Linotype" w:hAnsi="Palatino Linotype" w:cstheme="minorHAnsi"/>
                <w:sz w:val="20"/>
                <w:szCs w:val="20"/>
              </w:rPr>
              <w:t>---</w:t>
            </w:r>
          </w:p>
        </w:tc>
        <w:tc>
          <w:tcPr>
            <w:tcW w:w="1767" w:type="dxa"/>
          </w:tcPr>
          <w:p w:rsidR="00DB31ED" w:rsidRPr="00861A34" w:rsidRDefault="00C7333A" w:rsidP="00861A34">
            <w:pPr>
              <w:jc w:val="center"/>
              <w:rPr>
                <w:rFonts w:ascii="Palatino Linotype" w:hAnsi="Palatino Linotype" w:cstheme="minorHAnsi"/>
                <w:sz w:val="20"/>
                <w:szCs w:val="20"/>
              </w:rPr>
            </w:pPr>
            <w:r>
              <w:rPr>
                <w:rFonts w:ascii="Palatino Linotype" w:hAnsi="Palatino Linotype" w:cstheme="minorHAnsi"/>
                <w:sz w:val="20"/>
                <w:szCs w:val="20"/>
              </w:rPr>
              <w:t>---</w:t>
            </w:r>
          </w:p>
        </w:tc>
        <w:tc>
          <w:tcPr>
            <w:tcW w:w="1968" w:type="dxa"/>
          </w:tcPr>
          <w:p w:rsidR="00DB31ED" w:rsidRPr="00861A34" w:rsidRDefault="007A4671" w:rsidP="004E430C">
            <w:pPr>
              <w:jc w:val="center"/>
              <w:rPr>
                <w:rFonts w:ascii="Palatino Linotype" w:hAnsi="Palatino Linotype" w:cstheme="minorHAnsi"/>
                <w:sz w:val="20"/>
                <w:szCs w:val="20"/>
              </w:rPr>
            </w:pPr>
            <w:r w:rsidRPr="00861A34">
              <w:rPr>
                <w:rFonts w:ascii="Palatino Linotype" w:hAnsi="Palatino Linotype" w:cstheme="minorHAnsi"/>
                <w:sz w:val="20"/>
                <w:szCs w:val="20"/>
              </w:rPr>
              <w:t>13,221</w:t>
            </w:r>
          </w:p>
        </w:tc>
        <w:tc>
          <w:tcPr>
            <w:tcW w:w="1675" w:type="dxa"/>
          </w:tcPr>
          <w:p w:rsidR="00DB31ED" w:rsidRPr="00861A34" w:rsidRDefault="002E468C" w:rsidP="004E430C">
            <w:pPr>
              <w:jc w:val="center"/>
              <w:rPr>
                <w:rFonts w:ascii="Palatino Linotype" w:hAnsi="Palatino Linotype" w:cstheme="minorHAnsi"/>
                <w:sz w:val="20"/>
                <w:szCs w:val="20"/>
              </w:rPr>
            </w:pPr>
            <w:r w:rsidRPr="00861A34">
              <w:rPr>
                <w:rFonts w:ascii="Palatino Linotype" w:hAnsi="Palatino Linotype" w:cstheme="minorHAnsi"/>
                <w:sz w:val="20"/>
                <w:szCs w:val="20"/>
              </w:rPr>
              <w:t>2</w:t>
            </w:r>
            <w:r w:rsidR="00EF07FD" w:rsidRPr="00861A34">
              <w:rPr>
                <w:rFonts w:ascii="Palatino Linotype" w:hAnsi="Palatino Linotype" w:cstheme="minorHAnsi"/>
                <w:sz w:val="20"/>
                <w:szCs w:val="20"/>
              </w:rPr>
              <w:t>,</w:t>
            </w:r>
            <w:r w:rsidRPr="00861A34">
              <w:rPr>
                <w:rFonts w:ascii="Palatino Linotype" w:hAnsi="Palatino Linotype" w:cstheme="minorHAnsi"/>
                <w:sz w:val="20"/>
                <w:szCs w:val="20"/>
              </w:rPr>
              <w:t>204</w:t>
            </w:r>
          </w:p>
        </w:tc>
      </w:tr>
      <w:tr w:rsidR="00DB31ED" w:rsidRPr="00861A34" w:rsidTr="007A4671">
        <w:trPr>
          <w:trHeight w:val="288"/>
        </w:trPr>
        <w:tc>
          <w:tcPr>
            <w:tcW w:w="2030" w:type="dxa"/>
            <w:shd w:val="clear" w:color="auto" w:fill="A6A6A6" w:themeFill="background1" w:themeFillShade="A6"/>
          </w:tcPr>
          <w:p w:rsidR="00DB31ED" w:rsidRPr="00861A34" w:rsidRDefault="00707AFA" w:rsidP="004E430C">
            <w:pPr>
              <w:jc w:val="center"/>
              <w:rPr>
                <w:rFonts w:ascii="Palatino Linotype" w:hAnsi="Palatino Linotype" w:cstheme="minorHAnsi"/>
                <w:b/>
                <w:bCs/>
                <w:sz w:val="20"/>
                <w:szCs w:val="20"/>
              </w:rPr>
            </w:pPr>
            <w:r>
              <w:rPr>
                <w:rFonts w:ascii="Palatino Linotype" w:hAnsi="Palatino Linotype" w:cstheme="minorHAnsi"/>
                <w:sz w:val="20"/>
                <w:szCs w:val="20"/>
              </w:rPr>
              <w:t>On-</w:t>
            </w:r>
            <w:r w:rsidR="00DB31ED" w:rsidRPr="00861A34">
              <w:rPr>
                <w:rFonts w:ascii="Palatino Linotype" w:hAnsi="Palatino Linotype" w:cstheme="minorHAnsi"/>
                <w:sz w:val="20"/>
                <w:szCs w:val="20"/>
              </w:rPr>
              <w:t>Campus Gas and Diesel</w:t>
            </w:r>
          </w:p>
        </w:tc>
        <w:tc>
          <w:tcPr>
            <w:tcW w:w="2136" w:type="dxa"/>
            <w:shd w:val="clear" w:color="auto" w:fill="A6A6A6" w:themeFill="background1" w:themeFillShade="A6"/>
          </w:tcPr>
          <w:p w:rsidR="00DB31ED" w:rsidRPr="00861A34" w:rsidRDefault="00C7333A" w:rsidP="00861A34">
            <w:pPr>
              <w:jc w:val="center"/>
              <w:rPr>
                <w:rFonts w:ascii="Palatino Linotype" w:hAnsi="Palatino Linotype" w:cstheme="minorHAnsi"/>
                <w:sz w:val="20"/>
                <w:szCs w:val="20"/>
              </w:rPr>
            </w:pPr>
            <w:r>
              <w:rPr>
                <w:rFonts w:ascii="Palatino Linotype" w:hAnsi="Palatino Linotype" w:cstheme="minorHAnsi"/>
                <w:sz w:val="20"/>
                <w:szCs w:val="20"/>
              </w:rPr>
              <w:t>Miles</w:t>
            </w:r>
          </w:p>
        </w:tc>
        <w:tc>
          <w:tcPr>
            <w:tcW w:w="1767" w:type="dxa"/>
            <w:shd w:val="clear" w:color="auto" w:fill="A6A6A6" w:themeFill="background1" w:themeFillShade="A6"/>
          </w:tcPr>
          <w:p w:rsidR="00DB31ED" w:rsidRPr="00861A34" w:rsidRDefault="00C7333A" w:rsidP="00861A34">
            <w:pPr>
              <w:jc w:val="center"/>
              <w:rPr>
                <w:rFonts w:ascii="Palatino Linotype" w:hAnsi="Palatino Linotype" w:cstheme="minorHAnsi"/>
                <w:sz w:val="20"/>
                <w:szCs w:val="20"/>
              </w:rPr>
            </w:pPr>
            <w:r>
              <w:rPr>
                <w:rFonts w:ascii="Palatino Linotype" w:hAnsi="Palatino Linotype" w:cstheme="minorHAnsi"/>
                <w:sz w:val="20"/>
                <w:szCs w:val="20"/>
              </w:rPr>
              <w:t>Gallons</w:t>
            </w:r>
          </w:p>
        </w:tc>
        <w:tc>
          <w:tcPr>
            <w:tcW w:w="1968" w:type="dxa"/>
            <w:shd w:val="clear" w:color="auto" w:fill="A6A6A6" w:themeFill="background1" w:themeFillShade="A6"/>
          </w:tcPr>
          <w:p w:rsidR="00DB31ED" w:rsidRPr="00861A34" w:rsidRDefault="00C7333A" w:rsidP="004E430C">
            <w:pPr>
              <w:jc w:val="center"/>
              <w:rPr>
                <w:rFonts w:ascii="Palatino Linotype" w:hAnsi="Palatino Linotype" w:cstheme="minorHAnsi"/>
                <w:sz w:val="20"/>
                <w:szCs w:val="20"/>
              </w:rPr>
            </w:pPr>
            <w:r>
              <w:rPr>
                <w:rFonts w:ascii="Palatino Linotype" w:hAnsi="Palatino Linotype" w:cstheme="minorHAnsi"/>
                <w:sz w:val="20"/>
                <w:szCs w:val="20"/>
              </w:rPr>
              <w:t>Miles</w:t>
            </w:r>
          </w:p>
        </w:tc>
        <w:tc>
          <w:tcPr>
            <w:tcW w:w="1675" w:type="dxa"/>
            <w:shd w:val="clear" w:color="auto" w:fill="A6A6A6" w:themeFill="background1" w:themeFillShade="A6"/>
          </w:tcPr>
          <w:p w:rsidR="00DB31ED" w:rsidRPr="00861A34" w:rsidRDefault="00C7333A" w:rsidP="004E430C">
            <w:pPr>
              <w:jc w:val="center"/>
              <w:rPr>
                <w:rFonts w:ascii="Palatino Linotype" w:hAnsi="Palatino Linotype" w:cstheme="minorHAnsi"/>
                <w:sz w:val="20"/>
                <w:szCs w:val="20"/>
              </w:rPr>
            </w:pPr>
            <w:r>
              <w:rPr>
                <w:rFonts w:ascii="Palatino Linotype" w:hAnsi="Palatino Linotype" w:cstheme="minorHAnsi"/>
                <w:sz w:val="20"/>
                <w:szCs w:val="20"/>
              </w:rPr>
              <w:t>Gallons</w:t>
            </w:r>
          </w:p>
        </w:tc>
      </w:tr>
      <w:tr w:rsidR="00DB31ED" w:rsidRPr="00861A34" w:rsidTr="007A4671">
        <w:trPr>
          <w:trHeight w:val="288"/>
        </w:trPr>
        <w:tc>
          <w:tcPr>
            <w:tcW w:w="2030" w:type="dxa"/>
          </w:tcPr>
          <w:p w:rsidR="00DB31ED" w:rsidRPr="00861A34" w:rsidRDefault="00DB31ED" w:rsidP="004E430C">
            <w:pPr>
              <w:jc w:val="center"/>
              <w:rPr>
                <w:rFonts w:ascii="Palatino Linotype" w:hAnsi="Palatino Linotype" w:cstheme="minorHAnsi"/>
                <w:b/>
                <w:bCs/>
                <w:sz w:val="20"/>
                <w:szCs w:val="20"/>
              </w:rPr>
            </w:pPr>
            <w:r w:rsidRPr="00861A34">
              <w:rPr>
                <w:rFonts w:ascii="Palatino Linotype" w:hAnsi="Palatino Linotype" w:cstheme="minorHAnsi"/>
                <w:sz w:val="20"/>
                <w:szCs w:val="20"/>
              </w:rPr>
              <w:t>Gasoline</w:t>
            </w:r>
          </w:p>
        </w:tc>
        <w:tc>
          <w:tcPr>
            <w:tcW w:w="2136" w:type="dxa"/>
          </w:tcPr>
          <w:p w:rsidR="00DB31ED" w:rsidRPr="00861A34" w:rsidRDefault="00C7333A" w:rsidP="00861A34">
            <w:pPr>
              <w:jc w:val="center"/>
              <w:rPr>
                <w:rFonts w:ascii="Palatino Linotype" w:hAnsi="Palatino Linotype" w:cstheme="minorHAnsi"/>
                <w:sz w:val="20"/>
                <w:szCs w:val="20"/>
              </w:rPr>
            </w:pPr>
            <w:r>
              <w:rPr>
                <w:rFonts w:ascii="Palatino Linotype" w:hAnsi="Palatino Linotype" w:cstheme="minorHAnsi"/>
                <w:sz w:val="20"/>
                <w:szCs w:val="20"/>
              </w:rPr>
              <w:t>---</w:t>
            </w:r>
          </w:p>
        </w:tc>
        <w:tc>
          <w:tcPr>
            <w:tcW w:w="1767" w:type="dxa"/>
          </w:tcPr>
          <w:p w:rsidR="004B2466" w:rsidRPr="004B2466" w:rsidRDefault="004B2466" w:rsidP="004B2466">
            <w:pPr>
              <w:jc w:val="center"/>
              <w:rPr>
                <w:rFonts w:ascii="Palatino Linotype" w:hAnsi="Palatino Linotype" w:cstheme="minorHAnsi"/>
                <w:sz w:val="20"/>
                <w:szCs w:val="20"/>
              </w:rPr>
            </w:pPr>
            <w:r w:rsidRPr="004B2466">
              <w:rPr>
                <w:rFonts w:ascii="Palatino Linotype" w:hAnsi="Palatino Linotype" w:cstheme="minorHAnsi"/>
                <w:sz w:val="20"/>
                <w:szCs w:val="20"/>
              </w:rPr>
              <w:t>32,645</w:t>
            </w:r>
          </w:p>
        </w:tc>
        <w:tc>
          <w:tcPr>
            <w:tcW w:w="1968" w:type="dxa"/>
          </w:tcPr>
          <w:p w:rsidR="00DB31ED" w:rsidRPr="00861A34" w:rsidRDefault="00C7333A" w:rsidP="004E430C">
            <w:pPr>
              <w:jc w:val="center"/>
              <w:rPr>
                <w:rFonts w:ascii="Palatino Linotype" w:hAnsi="Palatino Linotype" w:cstheme="minorHAnsi"/>
                <w:sz w:val="20"/>
                <w:szCs w:val="20"/>
              </w:rPr>
            </w:pPr>
            <w:r>
              <w:rPr>
                <w:rFonts w:ascii="Palatino Linotype" w:hAnsi="Palatino Linotype" w:cstheme="minorHAnsi"/>
                <w:sz w:val="20"/>
                <w:szCs w:val="20"/>
              </w:rPr>
              <w:t>---</w:t>
            </w:r>
          </w:p>
        </w:tc>
        <w:tc>
          <w:tcPr>
            <w:tcW w:w="1675" w:type="dxa"/>
          </w:tcPr>
          <w:p w:rsidR="00DB31ED" w:rsidRPr="00861A34" w:rsidRDefault="00EF07FD" w:rsidP="004E430C">
            <w:pPr>
              <w:jc w:val="center"/>
              <w:rPr>
                <w:rFonts w:ascii="Palatino Linotype" w:hAnsi="Palatino Linotype" w:cstheme="minorHAnsi"/>
                <w:sz w:val="20"/>
                <w:szCs w:val="20"/>
              </w:rPr>
            </w:pPr>
            <w:r w:rsidRPr="00861A34">
              <w:rPr>
                <w:rFonts w:ascii="Palatino Linotype" w:hAnsi="Palatino Linotype" w:cstheme="minorHAnsi"/>
                <w:sz w:val="20"/>
                <w:szCs w:val="20"/>
              </w:rPr>
              <w:t>18,253</w:t>
            </w:r>
          </w:p>
        </w:tc>
      </w:tr>
      <w:tr w:rsidR="00DB31ED" w:rsidRPr="00861A34" w:rsidTr="007A4671">
        <w:trPr>
          <w:trHeight w:val="288"/>
        </w:trPr>
        <w:tc>
          <w:tcPr>
            <w:tcW w:w="2030" w:type="dxa"/>
          </w:tcPr>
          <w:p w:rsidR="00DB31ED" w:rsidRPr="00861A34" w:rsidRDefault="00DB31ED" w:rsidP="002F6AB1">
            <w:pPr>
              <w:jc w:val="center"/>
              <w:rPr>
                <w:rFonts w:ascii="Palatino Linotype" w:hAnsi="Palatino Linotype" w:cstheme="minorHAnsi"/>
                <w:sz w:val="20"/>
                <w:szCs w:val="20"/>
              </w:rPr>
            </w:pPr>
            <w:r w:rsidRPr="00861A34">
              <w:rPr>
                <w:rFonts w:ascii="Palatino Linotype" w:hAnsi="Palatino Linotype" w:cstheme="minorHAnsi"/>
                <w:sz w:val="20"/>
                <w:szCs w:val="20"/>
              </w:rPr>
              <w:t>Diesel</w:t>
            </w:r>
          </w:p>
        </w:tc>
        <w:tc>
          <w:tcPr>
            <w:tcW w:w="2136" w:type="dxa"/>
          </w:tcPr>
          <w:p w:rsidR="00DB31ED" w:rsidRPr="00861A34" w:rsidRDefault="00C7333A" w:rsidP="00861A34">
            <w:pPr>
              <w:jc w:val="center"/>
              <w:rPr>
                <w:rFonts w:ascii="Palatino Linotype" w:hAnsi="Palatino Linotype" w:cstheme="minorHAnsi"/>
                <w:sz w:val="20"/>
                <w:szCs w:val="20"/>
              </w:rPr>
            </w:pPr>
            <w:r>
              <w:rPr>
                <w:rFonts w:ascii="Palatino Linotype" w:hAnsi="Palatino Linotype" w:cstheme="minorHAnsi"/>
                <w:sz w:val="20"/>
                <w:szCs w:val="20"/>
              </w:rPr>
              <w:t>---</w:t>
            </w:r>
          </w:p>
        </w:tc>
        <w:tc>
          <w:tcPr>
            <w:tcW w:w="1767" w:type="dxa"/>
          </w:tcPr>
          <w:p w:rsidR="00DB31ED" w:rsidRPr="004B2466" w:rsidRDefault="004B2466" w:rsidP="00861A34">
            <w:pPr>
              <w:jc w:val="center"/>
              <w:rPr>
                <w:rFonts w:ascii="Palatino Linotype" w:hAnsi="Palatino Linotype" w:cstheme="minorHAnsi"/>
                <w:sz w:val="20"/>
                <w:szCs w:val="20"/>
              </w:rPr>
            </w:pPr>
            <w:r w:rsidRPr="004B2466">
              <w:rPr>
                <w:rFonts w:ascii="Palatino Linotype" w:hAnsi="Palatino Linotype" w:cstheme="minorHAnsi"/>
                <w:sz w:val="20"/>
                <w:szCs w:val="20"/>
              </w:rPr>
              <w:t>3,559</w:t>
            </w:r>
          </w:p>
        </w:tc>
        <w:tc>
          <w:tcPr>
            <w:tcW w:w="1968" w:type="dxa"/>
          </w:tcPr>
          <w:p w:rsidR="00DB31ED" w:rsidRPr="00861A34" w:rsidRDefault="00C7333A" w:rsidP="004E430C">
            <w:pPr>
              <w:jc w:val="center"/>
              <w:rPr>
                <w:rFonts w:ascii="Palatino Linotype" w:hAnsi="Palatino Linotype" w:cstheme="minorHAnsi"/>
                <w:sz w:val="20"/>
                <w:szCs w:val="20"/>
              </w:rPr>
            </w:pPr>
            <w:r>
              <w:rPr>
                <w:rFonts w:ascii="Palatino Linotype" w:hAnsi="Palatino Linotype" w:cstheme="minorHAnsi"/>
                <w:sz w:val="20"/>
                <w:szCs w:val="20"/>
              </w:rPr>
              <w:t>---</w:t>
            </w:r>
          </w:p>
        </w:tc>
        <w:tc>
          <w:tcPr>
            <w:tcW w:w="1675" w:type="dxa"/>
          </w:tcPr>
          <w:p w:rsidR="00DB31ED" w:rsidRPr="00861A34" w:rsidRDefault="00EF07FD" w:rsidP="004E430C">
            <w:pPr>
              <w:jc w:val="center"/>
              <w:rPr>
                <w:rFonts w:ascii="Palatino Linotype" w:hAnsi="Palatino Linotype" w:cstheme="minorHAnsi"/>
                <w:sz w:val="20"/>
                <w:szCs w:val="20"/>
              </w:rPr>
            </w:pPr>
            <w:r w:rsidRPr="00861A34">
              <w:rPr>
                <w:rFonts w:ascii="Palatino Linotype" w:hAnsi="Palatino Linotype" w:cstheme="minorHAnsi"/>
                <w:sz w:val="20"/>
                <w:szCs w:val="20"/>
              </w:rPr>
              <w:t>15,556</w:t>
            </w:r>
          </w:p>
        </w:tc>
      </w:tr>
    </w:tbl>
    <w:p w:rsidR="004E430C" w:rsidRPr="00861A34" w:rsidRDefault="004E430C" w:rsidP="004E430C">
      <w:pPr>
        <w:tabs>
          <w:tab w:val="left" w:pos="8085"/>
        </w:tabs>
        <w:rPr>
          <w:rFonts w:ascii="Palatino Linotype" w:hAnsi="Palatino Linotype"/>
        </w:rPr>
      </w:pPr>
      <w:r w:rsidRPr="00861A34">
        <w:rPr>
          <w:rFonts w:ascii="Palatino Linotype" w:hAnsi="Palatino Linotype"/>
        </w:rPr>
        <w:tab/>
      </w:r>
    </w:p>
    <w:p w:rsidR="00483F9E" w:rsidRPr="00861A34" w:rsidRDefault="00483F9E" w:rsidP="00483F9E">
      <w:pPr>
        <w:pStyle w:val="Heading2"/>
        <w:ind w:left="0"/>
        <w:rPr>
          <w:rFonts w:ascii="Palatino Linotype" w:hAnsi="Palatino Linotype"/>
          <w:smallCaps/>
          <w:sz w:val="22"/>
          <w:szCs w:val="22"/>
        </w:rPr>
      </w:pPr>
      <w:r w:rsidRPr="00861A34">
        <w:rPr>
          <w:rFonts w:ascii="Palatino Linotype" w:hAnsi="Palatino Linotype"/>
          <w:smallCaps/>
          <w:sz w:val="22"/>
          <w:szCs w:val="22"/>
        </w:rPr>
        <w:t>Air Travel and Business Travel</w:t>
      </w:r>
    </w:p>
    <w:p w:rsidR="00483F9E" w:rsidRPr="00861A34" w:rsidRDefault="00483F9E" w:rsidP="00483F9E">
      <w:pPr>
        <w:spacing w:after="0"/>
        <w:rPr>
          <w:rFonts w:ascii="Palatino Linotype" w:hAnsi="Palatino Linotype"/>
        </w:rPr>
      </w:pPr>
      <w:r w:rsidRPr="00861A34">
        <w:rPr>
          <w:rFonts w:ascii="Palatino Linotype" w:hAnsi="Palatino Linotype"/>
        </w:rPr>
        <w:t>The air miles from admissions were div</w:t>
      </w:r>
      <w:r w:rsidR="00707AFA">
        <w:rPr>
          <w:rFonts w:ascii="Palatino Linotype" w:hAnsi="Palatino Linotype"/>
        </w:rPr>
        <w:t>ided by two</w:t>
      </w:r>
      <w:r w:rsidRPr="00861A34">
        <w:rPr>
          <w:rFonts w:ascii="Palatino Linotype" w:hAnsi="Palatino Linotype"/>
        </w:rPr>
        <w:t xml:space="preserve"> as half are attributed to the College of Saint Benedict.</w:t>
      </w:r>
      <w:r w:rsidR="00707AFA">
        <w:rPr>
          <w:rFonts w:ascii="Palatino Linotype" w:hAnsi="Palatino Linotype"/>
        </w:rPr>
        <w:t xml:space="preserve"> </w:t>
      </w:r>
      <w:r w:rsidRPr="00861A34">
        <w:rPr>
          <w:rFonts w:ascii="Palatino Linotype" w:hAnsi="Palatino Linotype"/>
        </w:rPr>
        <w:t xml:space="preserve"> Staff travel miles were not divided by two as these miles solely account for Saint John’s staff.  In a change from previous inventories, emissions from study abroad and Alternative Break Experience (ABE) trips were reported by gender allowing us to include only SJU students in this report.  This increases our accuracy and also decreased emissions since the majority of ABE and study abroad trips are CSB students. </w:t>
      </w:r>
    </w:p>
    <w:p w:rsidR="00483F9E" w:rsidRPr="00861A34" w:rsidRDefault="00483F9E" w:rsidP="00483F9E">
      <w:pPr>
        <w:spacing w:after="0"/>
        <w:rPr>
          <w:rFonts w:ascii="Palatino Linotype" w:hAnsi="Palatino Linotype"/>
        </w:rPr>
      </w:pPr>
    </w:p>
    <w:p w:rsidR="00BB6BB5" w:rsidRPr="00861A34" w:rsidRDefault="00483F9E" w:rsidP="00244CF3">
      <w:pPr>
        <w:spacing w:after="120" w:line="300" w:lineRule="auto"/>
        <w:rPr>
          <w:rFonts w:ascii="Palatino Linotype" w:hAnsi="Palatino Linotype"/>
        </w:rPr>
      </w:pPr>
      <w:r w:rsidRPr="00861A34">
        <w:rPr>
          <w:rFonts w:ascii="Palatino Linotype" w:hAnsi="Palatino Linotype"/>
        </w:rPr>
        <w:t>Personal miles for on campus vehicles are not included nor are the vehicle miles reimbursed by CSB.  A protocol was initiated in 2008 requiring employees to write in the number of miles traveling by air and by car.  A significant drop was seen in the number of miles reported by air travel in FY 2010 and rebound</w:t>
      </w:r>
      <w:r w:rsidR="00244CF3">
        <w:rPr>
          <w:rFonts w:ascii="Palatino Linotype" w:hAnsi="Palatino Linotype"/>
        </w:rPr>
        <w:t xml:space="preserve">ed in FY2011.  </w:t>
      </w:r>
    </w:p>
    <w:p w:rsidR="00836464" w:rsidRPr="00861A34" w:rsidRDefault="00DE25E8" w:rsidP="00244CF3">
      <w:pPr>
        <w:pStyle w:val="Heading2"/>
        <w:spacing w:after="120" w:line="300" w:lineRule="auto"/>
        <w:ind w:left="0"/>
        <w:rPr>
          <w:rFonts w:ascii="Palatino Linotype" w:hAnsi="Palatino Linotype"/>
          <w:smallCaps/>
          <w:sz w:val="22"/>
          <w:szCs w:val="22"/>
        </w:rPr>
      </w:pPr>
      <w:r>
        <w:rPr>
          <w:rFonts w:ascii="Palatino Linotype" w:hAnsi="Palatino Linotype"/>
          <w:smallCaps/>
          <w:sz w:val="22"/>
          <w:szCs w:val="22"/>
        </w:rPr>
        <w:t xml:space="preserve">Student and Employee </w:t>
      </w:r>
      <w:r w:rsidR="002810E7" w:rsidRPr="00861A34">
        <w:rPr>
          <w:rFonts w:ascii="Palatino Linotype" w:hAnsi="Palatino Linotype"/>
          <w:smallCaps/>
          <w:sz w:val="22"/>
          <w:szCs w:val="22"/>
        </w:rPr>
        <w:t>Commuting</w:t>
      </w:r>
    </w:p>
    <w:p w:rsidR="002C6F4A" w:rsidRDefault="002810E7" w:rsidP="00244CF3">
      <w:pPr>
        <w:spacing w:after="120" w:line="300" w:lineRule="auto"/>
        <w:rPr>
          <w:rFonts w:ascii="Palatino Linotype" w:hAnsi="Palatino Linotype"/>
        </w:rPr>
      </w:pPr>
      <w:r w:rsidRPr="00861A34">
        <w:rPr>
          <w:rFonts w:ascii="Palatino Linotype" w:hAnsi="Palatino Linotype"/>
        </w:rPr>
        <w:t>Commuting</w:t>
      </w:r>
      <w:r w:rsidR="00BB6BB5" w:rsidRPr="00861A34">
        <w:rPr>
          <w:rFonts w:ascii="Palatino Linotype" w:hAnsi="Palatino Linotype"/>
        </w:rPr>
        <w:t xml:space="preserve"> i</w:t>
      </w:r>
      <w:r w:rsidR="002C6F4A">
        <w:rPr>
          <w:rFonts w:ascii="Palatino Linotype" w:hAnsi="Palatino Linotype"/>
        </w:rPr>
        <w:t>s broken up into two categories:</w:t>
      </w:r>
      <w:r w:rsidR="00BB6BB5" w:rsidRPr="00861A34">
        <w:rPr>
          <w:rFonts w:ascii="Palatino Linotype" w:hAnsi="Palatino Linotype"/>
        </w:rPr>
        <w:t xml:space="preserve"> </w:t>
      </w:r>
      <w:r w:rsidR="002C6F4A">
        <w:rPr>
          <w:rFonts w:ascii="Palatino Linotype" w:hAnsi="Palatino Linotype"/>
        </w:rPr>
        <w:t>employee</w:t>
      </w:r>
      <w:r w:rsidR="00BB6BB5" w:rsidRPr="00861A34">
        <w:rPr>
          <w:rFonts w:ascii="Palatino Linotype" w:hAnsi="Palatino Linotype"/>
        </w:rPr>
        <w:t xml:space="preserve"> and </w:t>
      </w:r>
      <w:r w:rsidR="002C6F4A">
        <w:rPr>
          <w:rFonts w:ascii="Palatino Linotype" w:hAnsi="Palatino Linotype"/>
        </w:rPr>
        <w:t>student commuting</w:t>
      </w:r>
      <w:r w:rsidR="00BB6BB5" w:rsidRPr="00861A34">
        <w:rPr>
          <w:rFonts w:ascii="Palatino Linotype" w:hAnsi="Palatino Linotype"/>
        </w:rPr>
        <w:t xml:space="preserve">.  </w:t>
      </w:r>
      <w:r w:rsidR="002C6F4A">
        <w:rPr>
          <w:rFonts w:ascii="Palatino Linotype" w:hAnsi="Palatino Linotype"/>
        </w:rPr>
        <w:t>Employee commuting miles were calculated using data from Human Resources.  A list of SJU employees’ home zip codes was obtained.  Using Google Maps, the driving distances between SJU’s zip code, 56321, and the employees’ zip code was calculated</w:t>
      </w:r>
      <w:r w:rsidR="00483F9E">
        <w:rPr>
          <w:rFonts w:ascii="Palatino Linotype" w:hAnsi="Palatino Linotype"/>
        </w:rPr>
        <w:t xml:space="preserve"> to the nearest 0.1 mile</w:t>
      </w:r>
      <w:r w:rsidR="002C6F4A">
        <w:rPr>
          <w:rFonts w:ascii="Palatino Linotype" w:hAnsi="Palatino Linotype"/>
        </w:rPr>
        <w:t xml:space="preserve">.  </w:t>
      </w:r>
      <w:r w:rsidR="00483F9E">
        <w:rPr>
          <w:rFonts w:ascii="Palatino Linotype" w:hAnsi="Palatino Linotype"/>
        </w:rPr>
        <w:t xml:space="preserve">The shortest route by travel time, not the shortest distance, was used in the calculation as this is the route which people would be most likely to take. </w:t>
      </w:r>
      <w:r w:rsidR="00707AFA">
        <w:rPr>
          <w:rFonts w:ascii="Palatino Linotype" w:hAnsi="Palatino Linotype"/>
        </w:rPr>
        <w:t xml:space="preserve"> </w:t>
      </w:r>
      <w:r w:rsidR="00483F9E">
        <w:rPr>
          <w:rFonts w:ascii="Palatino Linotype" w:hAnsi="Palatino Linotype"/>
        </w:rPr>
        <w:t>Assumptions had to be made about how many trips were taken by each employee during the course of FY2014.  It was assumed that full-time employees travel to and from campus five times per week and part-time employees travel to three times per week.  Assuming that employees travel to campus all 52 weeks of the year, an upper limit estimate can be generated.  This technique for estimating employee commuting does not take carpooling into consideration either, so actual commuting miles are likely lower than they are reported.</w:t>
      </w:r>
    </w:p>
    <w:p w:rsidR="00483F9E" w:rsidRDefault="002C6F4A" w:rsidP="00244CF3">
      <w:pPr>
        <w:spacing w:after="120" w:line="300" w:lineRule="auto"/>
        <w:rPr>
          <w:rFonts w:ascii="Palatino Linotype" w:hAnsi="Palatino Linotype"/>
        </w:rPr>
      </w:pPr>
      <w:r>
        <w:rPr>
          <w:rFonts w:ascii="Palatino Linotype" w:hAnsi="Palatino Linotype"/>
        </w:rPr>
        <w:lastRenderedPageBreak/>
        <w:t xml:space="preserve">In terms of student commuting, there is nothing to indicate </w:t>
      </w:r>
      <w:r w:rsidRPr="002C6F4A">
        <w:rPr>
          <w:rFonts w:ascii="Palatino Linotype" w:hAnsi="Palatino Linotype"/>
        </w:rPr>
        <w:t xml:space="preserve">that student commuting behavior has changed since </w:t>
      </w:r>
      <w:r>
        <w:rPr>
          <w:rFonts w:ascii="Palatino Linotype" w:hAnsi="Palatino Linotype"/>
        </w:rPr>
        <w:t>SJU’s</w:t>
      </w:r>
      <w:r w:rsidRPr="002C6F4A">
        <w:rPr>
          <w:rFonts w:ascii="Palatino Linotype" w:hAnsi="Palatino Linotype"/>
        </w:rPr>
        <w:t xml:space="preserve"> 2011 GHG inventory.</w:t>
      </w:r>
      <w:r>
        <w:rPr>
          <w:rFonts w:ascii="Palatino Linotype" w:hAnsi="Palatino Linotype"/>
        </w:rPr>
        <w:t xml:space="preserve">  </w:t>
      </w:r>
      <w:r w:rsidRPr="002C6F4A">
        <w:rPr>
          <w:rFonts w:ascii="Palatino Linotype" w:hAnsi="Palatino Linotype"/>
        </w:rPr>
        <w:t xml:space="preserve">For this reason, </w:t>
      </w:r>
      <w:r>
        <w:rPr>
          <w:rFonts w:ascii="Palatino Linotype" w:hAnsi="Palatino Linotype"/>
        </w:rPr>
        <w:t>d</w:t>
      </w:r>
      <w:r w:rsidRPr="002C6F4A">
        <w:rPr>
          <w:rFonts w:ascii="Palatino Linotype" w:hAnsi="Palatino Linotype"/>
        </w:rPr>
        <w:t xml:space="preserve">ata for commuted miles driven in the 2011 inventory </w:t>
      </w:r>
      <w:r>
        <w:rPr>
          <w:rFonts w:ascii="Palatino Linotype" w:hAnsi="Palatino Linotype"/>
        </w:rPr>
        <w:t>was taken and used to calculate</w:t>
      </w:r>
      <w:r w:rsidRPr="002C6F4A">
        <w:rPr>
          <w:rFonts w:ascii="Palatino Linotype" w:hAnsi="Palatino Linotype"/>
        </w:rPr>
        <w:t xml:space="preserve"> the </w:t>
      </w:r>
      <w:r>
        <w:rPr>
          <w:rFonts w:ascii="Palatino Linotype" w:hAnsi="Palatino Linotype"/>
        </w:rPr>
        <w:t xml:space="preserve">average number of </w:t>
      </w:r>
      <w:r w:rsidRPr="002C6F4A">
        <w:rPr>
          <w:rFonts w:ascii="Palatino Linotype" w:hAnsi="Palatino Linotype"/>
        </w:rPr>
        <w:t>miles</w:t>
      </w:r>
      <w:r>
        <w:rPr>
          <w:rFonts w:ascii="Palatino Linotype" w:hAnsi="Palatino Linotype"/>
        </w:rPr>
        <w:t xml:space="preserve"> </w:t>
      </w:r>
      <w:r w:rsidRPr="002C6F4A">
        <w:rPr>
          <w:rFonts w:ascii="Palatino Linotype" w:hAnsi="Palatino Linotype"/>
        </w:rPr>
        <w:t>driven per full-time enrol</w:t>
      </w:r>
      <w:r>
        <w:rPr>
          <w:rFonts w:ascii="Palatino Linotype" w:hAnsi="Palatino Linotype"/>
        </w:rPr>
        <w:t>lment.</w:t>
      </w:r>
      <w:r w:rsidR="00707AFA">
        <w:rPr>
          <w:rFonts w:ascii="Palatino Linotype" w:hAnsi="Palatino Linotype"/>
        </w:rPr>
        <w:t xml:space="preserve"> </w:t>
      </w:r>
      <w:r>
        <w:rPr>
          <w:rFonts w:ascii="Palatino Linotype" w:hAnsi="Palatino Linotype"/>
        </w:rPr>
        <w:t xml:space="preserve"> FTE was calculated using </w:t>
      </w:r>
      <w:r w:rsidRPr="002C6F4A">
        <w:rPr>
          <w:rFonts w:ascii="Palatino Linotype" w:hAnsi="Palatino Linotype"/>
        </w:rPr>
        <w:t xml:space="preserve">a value of 1 for full-time SJU students and </w:t>
      </w:r>
      <w:r>
        <w:rPr>
          <w:rFonts w:ascii="Palatino Linotype" w:hAnsi="Palatino Linotype"/>
        </w:rPr>
        <w:t>0</w:t>
      </w:r>
      <w:r w:rsidRPr="002C6F4A">
        <w:rPr>
          <w:rFonts w:ascii="Palatino Linotype" w:hAnsi="Palatino Linotype"/>
        </w:rPr>
        <w:t>.5 for</w:t>
      </w:r>
      <w:r>
        <w:rPr>
          <w:rFonts w:ascii="Palatino Linotype" w:hAnsi="Palatino Linotype"/>
        </w:rPr>
        <w:t xml:space="preserve"> </w:t>
      </w:r>
      <w:r w:rsidRPr="002C6F4A">
        <w:rPr>
          <w:rFonts w:ascii="Palatino Linotype" w:hAnsi="Palatino Linotype"/>
        </w:rPr>
        <w:t xml:space="preserve">part-time students. </w:t>
      </w:r>
      <w:r w:rsidR="00707AFA">
        <w:rPr>
          <w:rFonts w:ascii="Palatino Linotype" w:hAnsi="Palatino Linotype"/>
        </w:rPr>
        <w:t xml:space="preserve"> </w:t>
      </w:r>
      <w:r w:rsidRPr="002C6F4A">
        <w:rPr>
          <w:rFonts w:ascii="Palatino Linotype" w:hAnsi="Palatino Linotype"/>
        </w:rPr>
        <w:t xml:space="preserve">The </w:t>
      </w:r>
      <w:r>
        <w:rPr>
          <w:rFonts w:ascii="Palatino Linotype" w:hAnsi="Palatino Linotype"/>
        </w:rPr>
        <w:t xml:space="preserve">miles per </w:t>
      </w:r>
      <w:r w:rsidRPr="002C6F4A">
        <w:rPr>
          <w:rFonts w:ascii="Palatino Linotype" w:hAnsi="Palatino Linotype"/>
        </w:rPr>
        <w:t>FTE figure was then multiplied by the</w:t>
      </w:r>
      <w:r>
        <w:rPr>
          <w:rFonts w:ascii="Palatino Linotype" w:hAnsi="Palatino Linotype"/>
        </w:rPr>
        <w:t xml:space="preserve"> </w:t>
      </w:r>
      <w:r w:rsidRPr="002C6F4A">
        <w:rPr>
          <w:rFonts w:ascii="Palatino Linotype" w:hAnsi="Palatino Linotype"/>
        </w:rPr>
        <w:t xml:space="preserve">number of FTE </w:t>
      </w:r>
      <w:r>
        <w:rPr>
          <w:rFonts w:ascii="Palatino Linotype" w:hAnsi="Palatino Linotype"/>
        </w:rPr>
        <w:t>in</w:t>
      </w:r>
      <w:r w:rsidRPr="002C6F4A">
        <w:rPr>
          <w:rFonts w:ascii="Palatino Linotype" w:hAnsi="Palatino Linotype"/>
        </w:rPr>
        <w:t xml:space="preserve"> </w:t>
      </w:r>
      <w:r>
        <w:rPr>
          <w:rFonts w:ascii="Palatino Linotype" w:hAnsi="Palatino Linotype"/>
        </w:rPr>
        <w:t>FY</w:t>
      </w:r>
      <w:r w:rsidRPr="002C6F4A">
        <w:rPr>
          <w:rFonts w:ascii="Palatino Linotype" w:hAnsi="Palatino Linotype"/>
        </w:rPr>
        <w:t>2014.</w:t>
      </w:r>
      <w:r w:rsidR="00707AFA">
        <w:rPr>
          <w:rFonts w:ascii="Palatino Linotype" w:hAnsi="Palatino Linotype"/>
        </w:rPr>
        <w:t xml:space="preserve"> </w:t>
      </w:r>
      <w:r w:rsidRPr="002C6F4A">
        <w:rPr>
          <w:rFonts w:ascii="Palatino Linotype" w:hAnsi="Palatino Linotype"/>
        </w:rPr>
        <w:t xml:space="preserve"> This</w:t>
      </w:r>
      <w:r>
        <w:rPr>
          <w:rFonts w:ascii="Palatino Linotype" w:hAnsi="Palatino Linotype"/>
        </w:rPr>
        <w:t xml:space="preserve"> calculation maintains the same </w:t>
      </w:r>
      <w:r w:rsidRPr="002C6F4A">
        <w:rPr>
          <w:rFonts w:ascii="Palatino Linotype" w:hAnsi="Palatino Linotype"/>
        </w:rPr>
        <w:t>amount of driving per studen</w:t>
      </w:r>
      <w:r>
        <w:rPr>
          <w:rFonts w:ascii="Palatino Linotype" w:hAnsi="Palatino Linotype"/>
        </w:rPr>
        <w:t xml:space="preserve">t, but adjusts commuting miles </w:t>
      </w:r>
      <w:r w:rsidRPr="002C6F4A">
        <w:rPr>
          <w:rFonts w:ascii="Palatino Linotype" w:hAnsi="Palatino Linotype"/>
        </w:rPr>
        <w:t>driven to account for changes in enrollment from year to year.</w:t>
      </w:r>
    </w:p>
    <w:p w:rsidR="00483F9E" w:rsidRPr="00861A34" w:rsidRDefault="00483F9E" w:rsidP="00244CF3">
      <w:pPr>
        <w:pStyle w:val="Heading2"/>
        <w:spacing w:after="120" w:line="300" w:lineRule="auto"/>
        <w:ind w:left="0"/>
        <w:rPr>
          <w:rFonts w:ascii="Palatino Linotype" w:hAnsi="Palatino Linotype"/>
          <w:smallCaps/>
          <w:sz w:val="22"/>
          <w:szCs w:val="22"/>
        </w:rPr>
      </w:pPr>
      <w:r>
        <w:rPr>
          <w:rFonts w:ascii="Palatino Linotype" w:hAnsi="Palatino Linotype"/>
          <w:smallCaps/>
          <w:sz w:val="22"/>
          <w:szCs w:val="22"/>
        </w:rPr>
        <w:t>LINK Busing</w:t>
      </w:r>
    </w:p>
    <w:p w:rsidR="00244CF3" w:rsidRDefault="00981511" w:rsidP="00244CF3">
      <w:pPr>
        <w:spacing w:after="120" w:line="300" w:lineRule="auto"/>
        <w:rPr>
          <w:rFonts w:ascii="Palatino Linotype" w:hAnsi="Palatino Linotype"/>
        </w:rPr>
      </w:pPr>
      <w:r w:rsidRPr="00861A34">
        <w:rPr>
          <w:rFonts w:ascii="Palatino Linotype" w:hAnsi="Palatino Linotype"/>
        </w:rPr>
        <w:t>The L</w:t>
      </w:r>
      <w:r>
        <w:rPr>
          <w:rFonts w:ascii="Palatino Linotype" w:hAnsi="Palatino Linotype"/>
        </w:rPr>
        <w:t>INK is the shuttle bus which transfers students</w:t>
      </w:r>
      <w:r w:rsidRPr="00861A34">
        <w:rPr>
          <w:rFonts w:ascii="Palatino Linotype" w:hAnsi="Palatino Linotype"/>
        </w:rPr>
        <w:t xml:space="preserve"> between the </w:t>
      </w:r>
      <w:r>
        <w:rPr>
          <w:rFonts w:ascii="Palatino Linotype" w:hAnsi="Palatino Linotype"/>
        </w:rPr>
        <w:t xml:space="preserve">campuses of the </w:t>
      </w:r>
      <w:r w:rsidRPr="00861A34">
        <w:rPr>
          <w:rFonts w:ascii="Palatino Linotype" w:hAnsi="Palatino Linotype"/>
        </w:rPr>
        <w:t>College of Saint Benedict and Saint John’s University</w:t>
      </w:r>
      <w:r>
        <w:rPr>
          <w:rFonts w:ascii="Palatino Linotype" w:hAnsi="Palatino Linotype"/>
        </w:rPr>
        <w:t>.</w:t>
      </w:r>
      <w:r w:rsidRPr="00861A34">
        <w:rPr>
          <w:rFonts w:ascii="Palatino Linotype" w:hAnsi="Palatino Linotype"/>
        </w:rPr>
        <w:t xml:space="preserve"> </w:t>
      </w:r>
      <w:r>
        <w:rPr>
          <w:rFonts w:ascii="Palatino Linotype" w:hAnsi="Palatino Linotype"/>
        </w:rPr>
        <w:t xml:space="preserve"> The LINK is currently the only bus service which is used by students for this purpose.  In past years, additional buses were used from Trobec’s busing service.  Trobec’s buses have not been used since CSB and SJU switched to a five day class schedule with staggered class times.  The LINK buses use two fuels: diesel and liquid propane gas (LPG).  According to the CSB Transportation Department, 29,152 gallons of diesel and 10,565 gallons of LPG.  </w:t>
      </w:r>
      <w:r w:rsidR="00244CF3">
        <w:rPr>
          <w:rFonts w:ascii="Palatino Linotype" w:hAnsi="Palatino Linotype"/>
        </w:rPr>
        <w:t>Because the LINK is used roughly equally by both CSB and SJU, these figures were divided by two.  The portion of LINK bus fuel attributable to Saint John’s is 14,576</w:t>
      </w:r>
      <w:r w:rsidRPr="00861A34">
        <w:rPr>
          <w:rFonts w:ascii="Palatino Linotype" w:hAnsi="Palatino Linotype"/>
        </w:rPr>
        <w:t xml:space="preserve"> </w:t>
      </w:r>
      <w:r w:rsidR="00244CF3">
        <w:rPr>
          <w:rFonts w:ascii="Palatino Linotype" w:hAnsi="Palatino Linotype"/>
        </w:rPr>
        <w:t>gallons of diesel and 5282.5 gallons of propane.</w:t>
      </w:r>
      <w:r w:rsidRPr="00861A34">
        <w:rPr>
          <w:rFonts w:ascii="Palatino Linotype" w:hAnsi="Palatino Linotype"/>
        </w:rPr>
        <w:t xml:space="preserve"> </w:t>
      </w:r>
      <w:r w:rsidR="00244CF3">
        <w:rPr>
          <w:rFonts w:ascii="Palatino Linotype" w:hAnsi="Palatino Linotype"/>
        </w:rPr>
        <w:t xml:space="preserve"> To enter this data into the CA-CP calculator, propane had to be entered into the “Other” category.  It also needed to be converted from gallons into MMBtu.  To do this, the number of gallons was multiplied by 91,330 and then divided by 1,000,000.  This conversion is based on data provided by the US Department of Energy stating that one gallon of propane equals 91,330 Btu.</w:t>
      </w:r>
    </w:p>
    <w:p w:rsidR="00483F9E" w:rsidRPr="00861A34" w:rsidRDefault="00707AFA" w:rsidP="00244CF3">
      <w:pPr>
        <w:pStyle w:val="Heading2"/>
        <w:spacing w:after="120" w:line="300" w:lineRule="auto"/>
        <w:ind w:left="0"/>
        <w:rPr>
          <w:rFonts w:ascii="Palatino Linotype" w:hAnsi="Palatino Linotype"/>
          <w:smallCaps/>
          <w:sz w:val="22"/>
          <w:szCs w:val="22"/>
        </w:rPr>
      </w:pPr>
      <w:r>
        <w:rPr>
          <w:rFonts w:ascii="Palatino Linotype" w:hAnsi="Palatino Linotype"/>
          <w:smallCaps/>
          <w:sz w:val="22"/>
          <w:szCs w:val="22"/>
        </w:rPr>
        <w:t>On-</w:t>
      </w:r>
      <w:r w:rsidR="00483F9E">
        <w:rPr>
          <w:rFonts w:ascii="Palatino Linotype" w:hAnsi="Palatino Linotype"/>
          <w:smallCaps/>
          <w:sz w:val="22"/>
          <w:szCs w:val="22"/>
        </w:rPr>
        <w:t>Campus Gasoline</w:t>
      </w:r>
      <w:r>
        <w:rPr>
          <w:rFonts w:ascii="Palatino Linotype" w:hAnsi="Palatino Linotype"/>
          <w:smallCaps/>
          <w:sz w:val="22"/>
          <w:szCs w:val="22"/>
        </w:rPr>
        <w:t xml:space="preserve"> and Diesel</w:t>
      </w:r>
    </w:p>
    <w:p w:rsidR="00244CF3" w:rsidRPr="00861A34" w:rsidRDefault="00244CF3" w:rsidP="00244CF3">
      <w:pPr>
        <w:spacing w:after="0"/>
        <w:rPr>
          <w:rFonts w:ascii="Palatino Linotype" w:hAnsi="Palatino Linotype"/>
        </w:rPr>
      </w:pPr>
      <w:r w:rsidRPr="00861A34">
        <w:rPr>
          <w:rFonts w:ascii="Palatino Linotype" w:hAnsi="Palatino Linotype"/>
        </w:rPr>
        <w:t xml:space="preserve">The gallons </w:t>
      </w:r>
      <w:r w:rsidR="00707AFA">
        <w:rPr>
          <w:rFonts w:ascii="Palatino Linotype" w:hAnsi="Palatino Linotype"/>
        </w:rPr>
        <w:t xml:space="preserve">of gasoline and diesel </w:t>
      </w:r>
      <w:r w:rsidRPr="00861A34">
        <w:rPr>
          <w:rFonts w:ascii="Palatino Linotype" w:hAnsi="Palatino Linotype"/>
        </w:rPr>
        <w:t>used directly on Saint John’s campus, such as fuel for Life Safety vehicles,</w:t>
      </w:r>
      <w:r w:rsidR="00BE50AB">
        <w:rPr>
          <w:rFonts w:ascii="Palatino Linotype" w:hAnsi="Palatino Linotype"/>
        </w:rPr>
        <w:t xml:space="preserve"> the</w:t>
      </w:r>
      <w:r w:rsidRPr="00861A34">
        <w:rPr>
          <w:rFonts w:ascii="Palatino Linotype" w:hAnsi="Palatino Linotype"/>
        </w:rPr>
        <w:t xml:space="preserve"> grounds equipment, </w:t>
      </w:r>
      <w:r w:rsidR="00BE50AB">
        <w:rPr>
          <w:rFonts w:ascii="Palatino Linotype" w:hAnsi="Palatino Linotype"/>
        </w:rPr>
        <w:t xml:space="preserve">the </w:t>
      </w:r>
      <w:r w:rsidRPr="00861A34">
        <w:rPr>
          <w:rFonts w:ascii="Palatino Linotype" w:hAnsi="Palatino Linotype"/>
        </w:rPr>
        <w:t xml:space="preserve">power house, and </w:t>
      </w:r>
      <w:r w:rsidR="00BE50AB">
        <w:rPr>
          <w:rFonts w:ascii="Palatino Linotype" w:hAnsi="Palatino Linotype"/>
        </w:rPr>
        <w:t>other university-owned and operated vehicles</w:t>
      </w:r>
      <w:r w:rsidRPr="00861A34">
        <w:rPr>
          <w:rFonts w:ascii="Palatino Linotype" w:hAnsi="Palatino Linotype"/>
        </w:rPr>
        <w:t xml:space="preserve"> is included</w:t>
      </w:r>
      <w:r w:rsidR="00707AFA">
        <w:rPr>
          <w:rFonts w:ascii="Palatino Linotype" w:hAnsi="Palatino Linotype"/>
        </w:rPr>
        <w:t xml:space="preserve"> in Table 7</w:t>
      </w:r>
      <w:r w:rsidRPr="00861A34">
        <w:rPr>
          <w:rFonts w:ascii="Palatino Linotype" w:hAnsi="Palatino Linotype"/>
        </w:rPr>
        <w:t>.</w:t>
      </w:r>
      <w:r w:rsidR="002E43D0">
        <w:rPr>
          <w:rFonts w:ascii="Palatino Linotype" w:hAnsi="Palatino Linotype"/>
        </w:rPr>
        <w:t xml:space="preserve">  The data provided to the Office of Sustainability pertaining to this fuel usage included both fuel used for university operations and for other entities which s</w:t>
      </w:r>
      <w:r w:rsidR="00BE50AB">
        <w:rPr>
          <w:rFonts w:ascii="Palatino Linotype" w:hAnsi="Palatino Linotype"/>
        </w:rPr>
        <w:t>hare space with the university.  To separate the portion of fuel consumption which is attributable only to the university, the data was multiplied by 68.85 percent.</w:t>
      </w:r>
    </w:p>
    <w:p w:rsidR="00483F9E" w:rsidRPr="00861A34" w:rsidRDefault="00483F9E" w:rsidP="00BB6BB5">
      <w:pPr>
        <w:spacing w:after="0"/>
        <w:rPr>
          <w:rFonts w:ascii="Palatino Linotype" w:hAnsi="Palatino Linotype"/>
        </w:rPr>
      </w:pPr>
    </w:p>
    <w:p w:rsidR="00A953C9" w:rsidRPr="00861A34" w:rsidRDefault="00A953C9" w:rsidP="00A953C9">
      <w:pPr>
        <w:pStyle w:val="Heading2"/>
        <w:spacing w:after="120"/>
        <w:ind w:left="0"/>
        <w:rPr>
          <w:rFonts w:ascii="Palatino Linotype" w:hAnsi="Palatino Linotype"/>
          <w:smallCaps/>
          <w:sz w:val="22"/>
          <w:szCs w:val="22"/>
        </w:rPr>
      </w:pPr>
      <w:r w:rsidRPr="00861A34">
        <w:rPr>
          <w:rFonts w:ascii="Palatino Linotype" w:hAnsi="Palatino Linotype"/>
          <w:smallCaps/>
        </w:rPr>
        <w:t>Wastewater</w:t>
      </w:r>
      <w:r w:rsidR="00483F9E">
        <w:rPr>
          <w:rFonts w:ascii="Palatino Linotype" w:hAnsi="Palatino Linotype"/>
          <w:smallCaps/>
        </w:rPr>
        <w:t xml:space="preserve"> Treatment</w:t>
      </w:r>
    </w:p>
    <w:p w:rsidR="00BB6BB5" w:rsidRPr="00861A34" w:rsidRDefault="00325C88" w:rsidP="003B2A7C">
      <w:pPr>
        <w:pStyle w:val="BodyText2"/>
        <w:ind w:left="0"/>
        <w:jc w:val="center"/>
        <w:rPr>
          <w:rFonts w:ascii="Palatino Linotype" w:hAnsi="Palatino Linotype"/>
          <w:b/>
        </w:rPr>
      </w:pPr>
      <w:r w:rsidRPr="00861A34">
        <w:rPr>
          <w:rFonts w:ascii="Palatino Linotype" w:hAnsi="Palatino Linotype"/>
          <w:b/>
        </w:rPr>
        <w:t xml:space="preserve">Table 8: </w:t>
      </w:r>
      <w:r w:rsidR="00664CBB" w:rsidRPr="00861A34">
        <w:rPr>
          <w:rFonts w:ascii="Palatino Linotype" w:hAnsi="Palatino Linotype"/>
          <w:b/>
        </w:rPr>
        <w:t>G</w:t>
      </w:r>
      <w:r w:rsidR="00C9065F">
        <w:rPr>
          <w:rFonts w:ascii="Palatino Linotype" w:hAnsi="Palatino Linotype"/>
          <w:b/>
        </w:rPr>
        <w:t>allons of W</w:t>
      </w:r>
      <w:r w:rsidRPr="00861A34">
        <w:rPr>
          <w:rFonts w:ascii="Palatino Linotype" w:hAnsi="Palatino Linotype"/>
          <w:b/>
        </w:rPr>
        <w:t>astewate</w:t>
      </w:r>
      <w:r w:rsidR="00C9065F">
        <w:rPr>
          <w:rFonts w:ascii="Palatino Linotype" w:hAnsi="Palatino Linotype"/>
          <w:b/>
        </w:rPr>
        <w:t>r D</w:t>
      </w:r>
      <w:r w:rsidRPr="00861A34">
        <w:rPr>
          <w:rFonts w:ascii="Palatino Linotype" w:hAnsi="Palatino Linotype"/>
          <w:b/>
        </w:rPr>
        <w:t>isposed</w:t>
      </w:r>
      <w:r w:rsidR="00780EDD" w:rsidRPr="00861A34">
        <w:rPr>
          <w:rFonts w:ascii="Palatino Linotype" w:hAnsi="Palatino Linotype"/>
          <w:b/>
        </w:rPr>
        <w:t xml:space="preserve"> 201</w:t>
      </w:r>
      <w:r w:rsidR="00C9065F">
        <w:rPr>
          <w:rFonts w:ascii="Palatino Linotype" w:hAnsi="Palatino Linotype"/>
          <w:b/>
        </w:rPr>
        <w:t>4</w:t>
      </w:r>
      <w:r w:rsidR="00780EDD" w:rsidRPr="00861A34">
        <w:rPr>
          <w:rFonts w:ascii="Palatino Linotype" w:hAnsi="Palatino Linotype"/>
          <w:b/>
        </w:rPr>
        <w:t xml:space="preserve"> and 2011</w:t>
      </w:r>
    </w:p>
    <w:tbl>
      <w:tblPr>
        <w:tblStyle w:val="TableGrid"/>
        <w:tblW w:w="0" w:type="auto"/>
        <w:tblLook w:val="04A0" w:firstRow="1" w:lastRow="0" w:firstColumn="1" w:lastColumn="0" w:noHBand="0" w:noVBand="1"/>
      </w:tblPr>
      <w:tblGrid>
        <w:gridCol w:w="3118"/>
        <w:gridCol w:w="3116"/>
        <w:gridCol w:w="3116"/>
      </w:tblGrid>
      <w:tr w:rsidR="007F7EB5" w:rsidRPr="00861A34" w:rsidTr="00E03B4C">
        <w:trPr>
          <w:trHeight w:val="288"/>
        </w:trPr>
        <w:tc>
          <w:tcPr>
            <w:tcW w:w="3192" w:type="dxa"/>
            <w:shd w:val="clear" w:color="auto" w:fill="000000" w:themeFill="text1"/>
          </w:tcPr>
          <w:p w:rsidR="004E430C" w:rsidRPr="00861A34" w:rsidRDefault="004E430C">
            <w:pPr>
              <w:jc w:val="center"/>
              <w:rPr>
                <w:rFonts w:ascii="Palatino Linotype" w:hAnsi="Palatino Linotype"/>
                <w:b/>
                <w:bCs/>
                <w:sz w:val="20"/>
                <w:szCs w:val="20"/>
              </w:rPr>
            </w:pPr>
          </w:p>
        </w:tc>
        <w:tc>
          <w:tcPr>
            <w:tcW w:w="3192" w:type="dxa"/>
            <w:shd w:val="clear" w:color="auto" w:fill="000000" w:themeFill="text1"/>
          </w:tcPr>
          <w:p w:rsidR="004E430C" w:rsidRPr="00861A34" w:rsidRDefault="00C167C5" w:rsidP="00C9065F">
            <w:pPr>
              <w:jc w:val="center"/>
              <w:rPr>
                <w:rFonts w:ascii="Palatino Linotype" w:hAnsi="Palatino Linotype"/>
                <w:b/>
                <w:bCs/>
                <w:sz w:val="20"/>
                <w:szCs w:val="20"/>
              </w:rPr>
            </w:pPr>
            <w:r w:rsidRPr="00861A34">
              <w:rPr>
                <w:rFonts w:ascii="Palatino Linotype" w:hAnsi="Palatino Linotype"/>
                <w:sz w:val="20"/>
                <w:szCs w:val="20"/>
              </w:rPr>
              <w:t>201</w:t>
            </w:r>
            <w:r w:rsidR="00C9065F">
              <w:rPr>
                <w:rFonts w:ascii="Palatino Linotype" w:hAnsi="Palatino Linotype"/>
                <w:sz w:val="20"/>
                <w:szCs w:val="20"/>
              </w:rPr>
              <w:t>4</w:t>
            </w:r>
            <w:r w:rsidR="007F7EB5" w:rsidRPr="00861A34">
              <w:rPr>
                <w:rFonts w:ascii="Palatino Linotype" w:hAnsi="Palatino Linotype"/>
                <w:sz w:val="20"/>
                <w:szCs w:val="20"/>
              </w:rPr>
              <w:t xml:space="preserve"> (Gallons)</w:t>
            </w:r>
          </w:p>
        </w:tc>
        <w:tc>
          <w:tcPr>
            <w:tcW w:w="3192" w:type="dxa"/>
            <w:shd w:val="clear" w:color="auto" w:fill="000000" w:themeFill="text1"/>
          </w:tcPr>
          <w:p w:rsidR="004E430C" w:rsidRPr="00861A34" w:rsidRDefault="00C167C5">
            <w:pPr>
              <w:jc w:val="center"/>
              <w:rPr>
                <w:rFonts w:ascii="Palatino Linotype" w:hAnsi="Palatino Linotype"/>
                <w:b/>
                <w:bCs/>
                <w:sz w:val="20"/>
                <w:szCs w:val="20"/>
              </w:rPr>
            </w:pPr>
            <w:r w:rsidRPr="00861A34">
              <w:rPr>
                <w:rFonts w:ascii="Palatino Linotype" w:hAnsi="Palatino Linotype"/>
                <w:sz w:val="20"/>
                <w:szCs w:val="20"/>
              </w:rPr>
              <w:t>2011</w:t>
            </w:r>
            <w:r w:rsidR="007F7EB5" w:rsidRPr="00861A34">
              <w:rPr>
                <w:rFonts w:ascii="Palatino Linotype" w:hAnsi="Palatino Linotype"/>
                <w:sz w:val="20"/>
                <w:szCs w:val="20"/>
              </w:rPr>
              <w:t xml:space="preserve"> (Gallons)</w:t>
            </w:r>
          </w:p>
        </w:tc>
      </w:tr>
      <w:tr w:rsidR="00372E8B" w:rsidRPr="00861A34" w:rsidTr="00861A34">
        <w:trPr>
          <w:trHeight w:val="350"/>
        </w:trPr>
        <w:tc>
          <w:tcPr>
            <w:tcW w:w="3192" w:type="dxa"/>
          </w:tcPr>
          <w:p w:rsidR="00372E8B" w:rsidRPr="00861A34" w:rsidRDefault="00372E8B">
            <w:pPr>
              <w:jc w:val="center"/>
              <w:rPr>
                <w:rFonts w:ascii="Palatino Linotype" w:hAnsi="Palatino Linotype"/>
                <w:b/>
                <w:bCs/>
                <w:sz w:val="20"/>
                <w:szCs w:val="20"/>
              </w:rPr>
            </w:pPr>
            <w:r w:rsidRPr="00861A34">
              <w:rPr>
                <w:rFonts w:ascii="Palatino Linotype" w:hAnsi="Palatino Linotype"/>
                <w:b/>
                <w:sz w:val="20"/>
                <w:szCs w:val="20"/>
              </w:rPr>
              <w:t>University</w:t>
            </w:r>
          </w:p>
        </w:tc>
        <w:tc>
          <w:tcPr>
            <w:tcW w:w="3192" w:type="dxa"/>
          </w:tcPr>
          <w:p w:rsidR="00372E8B" w:rsidRPr="003E01DA" w:rsidRDefault="003E01DA" w:rsidP="00780EDD">
            <w:pPr>
              <w:jc w:val="center"/>
              <w:rPr>
                <w:rFonts w:ascii="Palatino Linotype" w:hAnsi="Palatino Linotype"/>
                <w:b/>
                <w:sz w:val="20"/>
                <w:szCs w:val="20"/>
              </w:rPr>
            </w:pPr>
            <w:r w:rsidRPr="003E01DA">
              <w:rPr>
                <w:rFonts w:ascii="Palatino Linotype" w:hAnsi="Palatino Linotype"/>
                <w:b/>
                <w:sz w:val="20"/>
                <w:szCs w:val="20"/>
              </w:rPr>
              <w:t>25,481,385</w:t>
            </w:r>
          </w:p>
        </w:tc>
        <w:tc>
          <w:tcPr>
            <w:tcW w:w="3192" w:type="dxa"/>
            <w:vAlign w:val="bottom"/>
          </w:tcPr>
          <w:p w:rsidR="00372E8B" w:rsidRPr="003E01DA" w:rsidRDefault="00780EDD" w:rsidP="00372E8B">
            <w:pPr>
              <w:jc w:val="center"/>
              <w:rPr>
                <w:rFonts w:ascii="Palatino Linotype" w:hAnsi="Palatino Linotype"/>
                <w:b/>
                <w:sz w:val="20"/>
                <w:szCs w:val="20"/>
              </w:rPr>
            </w:pPr>
            <w:r w:rsidRPr="003E01DA">
              <w:rPr>
                <w:rFonts w:ascii="Palatino Linotype" w:hAnsi="Palatino Linotype"/>
                <w:b/>
                <w:sz w:val="20"/>
                <w:szCs w:val="20"/>
              </w:rPr>
              <w:t>34,837,343</w:t>
            </w:r>
          </w:p>
        </w:tc>
      </w:tr>
      <w:tr w:rsidR="00372E8B" w:rsidRPr="00861A34" w:rsidTr="00861A34">
        <w:trPr>
          <w:trHeight w:val="350"/>
        </w:trPr>
        <w:tc>
          <w:tcPr>
            <w:tcW w:w="3192" w:type="dxa"/>
          </w:tcPr>
          <w:p w:rsidR="00372E8B" w:rsidRPr="00861A34" w:rsidRDefault="00372E8B" w:rsidP="00664CBB">
            <w:pPr>
              <w:jc w:val="center"/>
              <w:rPr>
                <w:rFonts w:ascii="Palatino Linotype" w:hAnsi="Palatino Linotype"/>
                <w:b/>
                <w:bCs/>
                <w:sz w:val="20"/>
                <w:szCs w:val="20"/>
              </w:rPr>
            </w:pPr>
            <w:r w:rsidRPr="00861A34">
              <w:rPr>
                <w:rFonts w:ascii="Palatino Linotype" w:hAnsi="Palatino Linotype"/>
                <w:sz w:val="20"/>
                <w:szCs w:val="20"/>
              </w:rPr>
              <w:lastRenderedPageBreak/>
              <w:t>Other</w:t>
            </w:r>
          </w:p>
        </w:tc>
        <w:tc>
          <w:tcPr>
            <w:tcW w:w="3192" w:type="dxa"/>
          </w:tcPr>
          <w:p w:rsidR="003E01DA" w:rsidRPr="003E01DA" w:rsidRDefault="003E01DA" w:rsidP="003E01DA">
            <w:pPr>
              <w:jc w:val="center"/>
              <w:rPr>
                <w:rFonts w:ascii="Palatino Linotype" w:hAnsi="Palatino Linotype"/>
                <w:sz w:val="20"/>
                <w:szCs w:val="20"/>
              </w:rPr>
            </w:pPr>
            <w:r w:rsidRPr="003E01DA">
              <w:rPr>
                <w:rFonts w:ascii="Palatino Linotype" w:hAnsi="Palatino Linotype"/>
                <w:sz w:val="20"/>
                <w:szCs w:val="20"/>
              </w:rPr>
              <w:t>11,528,615</w:t>
            </w:r>
          </w:p>
        </w:tc>
        <w:tc>
          <w:tcPr>
            <w:tcW w:w="3192" w:type="dxa"/>
            <w:vAlign w:val="bottom"/>
          </w:tcPr>
          <w:p w:rsidR="00372E8B" w:rsidRPr="003E01DA" w:rsidRDefault="00372E8B" w:rsidP="00372E8B">
            <w:pPr>
              <w:jc w:val="center"/>
              <w:rPr>
                <w:rFonts w:ascii="Palatino Linotype" w:hAnsi="Palatino Linotype" w:cs="Calibri"/>
                <w:color w:val="000000"/>
                <w:sz w:val="20"/>
                <w:szCs w:val="20"/>
              </w:rPr>
            </w:pPr>
            <w:r w:rsidRPr="003E01DA">
              <w:rPr>
                <w:rFonts w:ascii="Palatino Linotype" w:hAnsi="Palatino Linotype" w:cs="Calibri"/>
                <w:color w:val="000000"/>
                <w:sz w:val="20"/>
                <w:szCs w:val="20"/>
              </w:rPr>
              <w:t>14,042,657</w:t>
            </w:r>
          </w:p>
        </w:tc>
      </w:tr>
      <w:tr w:rsidR="00372E8B" w:rsidRPr="00861A34" w:rsidTr="00664CBB">
        <w:trPr>
          <w:trHeight w:val="350"/>
        </w:trPr>
        <w:tc>
          <w:tcPr>
            <w:tcW w:w="3192" w:type="dxa"/>
          </w:tcPr>
          <w:p w:rsidR="00372E8B" w:rsidRPr="00861A34" w:rsidRDefault="00372E8B">
            <w:pPr>
              <w:jc w:val="center"/>
              <w:rPr>
                <w:rFonts w:ascii="Palatino Linotype" w:hAnsi="Palatino Linotype"/>
                <w:b/>
                <w:bCs/>
                <w:sz w:val="20"/>
                <w:szCs w:val="20"/>
              </w:rPr>
            </w:pPr>
            <w:r w:rsidRPr="00861A34">
              <w:rPr>
                <w:rFonts w:ascii="Palatino Linotype" w:hAnsi="Palatino Linotype"/>
                <w:sz w:val="20"/>
                <w:szCs w:val="20"/>
              </w:rPr>
              <w:t>Total</w:t>
            </w:r>
          </w:p>
        </w:tc>
        <w:tc>
          <w:tcPr>
            <w:tcW w:w="3192" w:type="dxa"/>
          </w:tcPr>
          <w:p w:rsidR="00372E8B" w:rsidRPr="003E01DA" w:rsidRDefault="003E01DA" w:rsidP="00861A34">
            <w:pPr>
              <w:jc w:val="center"/>
              <w:rPr>
                <w:rFonts w:ascii="Palatino Linotype" w:hAnsi="Palatino Linotype"/>
                <w:sz w:val="20"/>
                <w:szCs w:val="20"/>
              </w:rPr>
            </w:pPr>
            <w:r w:rsidRPr="003E01DA">
              <w:rPr>
                <w:rFonts w:ascii="Palatino Linotype" w:hAnsi="Palatino Linotype"/>
                <w:sz w:val="20"/>
                <w:szCs w:val="20"/>
              </w:rPr>
              <w:t>37,010,000</w:t>
            </w:r>
          </w:p>
        </w:tc>
        <w:tc>
          <w:tcPr>
            <w:tcW w:w="3192" w:type="dxa"/>
          </w:tcPr>
          <w:p w:rsidR="00372E8B" w:rsidRPr="003E01DA" w:rsidRDefault="00372E8B">
            <w:pPr>
              <w:jc w:val="center"/>
              <w:rPr>
                <w:rFonts w:ascii="Palatino Linotype" w:hAnsi="Palatino Linotype"/>
                <w:sz w:val="20"/>
                <w:szCs w:val="20"/>
              </w:rPr>
            </w:pPr>
            <w:r w:rsidRPr="003E01DA">
              <w:rPr>
                <w:rFonts w:ascii="Palatino Linotype" w:hAnsi="Palatino Linotype"/>
                <w:sz w:val="20"/>
                <w:szCs w:val="20"/>
              </w:rPr>
              <w:t>48,880,000</w:t>
            </w:r>
          </w:p>
        </w:tc>
      </w:tr>
    </w:tbl>
    <w:p w:rsidR="007F7EB5" w:rsidRPr="00861A34" w:rsidRDefault="007F7EB5" w:rsidP="00BB6BB5">
      <w:pPr>
        <w:spacing w:after="0"/>
        <w:rPr>
          <w:rFonts w:ascii="Palatino Linotype" w:hAnsi="Palatino Linotype"/>
        </w:rPr>
      </w:pPr>
    </w:p>
    <w:p w:rsidR="007B594E" w:rsidRPr="00861A34" w:rsidRDefault="007B594E" w:rsidP="00057846">
      <w:pPr>
        <w:rPr>
          <w:rFonts w:ascii="Palatino Linotype" w:hAnsi="Palatino Linotype"/>
        </w:rPr>
      </w:pPr>
      <w:r w:rsidRPr="00861A34">
        <w:rPr>
          <w:rFonts w:ascii="Palatino Linotype" w:hAnsi="Palatino Linotype"/>
        </w:rPr>
        <w:t xml:space="preserve">Wastewater generated on campus is processed by </w:t>
      </w:r>
      <w:r w:rsidR="003E6888" w:rsidRPr="00861A34">
        <w:rPr>
          <w:rFonts w:ascii="Palatino Linotype" w:hAnsi="Palatino Linotype"/>
        </w:rPr>
        <w:t>Saint John’s Wastewater Treatment P</w:t>
      </w:r>
      <w:r w:rsidR="00406830" w:rsidRPr="00861A34">
        <w:rPr>
          <w:rFonts w:ascii="Palatino Linotype" w:hAnsi="Palatino Linotype"/>
        </w:rPr>
        <w:t>lant and is overseen by Paul Stock and Gary Jorgenson</w:t>
      </w:r>
      <w:r w:rsidR="00057846">
        <w:rPr>
          <w:rFonts w:ascii="Palatino Linotype" w:hAnsi="Palatino Linotype"/>
        </w:rPr>
        <w:t xml:space="preserve">.  </w:t>
      </w:r>
    </w:p>
    <w:p w:rsidR="00BB6BB5" w:rsidRPr="00861A34" w:rsidRDefault="00325C88" w:rsidP="00BB6BB5">
      <w:pPr>
        <w:spacing w:after="0"/>
        <w:rPr>
          <w:rFonts w:ascii="Palatino Linotype" w:hAnsi="Palatino Linotype"/>
        </w:rPr>
      </w:pPr>
      <w:r w:rsidRPr="00861A34">
        <w:rPr>
          <w:rFonts w:ascii="Palatino Linotype" w:hAnsi="Palatino Linotype"/>
        </w:rPr>
        <w:t xml:space="preserve">Table 8 outlines the estimated gallons of wastewater disposed.  </w:t>
      </w:r>
      <w:r w:rsidR="005964C8">
        <w:rPr>
          <w:rFonts w:ascii="Palatino Linotype" w:hAnsi="Palatino Linotype"/>
        </w:rPr>
        <w:t>Wastewater treatment accounted for 19.1 MT</w:t>
      </w:r>
      <w:r w:rsidR="005964C8" w:rsidRPr="00861A34">
        <w:rPr>
          <w:rFonts w:ascii="Palatino Linotype" w:hAnsi="Palatino Linotype"/>
        </w:rPr>
        <w:t xml:space="preserve"> </w:t>
      </w:r>
      <w:r w:rsidR="005964C8" w:rsidRPr="005964C8">
        <w:rPr>
          <w:rFonts w:ascii="Palatino Linotype" w:hAnsi="Palatino Linotype"/>
        </w:rPr>
        <w:t>eCO2</w:t>
      </w:r>
      <w:r w:rsidR="005964C8">
        <w:rPr>
          <w:rFonts w:ascii="Palatino Linotype" w:hAnsi="Palatino Linotype"/>
        </w:rPr>
        <w:t xml:space="preserve"> </w:t>
      </w:r>
      <w:r w:rsidR="005964C8" w:rsidRPr="005964C8">
        <w:rPr>
          <w:rFonts w:ascii="Palatino Linotype" w:hAnsi="Palatino Linotype"/>
        </w:rPr>
        <w:t>during</w:t>
      </w:r>
      <w:r w:rsidR="005964C8">
        <w:rPr>
          <w:rFonts w:ascii="Palatino Linotype" w:hAnsi="Palatino Linotype"/>
        </w:rPr>
        <w:t xml:space="preserve"> FY2014.  </w:t>
      </w:r>
      <w:r w:rsidR="00BB6BB5" w:rsidRPr="00861A34">
        <w:rPr>
          <w:rFonts w:ascii="Palatino Linotype" w:hAnsi="Palatino Linotype"/>
        </w:rPr>
        <w:t>T</w:t>
      </w:r>
      <w:r w:rsidR="00406830" w:rsidRPr="00861A34">
        <w:rPr>
          <w:rFonts w:ascii="Palatino Linotype" w:hAnsi="Palatino Linotype"/>
        </w:rPr>
        <w:t>he total number of gallons of w</w:t>
      </w:r>
      <w:r w:rsidR="002F6AB1" w:rsidRPr="00861A34">
        <w:rPr>
          <w:rFonts w:ascii="Palatino Linotype" w:hAnsi="Palatino Linotype"/>
        </w:rPr>
        <w:t xml:space="preserve">astewater is multiplied by </w:t>
      </w:r>
      <w:r w:rsidR="00C9065F">
        <w:rPr>
          <w:rFonts w:ascii="Palatino Linotype" w:hAnsi="Palatino Linotype"/>
        </w:rPr>
        <w:t>68.85</w:t>
      </w:r>
      <w:r w:rsidR="00406830" w:rsidRPr="00861A34">
        <w:rPr>
          <w:rFonts w:ascii="Palatino Linotype" w:hAnsi="Palatino Linotype"/>
        </w:rPr>
        <w:t xml:space="preserve">% as that is the amount of square footage </w:t>
      </w:r>
      <w:r w:rsidR="00C9065F">
        <w:rPr>
          <w:rFonts w:ascii="Palatino Linotype" w:hAnsi="Palatino Linotype"/>
        </w:rPr>
        <w:t>which</w:t>
      </w:r>
      <w:r w:rsidR="00406830" w:rsidRPr="00861A34">
        <w:rPr>
          <w:rFonts w:ascii="Palatino Linotype" w:hAnsi="Palatino Linotype"/>
        </w:rPr>
        <w:t xml:space="preserve"> is attributed to St. John’s University.  A </w:t>
      </w:r>
      <w:r w:rsidR="00C9065F">
        <w:rPr>
          <w:rFonts w:ascii="Palatino Linotype" w:hAnsi="Palatino Linotype"/>
        </w:rPr>
        <w:t xml:space="preserve">potentially </w:t>
      </w:r>
      <w:r w:rsidR="00406830" w:rsidRPr="00861A34">
        <w:rPr>
          <w:rFonts w:ascii="Palatino Linotype" w:hAnsi="Palatino Linotype"/>
        </w:rPr>
        <w:t xml:space="preserve">more accurate </w:t>
      </w:r>
      <w:r w:rsidR="00C9065F">
        <w:rPr>
          <w:rFonts w:ascii="Palatino Linotype" w:hAnsi="Palatino Linotype"/>
        </w:rPr>
        <w:t>estimate</w:t>
      </w:r>
      <w:r w:rsidR="00406830" w:rsidRPr="00861A34">
        <w:rPr>
          <w:rFonts w:ascii="Palatino Linotype" w:hAnsi="Palatino Linotype"/>
        </w:rPr>
        <w:t xml:space="preserve"> </w:t>
      </w:r>
      <w:r w:rsidR="00C9065F">
        <w:rPr>
          <w:rFonts w:ascii="Palatino Linotype" w:hAnsi="Palatino Linotype"/>
        </w:rPr>
        <w:t>could theoretically</w:t>
      </w:r>
      <w:r w:rsidR="00406830" w:rsidRPr="00861A34">
        <w:rPr>
          <w:rFonts w:ascii="Palatino Linotype" w:hAnsi="Palatino Linotype"/>
        </w:rPr>
        <w:t xml:space="preserve"> be deri</w:t>
      </w:r>
      <w:r w:rsidR="00C9065F">
        <w:rPr>
          <w:rFonts w:ascii="Palatino Linotype" w:hAnsi="Palatino Linotype"/>
        </w:rPr>
        <w:t>ved based on people and guests.  Since</w:t>
      </w:r>
      <w:r w:rsidR="00406830" w:rsidRPr="00861A34">
        <w:rPr>
          <w:rFonts w:ascii="Palatino Linotype" w:hAnsi="Palatino Linotype"/>
        </w:rPr>
        <w:t xml:space="preserve"> wastewater is a relatively minor component </w:t>
      </w:r>
      <w:r w:rsidR="00C9065F">
        <w:rPr>
          <w:rFonts w:ascii="Palatino Linotype" w:hAnsi="Palatino Linotype"/>
        </w:rPr>
        <w:t xml:space="preserve">of the greenhouse gas inventory, however, </w:t>
      </w:r>
      <w:r w:rsidR="00406830" w:rsidRPr="00861A34">
        <w:rPr>
          <w:rFonts w:ascii="Palatino Linotype" w:hAnsi="Palatino Linotype"/>
        </w:rPr>
        <w:t>a</w:t>
      </w:r>
      <w:r w:rsidR="002F6AB1" w:rsidRPr="00861A34">
        <w:rPr>
          <w:rFonts w:ascii="Palatino Linotype" w:hAnsi="Palatino Linotype"/>
        </w:rPr>
        <w:t>n</w:t>
      </w:r>
      <w:r w:rsidR="00406830" w:rsidRPr="00861A34">
        <w:rPr>
          <w:rFonts w:ascii="Palatino Linotype" w:hAnsi="Palatino Linotype"/>
        </w:rPr>
        <w:t xml:space="preserve"> </w:t>
      </w:r>
      <w:r w:rsidR="002F6AB1" w:rsidRPr="00861A34">
        <w:rPr>
          <w:rFonts w:ascii="Palatino Linotype" w:hAnsi="Palatino Linotype"/>
        </w:rPr>
        <w:t xml:space="preserve">estimate based on </w:t>
      </w:r>
      <w:r w:rsidR="00406830" w:rsidRPr="00861A34">
        <w:rPr>
          <w:rFonts w:ascii="Palatino Linotype" w:hAnsi="Palatino Linotype"/>
        </w:rPr>
        <w:t>square footage will suffice.</w:t>
      </w:r>
      <w:r w:rsidR="00780EDD" w:rsidRPr="00861A34">
        <w:rPr>
          <w:rFonts w:ascii="Palatino Linotype" w:hAnsi="Palatino Linotype"/>
        </w:rPr>
        <w:t xml:space="preserve">  </w:t>
      </w:r>
    </w:p>
    <w:p w:rsidR="007711E6" w:rsidRDefault="003A75AD" w:rsidP="003A75AD">
      <w:pPr>
        <w:pStyle w:val="RegularText"/>
        <w:spacing w:before="120" w:after="120" w:line="300" w:lineRule="auto"/>
        <w:rPr>
          <w:rFonts w:ascii="Palatino Linotype" w:hAnsi="Palatino Linotype" w:cs="Arial"/>
          <w:b/>
          <w:smallCaps/>
          <w:sz w:val="28"/>
        </w:rPr>
      </w:pPr>
      <w:r w:rsidRPr="00861A34">
        <w:rPr>
          <w:rFonts w:ascii="Palatino Linotype" w:hAnsi="Palatino Linotype" w:cs="Arial"/>
          <w:b/>
          <w:smallCaps/>
          <w:sz w:val="28"/>
        </w:rPr>
        <w:t>Refrigerant Use</w:t>
      </w:r>
    </w:p>
    <w:p w:rsidR="00523C13" w:rsidRPr="00861A34" w:rsidRDefault="00523C13" w:rsidP="003B2A7C">
      <w:pPr>
        <w:pStyle w:val="BodyText2"/>
        <w:ind w:left="0"/>
        <w:jc w:val="center"/>
        <w:rPr>
          <w:rFonts w:ascii="Palatino Linotype" w:hAnsi="Palatino Linotype"/>
          <w:b/>
        </w:rPr>
      </w:pPr>
      <w:r>
        <w:rPr>
          <w:rFonts w:ascii="Palatino Linotype" w:hAnsi="Palatino Linotype"/>
          <w:b/>
        </w:rPr>
        <w:t>Table 9</w:t>
      </w:r>
      <w:r w:rsidR="00BE50AB">
        <w:rPr>
          <w:rFonts w:ascii="Palatino Linotype" w:hAnsi="Palatino Linotype"/>
          <w:b/>
        </w:rPr>
        <w:t>: Refrigerant Usage</w:t>
      </w:r>
      <w:r w:rsidRPr="00861A34">
        <w:rPr>
          <w:rFonts w:ascii="Palatino Linotype" w:hAnsi="Palatino Linotype"/>
          <w:b/>
        </w:rPr>
        <w:t xml:space="preserve"> </w:t>
      </w:r>
      <w:r w:rsidR="00BE50AB">
        <w:rPr>
          <w:rFonts w:ascii="Palatino Linotype" w:hAnsi="Palatino Linotype"/>
          <w:b/>
        </w:rPr>
        <w:t xml:space="preserve">in </w:t>
      </w:r>
      <w:r w:rsidRPr="00861A34">
        <w:rPr>
          <w:rFonts w:ascii="Palatino Linotype" w:hAnsi="Palatino Linotype"/>
          <w:b/>
        </w:rPr>
        <w:t>201</w:t>
      </w:r>
      <w:r>
        <w:rPr>
          <w:rFonts w:ascii="Palatino Linotype" w:hAnsi="Palatino Linotype"/>
          <w:b/>
        </w:rPr>
        <w:t>4</w:t>
      </w:r>
      <w:r w:rsidRPr="00861A34">
        <w:rPr>
          <w:rFonts w:ascii="Palatino Linotype" w:hAnsi="Palatino Linotype"/>
          <w:b/>
        </w:rPr>
        <w:t xml:space="preserve"> </w:t>
      </w:r>
    </w:p>
    <w:tbl>
      <w:tblPr>
        <w:tblStyle w:val="TableGrid"/>
        <w:tblW w:w="0" w:type="auto"/>
        <w:tblLook w:val="04A0" w:firstRow="1" w:lastRow="0" w:firstColumn="1" w:lastColumn="0" w:noHBand="0" w:noVBand="1"/>
      </w:tblPr>
      <w:tblGrid>
        <w:gridCol w:w="3118"/>
        <w:gridCol w:w="3116"/>
        <w:gridCol w:w="3116"/>
      </w:tblGrid>
      <w:tr w:rsidR="00523C13" w:rsidRPr="00861A34" w:rsidTr="00523C13">
        <w:trPr>
          <w:trHeight w:val="288"/>
        </w:trPr>
        <w:tc>
          <w:tcPr>
            <w:tcW w:w="3118" w:type="dxa"/>
            <w:shd w:val="clear" w:color="auto" w:fill="000000" w:themeFill="text1"/>
          </w:tcPr>
          <w:p w:rsidR="00523C13" w:rsidRPr="00861A34" w:rsidRDefault="00523C13" w:rsidP="00523C13">
            <w:pPr>
              <w:jc w:val="center"/>
              <w:rPr>
                <w:rFonts w:ascii="Palatino Linotype" w:hAnsi="Palatino Linotype"/>
                <w:b/>
                <w:bCs/>
                <w:sz w:val="20"/>
                <w:szCs w:val="20"/>
              </w:rPr>
            </w:pPr>
          </w:p>
        </w:tc>
        <w:tc>
          <w:tcPr>
            <w:tcW w:w="3116" w:type="dxa"/>
            <w:shd w:val="clear" w:color="auto" w:fill="000000" w:themeFill="text1"/>
          </w:tcPr>
          <w:p w:rsidR="00523C13" w:rsidRPr="00861A34" w:rsidRDefault="00523C13" w:rsidP="00523C13">
            <w:pPr>
              <w:jc w:val="center"/>
              <w:rPr>
                <w:rFonts w:ascii="Palatino Linotype" w:hAnsi="Palatino Linotype"/>
                <w:b/>
                <w:bCs/>
                <w:sz w:val="20"/>
                <w:szCs w:val="20"/>
              </w:rPr>
            </w:pPr>
            <w:r>
              <w:rPr>
                <w:rFonts w:ascii="Palatino Linotype" w:hAnsi="Palatino Linotype"/>
                <w:sz w:val="20"/>
                <w:szCs w:val="20"/>
              </w:rPr>
              <w:t>Pounds Used</w:t>
            </w:r>
          </w:p>
        </w:tc>
        <w:tc>
          <w:tcPr>
            <w:tcW w:w="3116" w:type="dxa"/>
            <w:shd w:val="clear" w:color="auto" w:fill="000000" w:themeFill="text1"/>
          </w:tcPr>
          <w:p w:rsidR="00523C13" w:rsidRPr="00861A34" w:rsidRDefault="00523C13" w:rsidP="00523C13">
            <w:pPr>
              <w:jc w:val="center"/>
              <w:rPr>
                <w:rFonts w:ascii="Palatino Linotype" w:hAnsi="Palatino Linotype"/>
                <w:b/>
                <w:bCs/>
                <w:sz w:val="20"/>
                <w:szCs w:val="20"/>
              </w:rPr>
            </w:pPr>
            <w:r>
              <w:rPr>
                <w:rFonts w:ascii="Palatino Linotype" w:hAnsi="Palatino Linotype"/>
                <w:sz w:val="20"/>
                <w:szCs w:val="20"/>
              </w:rPr>
              <w:t>GWP</w:t>
            </w:r>
          </w:p>
        </w:tc>
      </w:tr>
      <w:tr w:rsidR="00523C13" w:rsidRPr="003E01DA" w:rsidTr="00523C13">
        <w:trPr>
          <w:trHeight w:val="350"/>
        </w:trPr>
        <w:tc>
          <w:tcPr>
            <w:tcW w:w="3118" w:type="dxa"/>
          </w:tcPr>
          <w:p w:rsidR="00523C13" w:rsidRPr="000663F6" w:rsidRDefault="00523C13" w:rsidP="00523C13">
            <w:pPr>
              <w:jc w:val="center"/>
              <w:rPr>
                <w:rFonts w:ascii="Palatino Linotype" w:hAnsi="Palatino Linotype"/>
                <w:bCs/>
              </w:rPr>
            </w:pPr>
            <w:r w:rsidRPr="000663F6">
              <w:rPr>
                <w:rFonts w:ascii="Palatino Linotype" w:hAnsi="Palatino Linotype"/>
                <w:bCs/>
              </w:rPr>
              <w:t>R-410A</w:t>
            </w:r>
          </w:p>
        </w:tc>
        <w:tc>
          <w:tcPr>
            <w:tcW w:w="3116" w:type="dxa"/>
          </w:tcPr>
          <w:p w:rsidR="00523C13" w:rsidRPr="000663F6" w:rsidRDefault="00523C13" w:rsidP="00523C13">
            <w:pPr>
              <w:jc w:val="center"/>
              <w:rPr>
                <w:rFonts w:ascii="Palatino Linotype" w:hAnsi="Palatino Linotype"/>
              </w:rPr>
            </w:pPr>
            <w:r w:rsidRPr="000663F6">
              <w:rPr>
                <w:rFonts w:ascii="Palatino Linotype" w:hAnsi="Palatino Linotype"/>
              </w:rPr>
              <w:t>15.31</w:t>
            </w:r>
          </w:p>
        </w:tc>
        <w:tc>
          <w:tcPr>
            <w:tcW w:w="3116" w:type="dxa"/>
            <w:vAlign w:val="bottom"/>
          </w:tcPr>
          <w:p w:rsidR="00523C13" w:rsidRPr="000663F6" w:rsidRDefault="00523C13" w:rsidP="00523C13">
            <w:pPr>
              <w:jc w:val="center"/>
              <w:rPr>
                <w:rFonts w:ascii="Palatino Linotype" w:hAnsi="Palatino Linotype"/>
              </w:rPr>
            </w:pPr>
            <w:r w:rsidRPr="000663F6">
              <w:rPr>
                <w:rFonts w:ascii="Palatino Linotype" w:hAnsi="Palatino Linotype"/>
              </w:rPr>
              <w:t>1,725</w:t>
            </w:r>
          </w:p>
        </w:tc>
      </w:tr>
      <w:tr w:rsidR="00523C13" w:rsidRPr="003E01DA" w:rsidTr="00523C13">
        <w:trPr>
          <w:trHeight w:val="350"/>
        </w:trPr>
        <w:tc>
          <w:tcPr>
            <w:tcW w:w="3118" w:type="dxa"/>
          </w:tcPr>
          <w:p w:rsidR="00523C13" w:rsidRPr="000663F6" w:rsidRDefault="00523C13" w:rsidP="00523C13">
            <w:pPr>
              <w:jc w:val="center"/>
              <w:rPr>
                <w:rFonts w:ascii="Palatino Linotype" w:hAnsi="Palatino Linotype"/>
                <w:bCs/>
              </w:rPr>
            </w:pPr>
            <w:r w:rsidRPr="000663F6">
              <w:rPr>
                <w:rFonts w:ascii="Palatino Linotype" w:hAnsi="Palatino Linotype"/>
                <w:bCs/>
              </w:rPr>
              <w:t>R-22</w:t>
            </w:r>
          </w:p>
        </w:tc>
        <w:tc>
          <w:tcPr>
            <w:tcW w:w="3116" w:type="dxa"/>
          </w:tcPr>
          <w:p w:rsidR="00523C13" w:rsidRPr="000663F6" w:rsidRDefault="00523C13" w:rsidP="00523C13">
            <w:pPr>
              <w:jc w:val="center"/>
              <w:rPr>
                <w:rFonts w:ascii="Palatino Linotype" w:hAnsi="Palatino Linotype"/>
              </w:rPr>
            </w:pPr>
            <w:r w:rsidRPr="000663F6">
              <w:rPr>
                <w:rFonts w:ascii="Palatino Linotype" w:hAnsi="Palatino Linotype"/>
              </w:rPr>
              <w:t>24.25</w:t>
            </w:r>
          </w:p>
        </w:tc>
        <w:tc>
          <w:tcPr>
            <w:tcW w:w="3116" w:type="dxa"/>
            <w:vAlign w:val="bottom"/>
          </w:tcPr>
          <w:p w:rsidR="00523C13" w:rsidRPr="000663F6" w:rsidRDefault="00523C13" w:rsidP="00523C13">
            <w:pPr>
              <w:jc w:val="center"/>
              <w:rPr>
                <w:rFonts w:ascii="Palatino Linotype" w:hAnsi="Palatino Linotype" w:cs="Calibri"/>
                <w:color w:val="000000"/>
              </w:rPr>
            </w:pPr>
            <w:r w:rsidRPr="000663F6">
              <w:rPr>
                <w:rFonts w:ascii="Palatino Linotype" w:hAnsi="Palatino Linotype" w:cs="Calibri"/>
                <w:color w:val="000000"/>
              </w:rPr>
              <w:t>1,810</w:t>
            </w:r>
          </w:p>
        </w:tc>
      </w:tr>
      <w:tr w:rsidR="00523C13" w:rsidRPr="003E01DA" w:rsidTr="00523C13">
        <w:trPr>
          <w:trHeight w:val="350"/>
        </w:trPr>
        <w:tc>
          <w:tcPr>
            <w:tcW w:w="3118" w:type="dxa"/>
          </w:tcPr>
          <w:p w:rsidR="00523C13" w:rsidRPr="000663F6" w:rsidRDefault="00523C13" w:rsidP="00523C13">
            <w:pPr>
              <w:jc w:val="center"/>
              <w:rPr>
                <w:rFonts w:ascii="Palatino Linotype" w:hAnsi="Palatino Linotype"/>
                <w:b/>
                <w:bCs/>
              </w:rPr>
            </w:pPr>
            <w:r w:rsidRPr="000663F6">
              <w:rPr>
                <w:rFonts w:ascii="Palatino Linotype" w:hAnsi="Palatino Linotype"/>
              </w:rPr>
              <w:t>Total</w:t>
            </w:r>
          </w:p>
        </w:tc>
        <w:tc>
          <w:tcPr>
            <w:tcW w:w="3116" w:type="dxa"/>
          </w:tcPr>
          <w:p w:rsidR="00523C13" w:rsidRPr="000663F6" w:rsidRDefault="00523C13" w:rsidP="00523C13">
            <w:pPr>
              <w:jc w:val="center"/>
              <w:rPr>
                <w:rFonts w:ascii="Palatino Linotype" w:hAnsi="Palatino Linotype"/>
              </w:rPr>
            </w:pPr>
            <w:r w:rsidRPr="000663F6">
              <w:rPr>
                <w:rFonts w:ascii="Palatino Linotype" w:hAnsi="Palatino Linotype"/>
              </w:rPr>
              <w:t>39.56</w:t>
            </w:r>
          </w:p>
        </w:tc>
        <w:tc>
          <w:tcPr>
            <w:tcW w:w="3116" w:type="dxa"/>
          </w:tcPr>
          <w:p w:rsidR="00523C13" w:rsidRPr="000663F6" w:rsidRDefault="00523C13" w:rsidP="00523C13">
            <w:pPr>
              <w:jc w:val="center"/>
              <w:rPr>
                <w:rFonts w:ascii="Palatino Linotype" w:hAnsi="Palatino Linotype"/>
              </w:rPr>
            </w:pPr>
            <w:r w:rsidRPr="000663F6">
              <w:rPr>
                <w:rFonts w:ascii="Palatino Linotype" w:hAnsi="Palatino Linotype"/>
              </w:rPr>
              <w:t>1,777*</w:t>
            </w:r>
          </w:p>
        </w:tc>
      </w:tr>
    </w:tbl>
    <w:p w:rsidR="00523C13" w:rsidRDefault="00523C13" w:rsidP="00664CBB">
      <w:pPr>
        <w:rPr>
          <w:rFonts w:ascii="Palatino Linotype" w:hAnsi="Palatino Linotype"/>
        </w:rPr>
      </w:pPr>
    </w:p>
    <w:p w:rsidR="003245AE" w:rsidRPr="003245AE" w:rsidRDefault="003245AE" w:rsidP="003245AE">
      <w:pPr>
        <w:rPr>
          <w:rFonts w:ascii="Palatino Linotype" w:eastAsia="Times New Roman" w:hAnsi="Palatino Linotype" w:cs="Calibri"/>
          <w:color w:val="000000"/>
        </w:rPr>
      </w:pPr>
      <w:r>
        <w:rPr>
          <w:rFonts w:ascii="Palatino Linotype" w:hAnsi="Palatino Linotype"/>
        </w:rPr>
        <w:t xml:space="preserve">* The global warming potential of 1,777 is a weighted average of the GWP for R-410A and R-22 for 2014. </w:t>
      </w:r>
      <w:r w:rsidRPr="003245AE">
        <w:rPr>
          <w:rFonts w:ascii="Palatino Linotype" w:eastAsia="Times New Roman" w:hAnsi="Palatino Linotype" w:cs="Calibri"/>
          <w:color w:val="000000"/>
        </w:rPr>
        <w:t>The CA-CP spreadsheet</w:t>
      </w:r>
      <w:r>
        <w:rPr>
          <w:rFonts w:ascii="Palatino Linotype" w:eastAsia="Times New Roman" w:hAnsi="Palatino Linotype" w:cs="Calibri"/>
          <w:color w:val="000000"/>
        </w:rPr>
        <w:t xml:space="preserve"> calculator</w:t>
      </w:r>
      <w:r w:rsidRPr="003245AE">
        <w:rPr>
          <w:rFonts w:ascii="Palatino Linotype" w:eastAsia="Times New Roman" w:hAnsi="Palatino Linotype" w:cs="Calibri"/>
          <w:color w:val="000000"/>
        </w:rPr>
        <w:t xml:space="preserve"> only provides one space for "Other" in the Refrigerants category. </w:t>
      </w:r>
      <w:r>
        <w:rPr>
          <w:rFonts w:ascii="Palatino Linotype" w:eastAsia="Times New Roman" w:hAnsi="Palatino Linotype" w:cs="Calibri"/>
          <w:color w:val="000000"/>
        </w:rPr>
        <w:t xml:space="preserve"> Both</w:t>
      </w:r>
      <w:r w:rsidRPr="003245AE">
        <w:rPr>
          <w:rFonts w:ascii="Palatino Linotype" w:eastAsia="Times New Roman" w:hAnsi="Palatino Linotype" w:cs="Calibri"/>
          <w:color w:val="000000"/>
        </w:rPr>
        <w:t xml:space="preserve"> of the refrigerants used at Saint John's in </w:t>
      </w:r>
      <w:r>
        <w:rPr>
          <w:rFonts w:ascii="Palatino Linotype" w:eastAsia="Times New Roman" w:hAnsi="Palatino Linotype" w:cs="Calibri"/>
          <w:color w:val="000000"/>
        </w:rPr>
        <w:t>2014</w:t>
      </w:r>
      <w:r w:rsidRPr="003245AE">
        <w:rPr>
          <w:rFonts w:ascii="Palatino Linotype" w:eastAsia="Times New Roman" w:hAnsi="Palatino Linotype" w:cs="Calibri"/>
          <w:color w:val="000000"/>
        </w:rPr>
        <w:t xml:space="preserve"> should be</w:t>
      </w:r>
      <w:r>
        <w:rPr>
          <w:rFonts w:ascii="Palatino Linotype" w:eastAsia="Times New Roman" w:hAnsi="Palatino Linotype" w:cs="Calibri"/>
          <w:color w:val="000000"/>
        </w:rPr>
        <w:t xml:space="preserve"> placed</w:t>
      </w:r>
      <w:r w:rsidRPr="003245AE">
        <w:rPr>
          <w:rFonts w:ascii="Palatino Linotype" w:eastAsia="Times New Roman" w:hAnsi="Palatino Linotype" w:cs="Calibri"/>
          <w:color w:val="000000"/>
        </w:rPr>
        <w:t xml:space="preserve"> in this</w:t>
      </w:r>
      <w:r>
        <w:rPr>
          <w:rFonts w:ascii="Palatino Linotype" w:eastAsia="Times New Roman" w:hAnsi="Palatino Linotype" w:cs="Calibri"/>
          <w:color w:val="000000"/>
        </w:rPr>
        <w:t xml:space="preserve"> </w:t>
      </w:r>
      <w:r w:rsidRPr="003245AE">
        <w:rPr>
          <w:rFonts w:ascii="Palatino Linotype" w:eastAsia="Times New Roman" w:hAnsi="Palatino Linotype" w:cs="Calibri"/>
          <w:color w:val="000000"/>
        </w:rPr>
        <w:t>"Other" column</w:t>
      </w:r>
      <w:r>
        <w:rPr>
          <w:rFonts w:ascii="Palatino Linotype" w:eastAsia="Times New Roman" w:hAnsi="Palatino Linotype" w:cs="Calibri"/>
          <w:color w:val="000000"/>
        </w:rPr>
        <w:t>, however</w:t>
      </w:r>
      <w:r w:rsidRPr="003245AE">
        <w:rPr>
          <w:rFonts w:ascii="Palatino Linotype" w:eastAsia="Times New Roman" w:hAnsi="Palatino Linotype" w:cs="Calibri"/>
          <w:color w:val="000000"/>
        </w:rPr>
        <w:t xml:space="preserve">. </w:t>
      </w:r>
      <w:r>
        <w:rPr>
          <w:rFonts w:ascii="Palatino Linotype" w:eastAsia="Times New Roman" w:hAnsi="Palatino Linotype" w:cs="Calibri"/>
          <w:color w:val="000000"/>
        </w:rPr>
        <w:t xml:space="preserve"> </w:t>
      </w:r>
      <w:r w:rsidRPr="003245AE">
        <w:rPr>
          <w:rFonts w:ascii="Palatino Linotype" w:eastAsia="Times New Roman" w:hAnsi="Palatino Linotype" w:cs="Calibri"/>
          <w:color w:val="000000"/>
        </w:rPr>
        <w:t xml:space="preserve">Due to this </w:t>
      </w:r>
      <w:r>
        <w:rPr>
          <w:rFonts w:ascii="Palatino Linotype" w:eastAsia="Times New Roman" w:hAnsi="Palatino Linotype" w:cs="Calibri"/>
          <w:color w:val="000000"/>
        </w:rPr>
        <w:t xml:space="preserve">limitation of the calculator, </w:t>
      </w:r>
      <w:r w:rsidRPr="003245AE">
        <w:rPr>
          <w:rFonts w:ascii="Palatino Linotype" w:eastAsia="Times New Roman" w:hAnsi="Palatino Linotype" w:cs="Calibri"/>
          <w:color w:val="000000"/>
        </w:rPr>
        <w:t>an average GWP</w:t>
      </w:r>
      <w:r>
        <w:rPr>
          <w:rFonts w:ascii="Palatino Linotype" w:eastAsia="Times New Roman" w:hAnsi="Palatino Linotype" w:cs="Calibri"/>
          <w:color w:val="000000"/>
        </w:rPr>
        <w:t xml:space="preserve"> had to be calculated.  The weighted average for 2014 came out to </w:t>
      </w:r>
      <w:r w:rsidRPr="003245AE">
        <w:rPr>
          <w:rFonts w:ascii="Palatino Linotype" w:eastAsia="Times New Roman" w:hAnsi="Palatino Linotype" w:cs="Calibri"/>
          <w:color w:val="000000"/>
        </w:rPr>
        <w:t>1</w:t>
      </w:r>
      <w:r>
        <w:rPr>
          <w:rFonts w:ascii="Palatino Linotype" w:eastAsia="Times New Roman" w:hAnsi="Palatino Linotype" w:cs="Calibri"/>
          <w:color w:val="000000"/>
        </w:rPr>
        <w:t>,</w:t>
      </w:r>
      <w:r w:rsidRPr="003245AE">
        <w:rPr>
          <w:rFonts w:ascii="Palatino Linotype" w:eastAsia="Times New Roman" w:hAnsi="Palatino Linotype" w:cs="Calibri"/>
          <w:color w:val="000000"/>
        </w:rPr>
        <w:t xml:space="preserve">777. </w:t>
      </w:r>
      <w:r>
        <w:rPr>
          <w:rFonts w:ascii="Palatino Linotype" w:eastAsia="Times New Roman" w:hAnsi="Palatino Linotype" w:cs="Calibri"/>
          <w:color w:val="000000"/>
        </w:rPr>
        <w:t xml:space="preserve"> </w:t>
      </w:r>
      <w:r w:rsidRPr="003245AE">
        <w:rPr>
          <w:rFonts w:ascii="Palatino Linotype" w:eastAsia="Times New Roman" w:hAnsi="Palatino Linotype" w:cs="Calibri"/>
          <w:color w:val="000000"/>
        </w:rPr>
        <w:t xml:space="preserve">In the calculator, </w:t>
      </w:r>
      <w:r>
        <w:rPr>
          <w:rFonts w:ascii="Palatino Linotype" w:eastAsia="Times New Roman" w:hAnsi="Palatino Linotype" w:cs="Calibri"/>
          <w:color w:val="000000"/>
        </w:rPr>
        <w:t>a sum total of the weight in pounds</w:t>
      </w:r>
      <w:r w:rsidRPr="003245AE">
        <w:rPr>
          <w:rFonts w:ascii="Palatino Linotype" w:eastAsia="Times New Roman" w:hAnsi="Palatino Linotype" w:cs="Calibri"/>
          <w:color w:val="000000"/>
        </w:rPr>
        <w:t xml:space="preserve"> of the chemicals used that year was entered into</w:t>
      </w:r>
      <w:r>
        <w:rPr>
          <w:rFonts w:ascii="Palatino Linotype" w:eastAsia="Times New Roman" w:hAnsi="Palatino Linotype" w:cs="Calibri"/>
          <w:color w:val="000000"/>
        </w:rPr>
        <w:t xml:space="preserve"> </w:t>
      </w:r>
      <w:r w:rsidRPr="003245AE">
        <w:rPr>
          <w:rFonts w:ascii="Palatino Linotype" w:eastAsia="Times New Roman" w:hAnsi="Palatino Linotype" w:cs="Calibri"/>
          <w:color w:val="000000"/>
        </w:rPr>
        <w:t>the "Other" column in the refrigerants section of the page titled "Input". On the spreadsheet</w:t>
      </w:r>
      <w:r>
        <w:rPr>
          <w:rFonts w:ascii="Palatino Linotype" w:eastAsia="Times New Roman" w:hAnsi="Palatino Linotype" w:cs="Calibri"/>
          <w:color w:val="000000"/>
        </w:rPr>
        <w:t xml:space="preserve"> </w:t>
      </w:r>
      <w:r w:rsidRPr="003245AE">
        <w:rPr>
          <w:rFonts w:ascii="Palatino Linotype" w:eastAsia="Times New Roman" w:hAnsi="Palatino Linotype" w:cs="Calibri"/>
          <w:color w:val="000000"/>
        </w:rPr>
        <w:t>page titled "EF_Refrigerants", the weighted GWP value for each year was entered into the</w:t>
      </w:r>
      <w:r>
        <w:rPr>
          <w:rFonts w:ascii="Palatino Linotype" w:eastAsia="Times New Roman" w:hAnsi="Palatino Linotype" w:cs="Calibri"/>
          <w:color w:val="000000"/>
        </w:rPr>
        <w:t xml:space="preserve"> </w:t>
      </w:r>
      <w:r w:rsidRPr="003245AE">
        <w:rPr>
          <w:rFonts w:ascii="Palatino Linotype" w:eastAsia="Times New Roman" w:hAnsi="Palatino Linotype" w:cs="Calibri"/>
          <w:color w:val="000000"/>
        </w:rPr>
        <w:t>appropriate cell.</w:t>
      </w:r>
    </w:p>
    <w:p w:rsidR="00664CBB" w:rsidRDefault="00664CBB" w:rsidP="00664CBB">
      <w:pPr>
        <w:rPr>
          <w:rFonts w:ascii="Palatino Linotype" w:hAnsi="Palatino Linotype"/>
        </w:rPr>
      </w:pPr>
      <w:r w:rsidRPr="00861A34">
        <w:rPr>
          <w:rFonts w:ascii="Palatino Linotype" w:hAnsi="Palatino Linotype"/>
        </w:rPr>
        <w:t>R</w:t>
      </w:r>
      <w:r w:rsidR="003840CA" w:rsidRPr="00861A34">
        <w:rPr>
          <w:rFonts w:ascii="Palatino Linotype" w:hAnsi="Palatino Linotype"/>
        </w:rPr>
        <w:t xml:space="preserve">efrigerants calculated for this report </w:t>
      </w:r>
      <w:r w:rsidRPr="00861A34">
        <w:rPr>
          <w:rFonts w:ascii="Palatino Linotype" w:hAnsi="Palatino Linotype"/>
        </w:rPr>
        <w:t>include</w:t>
      </w:r>
      <w:r w:rsidR="003840CA" w:rsidRPr="00861A34">
        <w:rPr>
          <w:rFonts w:ascii="Palatino Linotype" w:hAnsi="Palatino Linotype"/>
        </w:rPr>
        <w:t xml:space="preserve"> the ones used </w:t>
      </w:r>
      <w:r w:rsidR="00523C13">
        <w:rPr>
          <w:rFonts w:ascii="Palatino Linotype" w:hAnsi="Palatino Linotype"/>
        </w:rPr>
        <w:t xml:space="preserve">by </w:t>
      </w:r>
      <w:r w:rsidRPr="00861A34">
        <w:rPr>
          <w:rFonts w:ascii="Palatino Linotype" w:hAnsi="Palatino Linotype"/>
        </w:rPr>
        <w:t>David Schlumpberger (HVAC Technician). SJU</w:t>
      </w:r>
      <w:r w:rsidR="007711E6" w:rsidRPr="00861A34">
        <w:rPr>
          <w:rFonts w:ascii="Palatino Linotype" w:hAnsi="Palatino Linotype"/>
        </w:rPr>
        <w:t xml:space="preserve"> contracts with Central MN Refrigeration to maintain </w:t>
      </w:r>
      <w:r w:rsidRPr="00861A34">
        <w:rPr>
          <w:rFonts w:ascii="Palatino Linotype" w:hAnsi="Palatino Linotype"/>
        </w:rPr>
        <w:t>dinning service</w:t>
      </w:r>
      <w:r w:rsidR="003840CA" w:rsidRPr="00861A34">
        <w:rPr>
          <w:rFonts w:ascii="Palatino Linotype" w:hAnsi="Palatino Linotype"/>
        </w:rPr>
        <w:t xml:space="preserve"> </w:t>
      </w:r>
      <w:r w:rsidR="007711E6" w:rsidRPr="00861A34">
        <w:rPr>
          <w:rFonts w:ascii="Palatino Linotype" w:hAnsi="Palatino Linotype"/>
        </w:rPr>
        <w:t xml:space="preserve">refrigerants. </w:t>
      </w:r>
      <w:r w:rsidR="00523C13">
        <w:rPr>
          <w:rFonts w:ascii="Palatino Linotype" w:hAnsi="Palatino Linotype"/>
        </w:rPr>
        <w:t xml:space="preserve">According to data provided by </w:t>
      </w:r>
      <w:r w:rsidRPr="00861A34">
        <w:rPr>
          <w:rFonts w:ascii="Palatino Linotype" w:hAnsi="Palatino Linotype"/>
        </w:rPr>
        <w:t>David Schlumpberger</w:t>
      </w:r>
      <w:r w:rsidR="00523C13">
        <w:rPr>
          <w:rFonts w:ascii="Palatino Linotype" w:hAnsi="Palatino Linotype"/>
        </w:rPr>
        <w:t>,</w:t>
      </w:r>
      <w:r w:rsidR="00B54389" w:rsidRPr="00861A34">
        <w:rPr>
          <w:rFonts w:ascii="Palatino Linotype" w:hAnsi="Palatino Linotype"/>
        </w:rPr>
        <w:t xml:space="preserve"> </w:t>
      </w:r>
      <w:r w:rsidR="00523C13">
        <w:rPr>
          <w:rFonts w:ascii="Palatino Linotype" w:hAnsi="Palatino Linotype"/>
        </w:rPr>
        <w:t>15.31</w:t>
      </w:r>
      <w:r w:rsidRPr="00861A34">
        <w:rPr>
          <w:rFonts w:ascii="Palatino Linotype" w:hAnsi="Palatino Linotype"/>
        </w:rPr>
        <w:t xml:space="preserve"> pounds </w:t>
      </w:r>
      <w:r w:rsidR="00523C13">
        <w:rPr>
          <w:rFonts w:ascii="Palatino Linotype" w:hAnsi="Palatino Linotype"/>
        </w:rPr>
        <w:t>R-410A and 24.25</w:t>
      </w:r>
      <w:r w:rsidR="006A3027" w:rsidRPr="00861A34">
        <w:rPr>
          <w:rFonts w:ascii="Palatino Linotype" w:hAnsi="Palatino Linotype"/>
        </w:rPr>
        <w:t xml:space="preserve"> pounds of </w:t>
      </w:r>
      <w:r w:rsidR="00523C13">
        <w:rPr>
          <w:rFonts w:ascii="Palatino Linotype" w:hAnsi="Palatino Linotype"/>
        </w:rPr>
        <w:t>R-22 were used during FY2014</w:t>
      </w:r>
      <w:r w:rsidR="006A3027" w:rsidRPr="00861A34">
        <w:rPr>
          <w:rFonts w:ascii="Palatino Linotype" w:hAnsi="Palatino Linotype"/>
        </w:rPr>
        <w:t xml:space="preserve">.  </w:t>
      </w:r>
      <w:r w:rsidR="00B54389" w:rsidRPr="00861A34">
        <w:rPr>
          <w:rFonts w:ascii="Palatino Linotype" w:hAnsi="Palatino Linotype"/>
        </w:rPr>
        <w:t>O</w:t>
      </w:r>
      <w:r w:rsidR="006A3027" w:rsidRPr="00861A34">
        <w:rPr>
          <w:rFonts w:ascii="Palatino Linotype" w:hAnsi="Palatino Linotype"/>
        </w:rPr>
        <w:t>ther refrigerants are no</w:t>
      </w:r>
      <w:r w:rsidR="002810E7" w:rsidRPr="00861A34">
        <w:rPr>
          <w:rFonts w:ascii="Palatino Linotype" w:hAnsi="Palatino Linotype"/>
        </w:rPr>
        <w:t xml:space="preserve">t accounted for in this report.  They contribute </w:t>
      </w:r>
      <w:r w:rsidR="00523C13">
        <w:rPr>
          <w:rFonts w:ascii="Palatino Linotype" w:hAnsi="Palatino Linotype"/>
        </w:rPr>
        <w:t xml:space="preserve">only </w:t>
      </w:r>
      <w:r w:rsidR="002810E7" w:rsidRPr="00861A34">
        <w:rPr>
          <w:rFonts w:ascii="Palatino Linotype" w:hAnsi="Palatino Linotype"/>
        </w:rPr>
        <w:t>a</w:t>
      </w:r>
      <w:r w:rsidR="00523C13">
        <w:rPr>
          <w:rFonts w:ascii="Palatino Linotype" w:hAnsi="Palatino Linotype"/>
        </w:rPr>
        <w:t xml:space="preserve"> very</w:t>
      </w:r>
      <w:r w:rsidR="002810E7" w:rsidRPr="00861A34">
        <w:rPr>
          <w:rFonts w:ascii="Palatino Linotype" w:hAnsi="Palatino Linotype"/>
        </w:rPr>
        <w:t xml:space="preserve"> small portion of the total emissions.</w:t>
      </w:r>
      <w:r w:rsidR="00B54389" w:rsidRPr="00861A34">
        <w:rPr>
          <w:rFonts w:ascii="Palatino Linotype" w:hAnsi="Palatino Linotype"/>
        </w:rPr>
        <w:t xml:space="preserve">  Only the R-410A and </w:t>
      </w:r>
      <w:r w:rsidR="00523C13">
        <w:rPr>
          <w:rFonts w:ascii="Palatino Linotype" w:hAnsi="Palatino Linotype"/>
        </w:rPr>
        <w:t>R-22</w:t>
      </w:r>
      <w:r w:rsidR="00780EDD" w:rsidRPr="00861A34">
        <w:rPr>
          <w:rFonts w:ascii="Palatino Linotype" w:hAnsi="Palatino Linotype"/>
        </w:rPr>
        <w:t xml:space="preserve"> are reflected in our emissions</w:t>
      </w:r>
      <w:r w:rsidR="00523C13">
        <w:rPr>
          <w:rFonts w:ascii="Palatino Linotype" w:hAnsi="Palatino Linotype"/>
        </w:rPr>
        <w:t xml:space="preserve"> inventory for this year</w:t>
      </w:r>
      <w:r w:rsidR="00780EDD" w:rsidRPr="00861A34">
        <w:rPr>
          <w:rFonts w:ascii="Palatino Linotype" w:hAnsi="Palatino Linotype"/>
        </w:rPr>
        <w:t>.</w:t>
      </w:r>
    </w:p>
    <w:p w:rsidR="00E03B4C" w:rsidRPr="00861A34" w:rsidRDefault="0056175E" w:rsidP="003A75AD">
      <w:pPr>
        <w:pStyle w:val="RegularText"/>
        <w:spacing w:before="120" w:after="120" w:line="300" w:lineRule="auto"/>
        <w:rPr>
          <w:rFonts w:ascii="Palatino Linotype" w:hAnsi="Palatino Linotype"/>
          <w:szCs w:val="22"/>
        </w:rPr>
      </w:pPr>
      <w:r w:rsidRPr="00861A34">
        <w:rPr>
          <w:rFonts w:ascii="Palatino Linotype" w:hAnsi="Palatino Linotype"/>
          <w:szCs w:val="22"/>
        </w:rPr>
        <w:lastRenderedPageBreak/>
        <w:t>Although refrigerants contribute little to the emi</w:t>
      </w:r>
      <w:r w:rsidR="00B54389" w:rsidRPr="00861A34">
        <w:rPr>
          <w:rFonts w:ascii="Palatino Linotype" w:hAnsi="Palatino Linotype"/>
          <w:szCs w:val="22"/>
        </w:rPr>
        <w:t xml:space="preserve">ssion total, one metric ton of </w:t>
      </w:r>
      <w:r w:rsidR="00523C13">
        <w:rPr>
          <w:rFonts w:ascii="Palatino Linotype" w:hAnsi="Palatino Linotype"/>
          <w:szCs w:val="22"/>
        </w:rPr>
        <w:t>R</w:t>
      </w:r>
      <w:r w:rsidRPr="00861A34">
        <w:rPr>
          <w:rFonts w:ascii="Palatino Linotype" w:hAnsi="Palatino Linotype"/>
          <w:szCs w:val="22"/>
        </w:rPr>
        <w:t>-22 has a</w:t>
      </w:r>
      <w:r w:rsidR="00523C13">
        <w:rPr>
          <w:rFonts w:ascii="Palatino Linotype" w:hAnsi="Palatino Linotype"/>
          <w:szCs w:val="22"/>
        </w:rPr>
        <w:t xml:space="preserve"> global warming potential of 1,81</w:t>
      </w:r>
      <w:r w:rsidRPr="00861A34">
        <w:rPr>
          <w:rFonts w:ascii="Palatino Linotype" w:hAnsi="Palatino Linotype"/>
          <w:szCs w:val="22"/>
        </w:rPr>
        <w:t xml:space="preserve">0 </w:t>
      </w:r>
      <w:r w:rsidR="00F87697">
        <w:rPr>
          <w:rFonts w:ascii="Palatino Linotype" w:hAnsi="Palatino Linotype"/>
          <w:szCs w:val="22"/>
        </w:rPr>
        <w:t>MT</w:t>
      </w:r>
      <w:r w:rsidRPr="00861A34">
        <w:rPr>
          <w:rFonts w:ascii="Palatino Linotype" w:hAnsi="Palatino Linotype"/>
          <w:szCs w:val="22"/>
        </w:rPr>
        <w:t xml:space="preserve"> </w:t>
      </w:r>
      <w:r w:rsidR="00F87697">
        <w:rPr>
          <w:rFonts w:ascii="Palatino Linotype" w:hAnsi="Palatino Linotype"/>
          <w:szCs w:val="22"/>
        </w:rPr>
        <w:t>e</w:t>
      </w:r>
      <w:r w:rsidRPr="00861A34">
        <w:rPr>
          <w:rFonts w:ascii="Palatino Linotype" w:hAnsi="Palatino Linotype"/>
          <w:szCs w:val="22"/>
        </w:rPr>
        <w:t>CO</w:t>
      </w:r>
      <w:r w:rsidRPr="00861A34">
        <w:rPr>
          <w:rFonts w:ascii="Palatino Linotype" w:hAnsi="Palatino Linotype"/>
          <w:szCs w:val="22"/>
          <w:vertAlign w:val="subscript"/>
        </w:rPr>
        <w:t>2</w:t>
      </w:r>
      <w:r w:rsidR="00523C13">
        <w:rPr>
          <w:rFonts w:ascii="Palatino Linotype" w:hAnsi="Palatino Linotype"/>
          <w:szCs w:val="22"/>
        </w:rPr>
        <w:t xml:space="preserve">.  This means that it is a much more potent greenhouse gas per pound than carbon.  </w:t>
      </w:r>
      <w:r w:rsidR="006A3027" w:rsidRPr="00861A34">
        <w:rPr>
          <w:rFonts w:ascii="Palatino Linotype" w:hAnsi="Palatino Linotype"/>
          <w:szCs w:val="22"/>
        </w:rPr>
        <w:t>T</w:t>
      </w:r>
      <w:r w:rsidRPr="00861A34">
        <w:rPr>
          <w:rFonts w:ascii="Palatino Linotype" w:hAnsi="Palatino Linotype"/>
          <w:szCs w:val="22"/>
        </w:rPr>
        <w:t xml:space="preserve">he calculated impact of refrigerant use on the carbon footprint was quite small compared to other sources of emissions, it is important to keep in mind that refrigerants are classified as hazardous waste and do pose a significant threat to the environment in very small quantities.  </w:t>
      </w:r>
    </w:p>
    <w:p w:rsidR="000663F6" w:rsidRPr="00861A34" w:rsidRDefault="003A75AD" w:rsidP="000663F6">
      <w:pPr>
        <w:spacing w:after="0"/>
        <w:rPr>
          <w:rFonts w:ascii="Palatino Linotype" w:hAnsi="Palatino Linotype"/>
        </w:rPr>
      </w:pPr>
      <w:r w:rsidRPr="00861A34">
        <w:rPr>
          <w:rFonts w:ascii="Palatino Linotype" w:hAnsi="Palatino Linotype" w:cs="Arial"/>
          <w:b/>
          <w:smallCaps/>
          <w:sz w:val="28"/>
        </w:rPr>
        <w:t>Fertilizer Use</w:t>
      </w:r>
      <w:r w:rsidR="000663F6" w:rsidRPr="000663F6">
        <w:rPr>
          <w:rFonts w:ascii="Palatino Linotype" w:hAnsi="Palatino Linotype"/>
        </w:rPr>
        <w:t xml:space="preserve"> </w:t>
      </w:r>
    </w:p>
    <w:p w:rsidR="000663F6" w:rsidRPr="00861A34" w:rsidRDefault="000663F6" w:rsidP="000663F6">
      <w:pPr>
        <w:pStyle w:val="BodyText2"/>
        <w:ind w:left="0"/>
        <w:jc w:val="center"/>
        <w:rPr>
          <w:rFonts w:ascii="Palatino Linotype" w:hAnsi="Palatino Linotype"/>
          <w:b/>
        </w:rPr>
      </w:pPr>
      <w:r>
        <w:rPr>
          <w:rFonts w:ascii="Palatino Linotype" w:hAnsi="Palatino Linotype"/>
          <w:b/>
        </w:rPr>
        <w:t>Table 10</w:t>
      </w:r>
      <w:r w:rsidRPr="00861A34">
        <w:rPr>
          <w:rFonts w:ascii="Palatino Linotype" w:hAnsi="Palatino Linotype"/>
          <w:b/>
        </w:rPr>
        <w:t xml:space="preserve">: Fertilizer </w:t>
      </w:r>
      <w:r>
        <w:rPr>
          <w:rFonts w:ascii="Palatino Linotype" w:hAnsi="Palatino Linotype"/>
          <w:b/>
        </w:rPr>
        <w:t>Type and Nitrogen C</w:t>
      </w:r>
      <w:r w:rsidRPr="00861A34">
        <w:rPr>
          <w:rFonts w:ascii="Palatino Linotype" w:hAnsi="Palatino Linotype"/>
          <w:b/>
        </w:rPr>
        <w:t>ontent</w:t>
      </w:r>
      <w:r>
        <w:rPr>
          <w:rFonts w:ascii="Palatino Linotype" w:hAnsi="Palatino Linotype"/>
          <w:b/>
        </w:rPr>
        <w:t xml:space="preserve"> in 2014</w:t>
      </w:r>
    </w:p>
    <w:tbl>
      <w:tblPr>
        <w:tblStyle w:val="TableGrid"/>
        <w:tblW w:w="0" w:type="auto"/>
        <w:tblLook w:val="04A0" w:firstRow="1" w:lastRow="0" w:firstColumn="1" w:lastColumn="0" w:noHBand="0" w:noVBand="1"/>
      </w:tblPr>
      <w:tblGrid>
        <w:gridCol w:w="994"/>
        <w:gridCol w:w="2781"/>
        <w:gridCol w:w="3240"/>
        <w:gridCol w:w="2335"/>
      </w:tblGrid>
      <w:tr w:rsidR="000663F6" w:rsidRPr="00861A34" w:rsidTr="000663F6">
        <w:trPr>
          <w:trHeight w:val="432"/>
        </w:trPr>
        <w:tc>
          <w:tcPr>
            <w:tcW w:w="994" w:type="dxa"/>
            <w:shd w:val="clear" w:color="auto" w:fill="000000" w:themeFill="text1"/>
          </w:tcPr>
          <w:p w:rsidR="000663F6" w:rsidRPr="00861A34" w:rsidRDefault="000663F6" w:rsidP="000663F6">
            <w:pPr>
              <w:jc w:val="center"/>
              <w:rPr>
                <w:rFonts w:ascii="Palatino Linotype" w:hAnsi="Palatino Linotype"/>
                <w:sz w:val="20"/>
                <w:szCs w:val="20"/>
              </w:rPr>
            </w:pPr>
            <w:r w:rsidRPr="00861A34">
              <w:rPr>
                <w:rFonts w:ascii="Palatino Linotype" w:hAnsi="Palatino Linotype"/>
                <w:sz w:val="20"/>
                <w:szCs w:val="20"/>
              </w:rPr>
              <w:t>Year</w:t>
            </w:r>
          </w:p>
        </w:tc>
        <w:tc>
          <w:tcPr>
            <w:tcW w:w="2781" w:type="dxa"/>
            <w:shd w:val="clear" w:color="auto" w:fill="000000" w:themeFill="text1"/>
          </w:tcPr>
          <w:p w:rsidR="000663F6" w:rsidRPr="00861A34" w:rsidRDefault="000663F6" w:rsidP="000663F6">
            <w:pPr>
              <w:jc w:val="center"/>
              <w:rPr>
                <w:rFonts w:ascii="Palatino Linotype" w:hAnsi="Palatino Linotype"/>
                <w:sz w:val="20"/>
                <w:szCs w:val="20"/>
              </w:rPr>
            </w:pPr>
            <w:r>
              <w:rPr>
                <w:rFonts w:ascii="Palatino Linotype" w:hAnsi="Palatino Linotype"/>
                <w:sz w:val="20"/>
                <w:szCs w:val="20"/>
              </w:rPr>
              <w:t>Synthetic 13</w:t>
            </w:r>
            <w:r w:rsidRPr="00861A34">
              <w:rPr>
                <w:rFonts w:ascii="Palatino Linotype" w:hAnsi="Palatino Linotype"/>
                <w:sz w:val="20"/>
                <w:szCs w:val="20"/>
              </w:rPr>
              <w:t>% N</w:t>
            </w:r>
          </w:p>
        </w:tc>
        <w:tc>
          <w:tcPr>
            <w:tcW w:w="3240" w:type="dxa"/>
            <w:shd w:val="clear" w:color="auto" w:fill="000000" w:themeFill="text1"/>
          </w:tcPr>
          <w:p w:rsidR="000663F6" w:rsidRPr="00861A34" w:rsidRDefault="000663F6" w:rsidP="000663F6">
            <w:pPr>
              <w:jc w:val="center"/>
              <w:rPr>
                <w:rFonts w:ascii="Palatino Linotype" w:hAnsi="Palatino Linotype"/>
                <w:sz w:val="20"/>
                <w:szCs w:val="20"/>
              </w:rPr>
            </w:pPr>
            <w:r>
              <w:rPr>
                <w:rFonts w:ascii="Palatino Linotype" w:hAnsi="Palatino Linotype"/>
                <w:sz w:val="20"/>
                <w:szCs w:val="20"/>
              </w:rPr>
              <w:t>Organic 7</w:t>
            </w:r>
            <w:r w:rsidRPr="00861A34">
              <w:rPr>
                <w:rFonts w:ascii="Palatino Linotype" w:hAnsi="Palatino Linotype"/>
                <w:sz w:val="20"/>
                <w:szCs w:val="20"/>
              </w:rPr>
              <w:t>% N</w:t>
            </w:r>
          </w:p>
        </w:tc>
        <w:tc>
          <w:tcPr>
            <w:tcW w:w="2335" w:type="dxa"/>
            <w:shd w:val="clear" w:color="auto" w:fill="000000" w:themeFill="text1"/>
          </w:tcPr>
          <w:p w:rsidR="000663F6" w:rsidRPr="00861A34" w:rsidRDefault="00F87697" w:rsidP="002C023C">
            <w:pPr>
              <w:jc w:val="center"/>
              <w:rPr>
                <w:rFonts w:ascii="Palatino Linotype" w:hAnsi="Palatino Linotype"/>
                <w:sz w:val="20"/>
                <w:szCs w:val="20"/>
              </w:rPr>
            </w:pPr>
            <w:r>
              <w:rPr>
                <w:rFonts w:ascii="Palatino Linotype" w:hAnsi="Palatino Linotype"/>
                <w:sz w:val="20"/>
                <w:szCs w:val="20"/>
              </w:rPr>
              <w:t>MT e</w:t>
            </w:r>
            <w:r w:rsidR="000663F6">
              <w:rPr>
                <w:rFonts w:ascii="Palatino Linotype" w:hAnsi="Palatino Linotype"/>
                <w:sz w:val="20"/>
                <w:szCs w:val="20"/>
              </w:rPr>
              <w:t>CO</w:t>
            </w:r>
            <w:r w:rsidR="000663F6" w:rsidRPr="00861A34">
              <w:rPr>
                <w:rFonts w:ascii="Palatino Linotype" w:hAnsi="Palatino Linotype"/>
                <w:vertAlign w:val="subscript"/>
              </w:rPr>
              <w:t>2</w:t>
            </w:r>
          </w:p>
        </w:tc>
      </w:tr>
      <w:tr w:rsidR="000663F6" w:rsidRPr="00861A34" w:rsidTr="000663F6">
        <w:trPr>
          <w:trHeight w:val="432"/>
        </w:trPr>
        <w:tc>
          <w:tcPr>
            <w:tcW w:w="994" w:type="dxa"/>
          </w:tcPr>
          <w:p w:rsidR="000663F6" w:rsidRPr="000663F6" w:rsidRDefault="000663F6" w:rsidP="000663F6">
            <w:pPr>
              <w:jc w:val="center"/>
              <w:rPr>
                <w:rFonts w:ascii="Palatino Linotype" w:hAnsi="Palatino Linotype"/>
              </w:rPr>
            </w:pPr>
            <w:r w:rsidRPr="000663F6">
              <w:rPr>
                <w:rFonts w:ascii="Palatino Linotype" w:hAnsi="Palatino Linotype"/>
              </w:rPr>
              <w:t>2014</w:t>
            </w:r>
          </w:p>
        </w:tc>
        <w:tc>
          <w:tcPr>
            <w:tcW w:w="2781" w:type="dxa"/>
          </w:tcPr>
          <w:p w:rsidR="000663F6" w:rsidRPr="000663F6" w:rsidRDefault="000663F6" w:rsidP="000663F6">
            <w:pPr>
              <w:jc w:val="center"/>
              <w:rPr>
                <w:rFonts w:ascii="Palatino Linotype" w:hAnsi="Palatino Linotype"/>
              </w:rPr>
            </w:pPr>
            <w:r w:rsidRPr="000663F6">
              <w:rPr>
                <w:rFonts w:ascii="Palatino Linotype" w:hAnsi="Palatino Linotype"/>
              </w:rPr>
              <w:t>9,000</w:t>
            </w:r>
          </w:p>
        </w:tc>
        <w:tc>
          <w:tcPr>
            <w:tcW w:w="3240" w:type="dxa"/>
          </w:tcPr>
          <w:p w:rsidR="000663F6" w:rsidRPr="000663F6" w:rsidRDefault="000663F6" w:rsidP="000663F6">
            <w:pPr>
              <w:jc w:val="center"/>
              <w:rPr>
                <w:rFonts w:ascii="Palatino Linotype" w:hAnsi="Palatino Linotype" w:cs="Calibri"/>
                <w:color w:val="000000"/>
              </w:rPr>
            </w:pPr>
            <w:r w:rsidRPr="000663F6">
              <w:rPr>
                <w:rFonts w:ascii="Palatino Linotype" w:hAnsi="Palatino Linotype" w:cs="Calibri"/>
                <w:color w:val="000000"/>
              </w:rPr>
              <w:t>4,000</w:t>
            </w:r>
          </w:p>
          <w:p w:rsidR="000663F6" w:rsidRPr="000663F6" w:rsidRDefault="000663F6" w:rsidP="000663F6">
            <w:pPr>
              <w:jc w:val="center"/>
              <w:rPr>
                <w:rFonts w:ascii="Palatino Linotype" w:hAnsi="Palatino Linotype"/>
              </w:rPr>
            </w:pPr>
          </w:p>
        </w:tc>
        <w:tc>
          <w:tcPr>
            <w:tcW w:w="2335" w:type="dxa"/>
          </w:tcPr>
          <w:p w:rsidR="000663F6" w:rsidRPr="000663F6" w:rsidRDefault="000663F6" w:rsidP="000663F6">
            <w:pPr>
              <w:jc w:val="center"/>
              <w:rPr>
                <w:rFonts w:ascii="Palatino Linotype" w:hAnsi="Palatino Linotype"/>
              </w:rPr>
            </w:pPr>
            <w:r w:rsidRPr="000663F6">
              <w:rPr>
                <w:rFonts w:ascii="Palatino Linotype" w:hAnsi="Palatino Linotype"/>
              </w:rPr>
              <w:t>6.1</w:t>
            </w:r>
          </w:p>
        </w:tc>
      </w:tr>
    </w:tbl>
    <w:p w:rsidR="000663F6" w:rsidRDefault="000663F6" w:rsidP="000663F6">
      <w:pPr>
        <w:spacing w:after="0"/>
        <w:rPr>
          <w:rFonts w:ascii="Palatino Linotype" w:hAnsi="Palatino Linotype"/>
        </w:rPr>
      </w:pPr>
    </w:p>
    <w:p w:rsidR="000663F6" w:rsidRDefault="003B2A7C" w:rsidP="00057846">
      <w:pPr>
        <w:rPr>
          <w:rFonts w:ascii="Palatino Linotype" w:hAnsi="Palatino Linotype"/>
        </w:rPr>
      </w:pPr>
      <w:r>
        <w:rPr>
          <w:rFonts w:ascii="Palatino Linotype" w:hAnsi="Palatino Linotype"/>
        </w:rPr>
        <w:t xml:space="preserve">The GHG nitrous oxide, </w:t>
      </w:r>
      <w:r w:rsidRPr="00861A34">
        <w:rPr>
          <w:rFonts w:ascii="Palatino Linotype" w:hAnsi="Palatino Linotype"/>
        </w:rPr>
        <w:t>N</w:t>
      </w:r>
      <w:r w:rsidRPr="00861A34">
        <w:rPr>
          <w:rFonts w:ascii="Palatino Linotype" w:hAnsi="Palatino Linotype"/>
          <w:vertAlign w:val="subscript"/>
        </w:rPr>
        <w:t>2</w:t>
      </w:r>
      <w:r w:rsidRPr="00861A34">
        <w:rPr>
          <w:rFonts w:ascii="Palatino Linotype" w:hAnsi="Palatino Linotype"/>
        </w:rPr>
        <w:t>O</w:t>
      </w:r>
      <w:r>
        <w:rPr>
          <w:rFonts w:ascii="Palatino Linotype" w:hAnsi="Palatino Linotype"/>
        </w:rPr>
        <w:t>,</w:t>
      </w:r>
      <w:r w:rsidR="007711E6" w:rsidRPr="00861A34">
        <w:rPr>
          <w:rFonts w:ascii="Palatino Linotype" w:hAnsi="Palatino Linotype"/>
        </w:rPr>
        <w:t xml:space="preserve"> is formed from fertilizer application through oxidation processes that </w:t>
      </w:r>
      <w:r w:rsidR="007D7430" w:rsidRPr="00861A34">
        <w:rPr>
          <w:rFonts w:ascii="Palatino Linotype" w:hAnsi="Palatino Linotype"/>
        </w:rPr>
        <w:t>convert a small portion of the nitrogen</w:t>
      </w:r>
      <w:r w:rsidR="007711E6" w:rsidRPr="00861A34">
        <w:rPr>
          <w:rFonts w:ascii="Palatino Linotype" w:hAnsi="Palatino Linotype"/>
        </w:rPr>
        <w:t xml:space="preserve"> to small amounts of </w:t>
      </w:r>
      <w:r w:rsidRPr="00861A34">
        <w:rPr>
          <w:rFonts w:ascii="Palatino Linotype" w:hAnsi="Palatino Linotype"/>
        </w:rPr>
        <w:t>N</w:t>
      </w:r>
      <w:r w:rsidRPr="00861A34">
        <w:rPr>
          <w:rFonts w:ascii="Palatino Linotype" w:hAnsi="Palatino Linotype"/>
          <w:vertAlign w:val="subscript"/>
        </w:rPr>
        <w:t>2</w:t>
      </w:r>
      <w:r w:rsidRPr="00861A34">
        <w:rPr>
          <w:rFonts w:ascii="Palatino Linotype" w:hAnsi="Palatino Linotype"/>
        </w:rPr>
        <w:t>O</w:t>
      </w:r>
      <w:r w:rsidR="007711E6" w:rsidRPr="00861A34">
        <w:rPr>
          <w:rFonts w:ascii="Palatino Linotype" w:hAnsi="Palatino Linotype"/>
        </w:rPr>
        <w:t xml:space="preserve">.  </w:t>
      </w:r>
      <w:r>
        <w:rPr>
          <w:rFonts w:ascii="Palatino Linotype" w:hAnsi="Palatino Linotype"/>
        </w:rPr>
        <w:t xml:space="preserve">The </w:t>
      </w:r>
      <w:r w:rsidR="003E6888" w:rsidRPr="00861A34">
        <w:rPr>
          <w:rFonts w:ascii="Palatino Linotype" w:hAnsi="Palatino Linotype"/>
        </w:rPr>
        <w:t>SJU</w:t>
      </w:r>
      <w:r w:rsidR="007711E6" w:rsidRPr="00861A34">
        <w:rPr>
          <w:rFonts w:ascii="Palatino Linotype" w:hAnsi="Palatino Linotype"/>
        </w:rPr>
        <w:t xml:space="preserve"> Grounds </w:t>
      </w:r>
      <w:r>
        <w:rPr>
          <w:rFonts w:ascii="Palatino Linotype" w:hAnsi="Palatino Linotype"/>
        </w:rPr>
        <w:t xml:space="preserve">Department </w:t>
      </w:r>
      <w:r w:rsidR="007711E6" w:rsidRPr="00861A34">
        <w:rPr>
          <w:rFonts w:ascii="Palatino Linotype" w:hAnsi="Palatino Linotype"/>
        </w:rPr>
        <w:t>applies fertilizer on campus to maintain an aesthetic</w:t>
      </w:r>
      <w:r>
        <w:rPr>
          <w:rFonts w:ascii="Palatino Linotype" w:hAnsi="Palatino Linotype"/>
        </w:rPr>
        <w:t>ally-pleasing</w:t>
      </w:r>
      <w:r w:rsidR="007711E6" w:rsidRPr="00861A34">
        <w:rPr>
          <w:rFonts w:ascii="Palatino Linotype" w:hAnsi="Palatino Linotype"/>
        </w:rPr>
        <w:t xml:space="preserve"> landscape. </w:t>
      </w:r>
      <w:r w:rsidR="003E6888" w:rsidRPr="00861A34">
        <w:rPr>
          <w:rFonts w:ascii="Palatino Linotype" w:hAnsi="Palatino Linotype"/>
        </w:rPr>
        <w:t xml:space="preserve"> </w:t>
      </w:r>
      <w:r>
        <w:rPr>
          <w:rFonts w:ascii="Palatino Linotype" w:hAnsi="Palatino Linotype"/>
        </w:rPr>
        <w:t>Saint John’s used two fertilizers in 2014. One is a synthetic fertilizer with 13% nitrogen content and the other is an organic fertilizer with 7% nitrogen.</w:t>
      </w:r>
      <w:r w:rsidR="002810E7" w:rsidRPr="00861A34">
        <w:rPr>
          <w:rFonts w:ascii="Palatino Linotype" w:hAnsi="Palatino Linotype"/>
        </w:rPr>
        <w:t xml:space="preserve">  </w:t>
      </w:r>
    </w:p>
    <w:p w:rsidR="003B2A7C" w:rsidRDefault="000663F6" w:rsidP="00057846">
      <w:pPr>
        <w:rPr>
          <w:rFonts w:ascii="Palatino Linotype" w:hAnsi="Palatino Linotype"/>
        </w:rPr>
      </w:pPr>
      <w:r w:rsidRPr="003B2A7C">
        <w:rPr>
          <w:rFonts w:ascii="Palatino Linotype" w:hAnsi="Palatino Linotype"/>
        </w:rPr>
        <w:t xml:space="preserve">According to the </w:t>
      </w:r>
      <w:r>
        <w:rPr>
          <w:rFonts w:ascii="Palatino Linotype" w:hAnsi="Palatino Linotype"/>
        </w:rPr>
        <w:t>Grounds Department</w:t>
      </w:r>
      <w:r w:rsidRPr="003B2A7C">
        <w:rPr>
          <w:rFonts w:ascii="Palatino Linotype" w:hAnsi="Palatino Linotype"/>
        </w:rPr>
        <w:t>, there was not a significant change in t</w:t>
      </w:r>
      <w:r>
        <w:rPr>
          <w:rFonts w:ascii="Palatino Linotype" w:hAnsi="Palatino Linotype"/>
        </w:rPr>
        <w:t xml:space="preserve">he quantity or nitrogen content </w:t>
      </w:r>
      <w:r w:rsidRPr="003B2A7C">
        <w:rPr>
          <w:rFonts w:ascii="Palatino Linotype" w:hAnsi="Palatino Linotype"/>
        </w:rPr>
        <w:t xml:space="preserve">of the fertilizers used in FY2012, 2013, or 2014. Thus, the same </w:t>
      </w:r>
      <w:r>
        <w:rPr>
          <w:rFonts w:ascii="Palatino Linotype" w:hAnsi="Palatino Linotype"/>
        </w:rPr>
        <w:t xml:space="preserve">data was entered into the CA-CP </w:t>
      </w:r>
      <w:r w:rsidRPr="003B2A7C">
        <w:rPr>
          <w:rFonts w:ascii="Palatino Linotype" w:hAnsi="Palatino Linotype"/>
        </w:rPr>
        <w:t>spreadsheet calculator for each of those three years. As a side-</w:t>
      </w:r>
      <w:r>
        <w:rPr>
          <w:rFonts w:ascii="Palatino Linotype" w:hAnsi="Palatino Linotype"/>
        </w:rPr>
        <w:t>note, when converting the esti</w:t>
      </w:r>
      <w:r w:rsidRPr="003B2A7C">
        <w:rPr>
          <w:rFonts w:ascii="Palatino Linotype" w:hAnsi="Palatino Linotype"/>
        </w:rPr>
        <w:t>mated tons into pounds, the number of pounds was multiplied by 2000. An e</w:t>
      </w:r>
      <w:r>
        <w:rPr>
          <w:rFonts w:ascii="Palatino Linotype" w:hAnsi="Palatino Linotype"/>
        </w:rPr>
        <w:t xml:space="preserve">stimate was given of "4-5 tons" </w:t>
      </w:r>
      <w:r w:rsidRPr="003B2A7C">
        <w:rPr>
          <w:rFonts w:ascii="Palatino Linotype" w:hAnsi="Palatino Linotype"/>
        </w:rPr>
        <w:t xml:space="preserve">for synthetic fertilizer usage, however. That equals 8,000 to 10,000 pounds. </w:t>
      </w:r>
      <w:r>
        <w:rPr>
          <w:rFonts w:ascii="Palatino Linotype" w:hAnsi="Palatino Linotype"/>
        </w:rPr>
        <w:t xml:space="preserve">A mid-point of 9000 pounds was </w:t>
      </w:r>
      <w:r w:rsidRPr="003B2A7C">
        <w:rPr>
          <w:rFonts w:ascii="Palatino Linotype" w:hAnsi="Palatino Linotype"/>
        </w:rPr>
        <w:t>entered into the spreadsheet.</w:t>
      </w:r>
    </w:p>
    <w:p w:rsidR="006A3027" w:rsidRPr="00861A34" w:rsidRDefault="003B2A7C" w:rsidP="00057846">
      <w:pPr>
        <w:rPr>
          <w:rFonts w:ascii="Palatino Linotype" w:hAnsi="Palatino Linotype"/>
        </w:rPr>
      </w:pPr>
      <w:r>
        <w:rPr>
          <w:rFonts w:ascii="Palatino Linotype" w:hAnsi="Palatino Linotype"/>
        </w:rPr>
        <w:t xml:space="preserve">It should </w:t>
      </w:r>
      <w:r w:rsidR="000663F6">
        <w:rPr>
          <w:rFonts w:ascii="Palatino Linotype" w:hAnsi="Palatino Linotype"/>
        </w:rPr>
        <w:t xml:space="preserve">also be </w:t>
      </w:r>
      <w:r w:rsidRPr="003B2A7C">
        <w:rPr>
          <w:rFonts w:ascii="Palatino Linotype" w:hAnsi="Palatino Linotype"/>
        </w:rPr>
        <w:t>noted</w:t>
      </w:r>
      <w:r>
        <w:rPr>
          <w:rFonts w:ascii="Palatino Linotype" w:hAnsi="Palatino Linotype"/>
        </w:rPr>
        <w:t xml:space="preserve"> </w:t>
      </w:r>
      <w:r w:rsidRPr="003B2A7C">
        <w:rPr>
          <w:rFonts w:ascii="Palatino Linotype" w:hAnsi="Palatino Linotype"/>
        </w:rPr>
        <w:t xml:space="preserve">that the synthetic fertilizer contains no phosphorus. </w:t>
      </w:r>
      <w:r w:rsidR="000663F6">
        <w:rPr>
          <w:rFonts w:ascii="Palatino Linotype" w:hAnsi="Palatino Linotype"/>
        </w:rPr>
        <w:t xml:space="preserve"> It was not considered in this inventory because it does not contribute to global warming. </w:t>
      </w:r>
      <w:r w:rsidRPr="003B2A7C">
        <w:rPr>
          <w:rFonts w:ascii="Palatino Linotype" w:hAnsi="Palatino Linotype"/>
        </w:rPr>
        <w:t xml:space="preserve">Phosphorus </w:t>
      </w:r>
      <w:r>
        <w:rPr>
          <w:rFonts w:ascii="Palatino Linotype" w:hAnsi="Palatino Linotype"/>
        </w:rPr>
        <w:t>has a notable environ</w:t>
      </w:r>
      <w:r w:rsidRPr="003B2A7C">
        <w:rPr>
          <w:rFonts w:ascii="Palatino Linotype" w:hAnsi="Palatino Linotype"/>
        </w:rPr>
        <w:t>mental impact</w:t>
      </w:r>
      <w:r w:rsidR="000663F6">
        <w:rPr>
          <w:rFonts w:ascii="Palatino Linotype" w:hAnsi="Palatino Linotype"/>
        </w:rPr>
        <w:t>, however, especially on water quality.</w:t>
      </w:r>
    </w:p>
    <w:p w:rsidR="007711E6" w:rsidRPr="00861A34" w:rsidRDefault="003E6888" w:rsidP="007711E6">
      <w:pPr>
        <w:spacing w:after="0"/>
        <w:rPr>
          <w:rFonts w:ascii="Palatino Linotype" w:hAnsi="Palatino Linotype"/>
        </w:rPr>
      </w:pPr>
      <w:r w:rsidRPr="000663F6">
        <w:rPr>
          <w:rFonts w:ascii="Palatino Linotype" w:hAnsi="Palatino Linotype"/>
        </w:rPr>
        <w:t xml:space="preserve">Fertilizer </w:t>
      </w:r>
      <w:r w:rsidR="007711E6" w:rsidRPr="000663F6">
        <w:rPr>
          <w:rFonts w:ascii="Palatino Linotype" w:hAnsi="Palatino Linotype"/>
        </w:rPr>
        <w:t xml:space="preserve">use </w:t>
      </w:r>
      <w:r w:rsidR="007B594E" w:rsidRPr="000663F6">
        <w:rPr>
          <w:rFonts w:ascii="Palatino Linotype" w:hAnsi="Palatino Linotype"/>
        </w:rPr>
        <w:t xml:space="preserve">is a minor </w:t>
      </w:r>
      <w:r w:rsidR="007711E6" w:rsidRPr="000663F6">
        <w:rPr>
          <w:rFonts w:ascii="Palatino Linotype" w:hAnsi="Palatino Linotype"/>
        </w:rPr>
        <w:t>contribut</w:t>
      </w:r>
      <w:r w:rsidR="007B594E" w:rsidRPr="000663F6">
        <w:rPr>
          <w:rFonts w:ascii="Palatino Linotype" w:hAnsi="Palatino Linotype"/>
        </w:rPr>
        <w:t>or</w:t>
      </w:r>
      <w:r w:rsidR="007711E6" w:rsidRPr="000663F6">
        <w:rPr>
          <w:rFonts w:ascii="Palatino Linotype" w:hAnsi="Palatino Linotype"/>
        </w:rPr>
        <w:t xml:space="preserve"> to </w:t>
      </w:r>
      <w:r w:rsidR="007B594E" w:rsidRPr="000663F6">
        <w:rPr>
          <w:rFonts w:ascii="Palatino Linotype" w:hAnsi="Palatino Linotype"/>
        </w:rPr>
        <w:t>the</w:t>
      </w:r>
      <w:r w:rsidR="00BE0E4E" w:rsidRPr="000663F6">
        <w:rPr>
          <w:rFonts w:ascii="Palatino Linotype" w:hAnsi="Palatino Linotype"/>
        </w:rPr>
        <w:t xml:space="preserve"> </w:t>
      </w:r>
      <w:r w:rsidR="00B546E4" w:rsidRPr="000663F6">
        <w:rPr>
          <w:rFonts w:ascii="Palatino Linotype" w:hAnsi="Palatino Linotype"/>
        </w:rPr>
        <w:t>total emissions</w:t>
      </w:r>
      <w:r w:rsidR="003B2A7C" w:rsidRPr="000663F6">
        <w:rPr>
          <w:rFonts w:ascii="Palatino Linotype" w:hAnsi="Palatino Linotype"/>
        </w:rPr>
        <w:t>, accounting for just</w:t>
      </w:r>
      <w:r w:rsidR="002810E7" w:rsidRPr="000663F6">
        <w:rPr>
          <w:rFonts w:ascii="Palatino Linotype" w:hAnsi="Palatino Linotype"/>
        </w:rPr>
        <w:t xml:space="preserve"> </w:t>
      </w:r>
      <w:r w:rsidR="000663F6" w:rsidRPr="000663F6">
        <w:rPr>
          <w:rFonts w:ascii="Palatino Linotype" w:hAnsi="Palatino Linotype"/>
        </w:rPr>
        <w:t>6.1</w:t>
      </w:r>
      <w:r w:rsidR="00E13E7D" w:rsidRPr="000663F6">
        <w:rPr>
          <w:rFonts w:ascii="Palatino Linotype" w:hAnsi="Palatino Linotype"/>
        </w:rPr>
        <w:t xml:space="preserve"> </w:t>
      </w:r>
      <w:r w:rsidR="00F87697" w:rsidRPr="00F87697">
        <w:rPr>
          <w:rFonts w:ascii="Palatino Linotype" w:hAnsi="Palatino Linotype"/>
        </w:rPr>
        <w:t>MT</w:t>
      </w:r>
      <w:r w:rsidR="00F87697">
        <w:rPr>
          <w:rFonts w:ascii="Palatino Linotype" w:hAnsi="Palatino Linotype"/>
        </w:rPr>
        <w:t xml:space="preserve"> e</w:t>
      </w:r>
      <w:r w:rsidR="00F87697" w:rsidRPr="00F87697">
        <w:rPr>
          <w:rFonts w:ascii="Palatino Linotype" w:hAnsi="Palatino Linotype"/>
        </w:rPr>
        <w:t>CO</w:t>
      </w:r>
      <w:r w:rsidR="00F87697" w:rsidRPr="00F87697">
        <w:rPr>
          <w:rFonts w:ascii="Palatino Linotype" w:hAnsi="Palatino Linotype"/>
          <w:vertAlign w:val="subscript"/>
        </w:rPr>
        <w:t>2</w:t>
      </w:r>
      <w:r w:rsidR="000663F6" w:rsidRPr="000663F6">
        <w:rPr>
          <w:rFonts w:ascii="Palatino Linotype" w:hAnsi="Palatino Linotype"/>
        </w:rPr>
        <w:t xml:space="preserve"> </w:t>
      </w:r>
      <w:r w:rsidR="00C167C5" w:rsidRPr="000663F6">
        <w:rPr>
          <w:rFonts w:ascii="Palatino Linotype" w:hAnsi="Palatino Linotype"/>
        </w:rPr>
        <w:t>in 201</w:t>
      </w:r>
      <w:r w:rsidR="000663F6" w:rsidRPr="000663F6">
        <w:rPr>
          <w:rFonts w:ascii="Palatino Linotype" w:hAnsi="Palatino Linotype"/>
        </w:rPr>
        <w:t>4</w:t>
      </w:r>
      <w:r w:rsidR="00B546E4" w:rsidRPr="000663F6">
        <w:rPr>
          <w:rFonts w:ascii="Palatino Linotype" w:hAnsi="Palatino Linotype"/>
        </w:rPr>
        <w:t>.</w:t>
      </w:r>
      <w:r w:rsidR="000663F6" w:rsidRPr="000663F6">
        <w:rPr>
          <w:rFonts w:ascii="Palatino Linotype" w:hAnsi="Palatino Linotype"/>
        </w:rPr>
        <w:t xml:space="preserve"> For reference, fertilizer use accounted for 14 </w:t>
      </w:r>
      <w:r w:rsidR="00F87697" w:rsidRPr="00F87697">
        <w:rPr>
          <w:rFonts w:ascii="Palatino Linotype" w:hAnsi="Palatino Linotype"/>
        </w:rPr>
        <w:t>MT</w:t>
      </w:r>
      <w:r w:rsidR="00F87697">
        <w:rPr>
          <w:rFonts w:ascii="Palatino Linotype" w:hAnsi="Palatino Linotype"/>
        </w:rPr>
        <w:t xml:space="preserve"> e</w:t>
      </w:r>
      <w:r w:rsidR="00F87697" w:rsidRPr="00F87697">
        <w:rPr>
          <w:rFonts w:ascii="Palatino Linotype" w:hAnsi="Palatino Linotype"/>
        </w:rPr>
        <w:t>CO</w:t>
      </w:r>
      <w:r w:rsidR="00F87697" w:rsidRPr="00F87697">
        <w:rPr>
          <w:rFonts w:ascii="Palatino Linotype" w:hAnsi="Palatino Linotype"/>
          <w:vertAlign w:val="subscript"/>
        </w:rPr>
        <w:t>2</w:t>
      </w:r>
      <w:r w:rsidR="000663F6" w:rsidRPr="00F87697">
        <w:rPr>
          <w:rFonts w:ascii="Palatino Linotype" w:hAnsi="Palatino Linotype"/>
          <w:vertAlign w:val="subscript"/>
        </w:rPr>
        <w:t xml:space="preserve"> </w:t>
      </w:r>
      <w:r w:rsidR="000663F6" w:rsidRPr="000663F6">
        <w:rPr>
          <w:rFonts w:ascii="Palatino Linotype" w:hAnsi="Palatino Linotype"/>
        </w:rPr>
        <w:t>in the 2011 inventory, more than twice as much as in this inventory. The reduction in emissions from fertilizer use on campus primarily comes from a reduction in the nitrogen content in the fertilizers which are used.</w:t>
      </w:r>
    </w:p>
    <w:p w:rsidR="007711E6" w:rsidRDefault="003A75AD" w:rsidP="003A75AD">
      <w:pPr>
        <w:pStyle w:val="RegularText"/>
        <w:spacing w:before="120" w:after="120" w:line="300" w:lineRule="auto"/>
        <w:rPr>
          <w:rFonts w:ascii="Palatino Linotype" w:hAnsi="Palatino Linotype" w:cs="Arial"/>
          <w:b/>
          <w:smallCaps/>
          <w:sz w:val="28"/>
        </w:rPr>
      </w:pPr>
      <w:r w:rsidRPr="00861A34">
        <w:rPr>
          <w:rFonts w:ascii="Palatino Linotype" w:hAnsi="Palatino Linotype" w:cs="Arial"/>
          <w:b/>
          <w:smallCaps/>
          <w:sz w:val="28"/>
        </w:rPr>
        <w:t>Solid Waste Management</w:t>
      </w:r>
    </w:p>
    <w:p w:rsidR="00057846" w:rsidRPr="00861A34" w:rsidRDefault="00057846" w:rsidP="00057846">
      <w:pPr>
        <w:pStyle w:val="BodyText2"/>
        <w:ind w:left="0"/>
        <w:jc w:val="center"/>
        <w:rPr>
          <w:rFonts w:ascii="Palatino Linotype" w:hAnsi="Palatino Linotype"/>
          <w:b/>
        </w:rPr>
      </w:pPr>
      <w:r>
        <w:rPr>
          <w:rFonts w:ascii="Palatino Linotype" w:hAnsi="Palatino Linotype"/>
          <w:b/>
        </w:rPr>
        <w:t>Table 11</w:t>
      </w:r>
      <w:r w:rsidRPr="00861A34">
        <w:rPr>
          <w:rFonts w:ascii="Palatino Linotype" w:hAnsi="Palatino Linotype"/>
          <w:b/>
        </w:rPr>
        <w:t xml:space="preserve">: </w:t>
      </w:r>
      <w:r>
        <w:rPr>
          <w:rFonts w:ascii="Palatino Linotype" w:hAnsi="Palatino Linotype"/>
          <w:b/>
        </w:rPr>
        <w:t>Solid Waste, Landfill, and Incineration Data for 2014</w:t>
      </w:r>
    </w:p>
    <w:tbl>
      <w:tblPr>
        <w:tblStyle w:val="TableGrid"/>
        <w:tblW w:w="0" w:type="auto"/>
        <w:tblLook w:val="04A0" w:firstRow="1" w:lastRow="0" w:firstColumn="1" w:lastColumn="0" w:noHBand="0" w:noVBand="1"/>
      </w:tblPr>
      <w:tblGrid>
        <w:gridCol w:w="691"/>
        <w:gridCol w:w="1554"/>
        <w:gridCol w:w="1440"/>
        <w:gridCol w:w="2250"/>
        <w:gridCol w:w="2340"/>
        <w:gridCol w:w="1075"/>
      </w:tblGrid>
      <w:tr w:rsidR="00057846" w:rsidRPr="00861A34" w:rsidTr="00057846">
        <w:trPr>
          <w:trHeight w:val="432"/>
        </w:trPr>
        <w:tc>
          <w:tcPr>
            <w:tcW w:w="691" w:type="dxa"/>
            <w:shd w:val="clear" w:color="auto" w:fill="000000" w:themeFill="text1"/>
          </w:tcPr>
          <w:p w:rsidR="00057846" w:rsidRPr="00861A34" w:rsidRDefault="00057846" w:rsidP="00C24BEB">
            <w:pPr>
              <w:jc w:val="center"/>
              <w:rPr>
                <w:rFonts w:ascii="Palatino Linotype" w:hAnsi="Palatino Linotype"/>
                <w:sz w:val="20"/>
                <w:szCs w:val="20"/>
              </w:rPr>
            </w:pPr>
            <w:r w:rsidRPr="00861A34">
              <w:rPr>
                <w:rFonts w:ascii="Palatino Linotype" w:hAnsi="Palatino Linotype"/>
                <w:sz w:val="20"/>
                <w:szCs w:val="20"/>
              </w:rPr>
              <w:lastRenderedPageBreak/>
              <w:t>Year</w:t>
            </w:r>
          </w:p>
        </w:tc>
        <w:tc>
          <w:tcPr>
            <w:tcW w:w="1554" w:type="dxa"/>
            <w:shd w:val="clear" w:color="auto" w:fill="000000" w:themeFill="text1"/>
          </w:tcPr>
          <w:p w:rsidR="00057846" w:rsidRPr="00861A34" w:rsidRDefault="00057846" w:rsidP="00C24BEB">
            <w:pPr>
              <w:jc w:val="center"/>
              <w:rPr>
                <w:rFonts w:ascii="Palatino Linotype" w:hAnsi="Palatino Linotype"/>
                <w:sz w:val="20"/>
                <w:szCs w:val="20"/>
              </w:rPr>
            </w:pPr>
            <w:r>
              <w:rPr>
                <w:rFonts w:ascii="Palatino Linotype" w:hAnsi="Palatino Linotype"/>
                <w:sz w:val="20"/>
                <w:szCs w:val="20"/>
              </w:rPr>
              <w:t>Monthly Waste in Tons</w:t>
            </w:r>
          </w:p>
        </w:tc>
        <w:tc>
          <w:tcPr>
            <w:tcW w:w="1440" w:type="dxa"/>
            <w:shd w:val="clear" w:color="auto" w:fill="000000" w:themeFill="text1"/>
          </w:tcPr>
          <w:p w:rsidR="00057846" w:rsidRPr="00861A34" w:rsidRDefault="00057846" w:rsidP="00C24BEB">
            <w:pPr>
              <w:jc w:val="center"/>
              <w:rPr>
                <w:rFonts w:ascii="Palatino Linotype" w:hAnsi="Palatino Linotype"/>
                <w:sz w:val="20"/>
                <w:szCs w:val="20"/>
              </w:rPr>
            </w:pPr>
            <w:r>
              <w:rPr>
                <w:rFonts w:ascii="Palatino Linotype" w:hAnsi="Palatino Linotype"/>
                <w:sz w:val="20"/>
                <w:szCs w:val="20"/>
              </w:rPr>
              <w:t>Yearly Waste in Tons</w:t>
            </w:r>
          </w:p>
        </w:tc>
        <w:tc>
          <w:tcPr>
            <w:tcW w:w="2250" w:type="dxa"/>
            <w:shd w:val="clear" w:color="auto" w:fill="000000" w:themeFill="text1"/>
          </w:tcPr>
          <w:p w:rsidR="00057846" w:rsidRDefault="00057846" w:rsidP="00C24BEB">
            <w:pPr>
              <w:jc w:val="center"/>
              <w:rPr>
                <w:rFonts w:ascii="Palatino Linotype" w:hAnsi="Palatino Linotype"/>
                <w:sz w:val="20"/>
                <w:szCs w:val="20"/>
              </w:rPr>
            </w:pPr>
            <w:r>
              <w:rPr>
                <w:rFonts w:ascii="Palatino Linotype" w:hAnsi="Palatino Linotype"/>
                <w:sz w:val="20"/>
                <w:szCs w:val="20"/>
              </w:rPr>
              <w:t>Incinerated Tons</w:t>
            </w:r>
          </w:p>
          <w:p w:rsidR="00057846" w:rsidRDefault="00057846" w:rsidP="00C24BEB">
            <w:pPr>
              <w:jc w:val="center"/>
              <w:rPr>
                <w:rFonts w:ascii="Palatino Linotype" w:hAnsi="Palatino Linotype"/>
                <w:sz w:val="20"/>
                <w:szCs w:val="20"/>
              </w:rPr>
            </w:pPr>
            <w:r>
              <w:rPr>
                <w:rFonts w:ascii="Palatino Linotype" w:hAnsi="Palatino Linotype"/>
                <w:sz w:val="20"/>
                <w:szCs w:val="20"/>
              </w:rPr>
              <w:t>(Refuse-Derived Fuel)</w:t>
            </w:r>
          </w:p>
        </w:tc>
        <w:tc>
          <w:tcPr>
            <w:tcW w:w="2340" w:type="dxa"/>
            <w:shd w:val="clear" w:color="auto" w:fill="000000" w:themeFill="text1"/>
          </w:tcPr>
          <w:p w:rsidR="00057846" w:rsidRDefault="00057846" w:rsidP="00C24BEB">
            <w:pPr>
              <w:jc w:val="center"/>
              <w:rPr>
                <w:rFonts w:ascii="Palatino Linotype" w:hAnsi="Palatino Linotype"/>
                <w:sz w:val="20"/>
                <w:szCs w:val="20"/>
              </w:rPr>
            </w:pPr>
            <w:r>
              <w:rPr>
                <w:rFonts w:ascii="Palatino Linotype" w:hAnsi="Palatino Linotype"/>
                <w:sz w:val="20"/>
                <w:szCs w:val="20"/>
              </w:rPr>
              <w:t>Landfill with CH</w:t>
            </w:r>
            <w:r>
              <w:rPr>
                <w:rFonts w:ascii="Palatino Linotype" w:hAnsi="Palatino Linotype"/>
                <w:sz w:val="20"/>
                <w:szCs w:val="20"/>
                <w:vertAlign w:val="subscript"/>
              </w:rPr>
              <w:t>4</w:t>
            </w:r>
          </w:p>
          <w:p w:rsidR="00057846" w:rsidRPr="00057846" w:rsidRDefault="00057846" w:rsidP="00C24BEB">
            <w:pPr>
              <w:jc w:val="center"/>
              <w:rPr>
                <w:rFonts w:ascii="Palatino Linotype" w:hAnsi="Palatino Linotype"/>
                <w:sz w:val="20"/>
                <w:szCs w:val="20"/>
              </w:rPr>
            </w:pPr>
            <w:r>
              <w:rPr>
                <w:rFonts w:ascii="Palatino Linotype" w:hAnsi="Palatino Linotype"/>
                <w:sz w:val="20"/>
                <w:szCs w:val="20"/>
              </w:rPr>
              <w:t>Capture and Electricity</w:t>
            </w:r>
          </w:p>
        </w:tc>
        <w:tc>
          <w:tcPr>
            <w:tcW w:w="1075" w:type="dxa"/>
            <w:shd w:val="clear" w:color="auto" w:fill="000000" w:themeFill="text1"/>
          </w:tcPr>
          <w:p w:rsidR="00057846" w:rsidRPr="00861A34" w:rsidRDefault="00057846" w:rsidP="00C24BEB">
            <w:pPr>
              <w:jc w:val="center"/>
              <w:rPr>
                <w:rFonts w:ascii="Palatino Linotype" w:hAnsi="Palatino Linotype"/>
                <w:sz w:val="20"/>
                <w:szCs w:val="20"/>
              </w:rPr>
            </w:pPr>
            <w:r>
              <w:rPr>
                <w:rFonts w:ascii="Palatino Linotype" w:hAnsi="Palatino Linotype"/>
                <w:sz w:val="20"/>
                <w:szCs w:val="20"/>
              </w:rPr>
              <w:t>MT eCO</w:t>
            </w:r>
            <w:r w:rsidRPr="00861A34">
              <w:rPr>
                <w:rFonts w:ascii="Palatino Linotype" w:hAnsi="Palatino Linotype"/>
                <w:vertAlign w:val="subscript"/>
              </w:rPr>
              <w:t>2</w:t>
            </w:r>
          </w:p>
        </w:tc>
      </w:tr>
      <w:tr w:rsidR="00057846" w:rsidRPr="00861A34" w:rsidTr="00057846">
        <w:trPr>
          <w:trHeight w:val="432"/>
        </w:trPr>
        <w:tc>
          <w:tcPr>
            <w:tcW w:w="691" w:type="dxa"/>
          </w:tcPr>
          <w:p w:rsidR="00057846" w:rsidRPr="000663F6" w:rsidRDefault="00057846" w:rsidP="00C24BEB">
            <w:pPr>
              <w:jc w:val="center"/>
              <w:rPr>
                <w:rFonts w:ascii="Palatino Linotype" w:hAnsi="Palatino Linotype"/>
              </w:rPr>
            </w:pPr>
            <w:r w:rsidRPr="000663F6">
              <w:rPr>
                <w:rFonts w:ascii="Palatino Linotype" w:hAnsi="Palatino Linotype"/>
              </w:rPr>
              <w:t>2014</w:t>
            </w:r>
          </w:p>
        </w:tc>
        <w:tc>
          <w:tcPr>
            <w:tcW w:w="1554" w:type="dxa"/>
          </w:tcPr>
          <w:p w:rsidR="00057846" w:rsidRPr="000663F6" w:rsidRDefault="00057846" w:rsidP="00C24BEB">
            <w:pPr>
              <w:jc w:val="center"/>
              <w:rPr>
                <w:rFonts w:ascii="Palatino Linotype" w:hAnsi="Palatino Linotype"/>
              </w:rPr>
            </w:pPr>
            <w:r>
              <w:rPr>
                <w:rFonts w:ascii="Palatino Linotype" w:hAnsi="Palatino Linotype"/>
              </w:rPr>
              <w:t>72.41</w:t>
            </w:r>
          </w:p>
        </w:tc>
        <w:tc>
          <w:tcPr>
            <w:tcW w:w="1440" w:type="dxa"/>
          </w:tcPr>
          <w:p w:rsidR="00057846" w:rsidRPr="000663F6" w:rsidRDefault="00057846" w:rsidP="00C24BEB">
            <w:pPr>
              <w:jc w:val="center"/>
              <w:rPr>
                <w:rFonts w:ascii="Palatino Linotype" w:hAnsi="Palatino Linotype" w:cs="Calibri"/>
                <w:color w:val="000000"/>
              </w:rPr>
            </w:pPr>
            <w:r>
              <w:rPr>
                <w:rFonts w:ascii="Palatino Linotype" w:hAnsi="Palatino Linotype" w:cs="Calibri"/>
                <w:color w:val="000000"/>
              </w:rPr>
              <w:t>868.92</w:t>
            </w:r>
          </w:p>
          <w:p w:rsidR="00057846" w:rsidRPr="000663F6" w:rsidRDefault="00057846" w:rsidP="00C24BEB">
            <w:pPr>
              <w:jc w:val="center"/>
              <w:rPr>
                <w:rFonts w:ascii="Palatino Linotype" w:hAnsi="Palatino Linotype"/>
              </w:rPr>
            </w:pPr>
          </w:p>
        </w:tc>
        <w:tc>
          <w:tcPr>
            <w:tcW w:w="2250" w:type="dxa"/>
          </w:tcPr>
          <w:p w:rsidR="00057846" w:rsidRPr="000663F6" w:rsidRDefault="00057846" w:rsidP="00C24BEB">
            <w:pPr>
              <w:jc w:val="center"/>
              <w:rPr>
                <w:rFonts w:ascii="Palatino Linotype" w:hAnsi="Palatino Linotype"/>
              </w:rPr>
            </w:pPr>
            <w:r>
              <w:rPr>
                <w:rFonts w:ascii="Palatino Linotype" w:hAnsi="Palatino Linotype"/>
              </w:rPr>
              <w:t>434.46</w:t>
            </w:r>
          </w:p>
        </w:tc>
        <w:tc>
          <w:tcPr>
            <w:tcW w:w="2340" w:type="dxa"/>
          </w:tcPr>
          <w:p w:rsidR="00057846" w:rsidRDefault="00057846" w:rsidP="00C24BEB">
            <w:pPr>
              <w:jc w:val="center"/>
              <w:rPr>
                <w:rFonts w:ascii="Palatino Linotype" w:hAnsi="Palatino Linotype"/>
              </w:rPr>
            </w:pPr>
            <w:r>
              <w:rPr>
                <w:rFonts w:ascii="Palatino Linotype" w:hAnsi="Palatino Linotype"/>
              </w:rPr>
              <w:t>434.46</w:t>
            </w:r>
          </w:p>
        </w:tc>
        <w:tc>
          <w:tcPr>
            <w:tcW w:w="1075" w:type="dxa"/>
          </w:tcPr>
          <w:p w:rsidR="00057846" w:rsidRPr="000663F6" w:rsidRDefault="00057846" w:rsidP="00C24BEB">
            <w:pPr>
              <w:jc w:val="center"/>
              <w:rPr>
                <w:rFonts w:ascii="Palatino Linotype" w:hAnsi="Palatino Linotype"/>
              </w:rPr>
            </w:pPr>
            <w:r>
              <w:rPr>
                <w:rFonts w:ascii="Palatino Linotype" w:hAnsi="Palatino Linotype"/>
              </w:rPr>
              <w:t>-13.0*</w:t>
            </w:r>
          </w:p>
        </w:tc>
      </w:tr>
    </w:tbl>
    <w:p w:rsidR="00057846" w:rsidRDefault="00057846" w:rsidP="00F87697">
      <w:pPr>
        <w:autoSpaceDE w:val="0"/>
        <w:autoSpaceDN w:val="0"/>
        <w:adjustRightInd w:val="0"/>
        <w:spacing w:after="0" w:line="240" w:lineRule="auto"/>
        <w:rPr>
          <w:rFonts w:ascii="Palatino Linotype" w:hAnsi="Palatino Linotype"/>
        </w:rPr>
      </w:pPr>
    </w:p>
    <w:p w:rsidR="00057846" w:rsidRDefault="00057846" w:rsidP="00057846">
      <w:pPr>
        <w:autoSpaceDE w:val="0"/>
        <w:autoSpaceDN w:val="0"/>
        <w:adjustRightInd w:val="0"/>
        <w:rPr>
          <w:rFonts w:ascii="Palatino Linotype" w:hAnsi="Palatino Linotype"/>
        </w:rPr>
      </w:pPr>
      <w:r>
        <w:rPr>
          <w:rFonts w:ascii="Palatino Linotype" w:hAnsi="Palatino Linotype"/>
        </w:rPr>
        <w:t>*Because electricity is generated from this waste through methane capture and incineration, Saint John’s actually receives a credit to total emissions.  In FY2014, this credit equaled 13.0 MT eCO</w:t>
      </w:r>
      <w:r>
        <w:rPr>
          <w:rFonts w:ascii="Palatino Linotype" w:hAnsi="Palatino Linotype"/>
          <w:vertAlign w:val="subscript"/>
        </w:rPr>
        <w:t>2</w:t>
      </w:r>
      <w:r>
        <w:rPr>
          <w:rFonts w:ascii="Palatino Linotype" w:hAnsi="Palatino Linotype"/>
        </w:rPr>
        <w:t xml:space="preserve"> from the elimination of 521.4 kg of methane.</w:t>
      </w:r>
    </w:p>
    <w:p w:rsidR="00F87697" w:rsidRDefault="00B35BCF" w:rsidP="00057846">
      <w:pPr>
        <w:autoSpaceDE w:val="0"/>
        <w:autoSpaceDN w:val="0"/>
        <w:adjustRightInd w:val="0"/>
        <w:rPr>
          <w:rFonts w:ascii="Palatino Linotype" w:hAnsi="Palatino Linotype"/>
        </w:rPr>
      </w:pPr>
      <w:r w:rsidRPr="00861A34">
        <w:rPr>
          <w:rFonts w:ascii="Palatino Linotype" w:hAnsi="Palatino Linotype"/>
        </w:rPr>
        <w:t>Solid waste refers to garbage accumulated on campus.</w:t>
      </w:r>
      <w:r w:rsidR="00F87697">
        <w:rPr>
          <w:rFonts w:ascii="Palatino Linotype" w:hAnsi="Palatino Linotype"/>
        </w:rPr>
        <w:t xml:space="preserve"> </w:t>
      </w:r>
      <w:r w:rsidRPr="00861A34">
        <w:rPr>
          <w:rFonts w:ascii="Palatino Linotype" w:hAnsi="Palatino Linotype"/>
        </w:rPr>
        <w:t xml:space="preserve"> </w:t>
      </w:r>
      <w:r w:rsidR="00F87697" w:rsidRPr="00F87697">
        <w:rPr>
          <w:rFonts w:ascii="Palatino Linotype" w:hAnsi="Palatino Linotype"/>
        </w:rPr>
        <w:t>According to Todd Johnson, territory manager for Waste Management,</w:t>
      </w:r>
      <w:r w:rsidR="00F87697">
        <w:rPr>
          <w:rFonts w:ascii="Palatino Linotype" w:hAnsi="Palatino Linotype"/>
        </w:rPr>
        <w:t xml:space="preserve"> </w:t>
      </w:r>
      <w:r w:rsidR="00F87697" w:rsidRPr="00F87697">
        <w:rPr>
          <w:rFonts w:ascii="Palatino Linotype" w:hAnsi="Palatino Linotype"/>
        </w:rPr>
        <w:t xml:space="preserve">Saint John's generates an estimated 72.41 tons of trash each </w:t>
      </w:r>
      <w:r w:rsidR="00F87697">
        <w:rPr>
          <w:rFonts w:ascii="Palatino Linotype" w:hAnsi="Palatino Linotype"/>
        </w:rPr>
        <w:t>m</w:t>
      </w:r>
      <w:r w:rsidR="00F87697" w:rsidRPr="00F87697">
        <w:rPr>
          <w:rFonts w:ascii="Palatino Linotype" w:hAnsi="Palatino Linotype"/>
        </w:rPr>
        <w:t xml:space="preserve">onth. </w:t>
      </w:r>
      <w:r w:rsidR="00F87697">
        <w:rPr>
          <w:rFonts w:ascii="Palatino Linotype" w:hAnsi="Palatino Linotype"/>
        </w:rPr>
        <w:t xml:space="preserve"> </w:t>
      </w:r>
      <w:r w:rsidR="00F87697" w:rsidRPr="00F87697">
        <w:rPr>
          <w:rFonts w:ascii="Palatino Linotype" w:hAnsi="Palatino Linotype"/>
        </w:rPr>
        <w:t xml:space="preserve">Since waste is not weighed when it leaves SJU, that estimate is based on a worst-case scenario in which each dumpster taken off of campus was completely filled with the </w:t>
      </w:r>
      <w:r w:rsidR="00C3572C">
        <w:rPr>
          <w:rFonts w:ascii="Palatino Linotype" w:hAnsi="Palatino Linotype"/>
        </w:rPr>
        <w:t xml:space="preserve">tons per dumpster </w:t>
      </w:r>
      <w:r w:rsidR="00F87697" w:rsidRPr="00F87697">
        <w:rPr>
          <w:rFonts w:ascii="Palatino Linotype" w:hAnsi="Palatino Linotype"/>
        </w:rPr>
        <w:t>estimate used by Waste</w:t>
      </w:r>
      <w:r w:rsidR="00F87697">
        <w:rPr>
          <w:rFonts w:ascii="Palatino Linotype" w:hAnsi="Palatino Linotype"/>
        </w:rPr>
        <w:t xml:space="preserve"> </w:t>
      </w:r>
      <w:r w:rsidR="00F87697" w:rsidRPr="00F87697">
        <w:rPr>
          <w:rFonts w:ascii="Palatino Linotype" w:hAnsi="Palatino Linotype"/>
        </w:rPr>
        <w:t>Management for commercial trash collection.</w:t>
      </w:r>
      <w:r w:rsidR="00F87697">
        <w:rPr>
          <w:rFonts w:ascii="Palatino Linotype" w:hAnsi="Palatino Linotype"/>
        </w:rPr>
        <w:t xml:space="preserve">  </w:t>
      </w:r>
      <w:r w:rsidR="00C3572C">
        <w:rPr>
          <w:rFonts w:ascii="Palatino Linotype" w:hAnsi="Palatino Linotype"/>
        </w:rPr>
        <w:t xml:space="preserve">It was estimated that SJU creates </w:t>
      </w:r>
      <w:r w:rsidR="00F87697">
        <w:rPr>
          <w:rFonts w:ascii="Palatino Linotype" w:hAnsi="Palatino Linotype"/>
        </w:rPr>
        <w:t>72.41 ton</w:t>
      </w:r>
      <w:r w:rsidR="00C3572C">
        <w:rPr>
          <w:rFonts w:ascii="Palatino Linotype" w:hAnsi="Palatino Linotype"/>
        </w:rPr>
        <w:t>s of trash monthly during FY2014. Using this</w:t>
      </w:r>
      <w:r w:rsidR="00F87697">
        <w:rPr>
          <w:rFonts w:ascii="Palatino Linotype" w:hAnsi="Palatino Linotype"/>
        </w:rPr>
        <w:t xml:space="preserve"> </w:t>
      </w:r>
      <w:r w:rsidR="00F87697" w:rsidRPr="00F87697">
        <w:rPr>
          <w:rFonts w:ascii="Palatino Linotype" w:hAnsi="Palatino Linotype"/>
        </w:rPr>
        <w:t>monthly estimate</w:t>
      </w:r>
      <w:r w:rsidR="00C3572C">
        <w:rPr>
          <w:rFonts w:ascii="Palatino Linotype" w:hAnsi="Palatino Linotype"/>
        </w:rPr>
        <w:t>, it can be approximated that Saint John’s</w:t>
      </w:r>
      <w:r w:rsidR="00F87697" w:rsidRPr="00F87697">
        <w:rPr>
          <w:rFonts w:ascii="Palatino Linotype" w:hAnsi="Palatino Linotype"/>
        </w:rPr>
        <w:t xml:space="preserve"> generated 868.92</w:t>
      </w:r>
      <w:r w:rsidR="00F87697">
        <w:rPr>
          <w:rFonts w:ascii="Palatino Linotype" w:hAnsi="Palatino Linotype"/>
        </w:rPr>
        <w:t xml:space="preserve"> </w:t>
      </w:r>
      <w:r w:rsidR="00F87697" w:rsidRPr="00F87697">
        <w:rPr>
          <w:rFonts w:ascii="Palatino Linotype" w:hAnsi="Palatino Linotype"/>
        </w:rPr>
        <w:t>tons of waste in fiscal year 2014.</w:t>
      </w:r>
      <w:r w:rsidR="00C3572C">
        <w:rPr>
          <w:rFonts w:ascii="Palatino Linotype" w:hAnsi="Palatino Linotype"/>
        </w:rPr>
        <w:t xml:space="preserve"> This worst-case estimate was used for FY2012 and FY2013 since the waste from those years was not weighed upon being picked up from campus either.</w:t>
      </w:r>
    </w:p>
    <w:p w:rsidR="00057846" w:rsidRDefault="00F87697" w:rsidP="00244CF3">
      <w:pPr>
        <w:autoSpaceDE w:val="0"/>
        <w:autoSpaceDN w:val="0"/>
        <w:adjustRightInd w:val="0"/>
        <w:spacing w:after="0"/>
        <w:rPr>
          <w:rFonts w:ascii="Palatino Linotype" w:hAnsi="Palatino Linotype"/>
        </w:rPr>
      </w:pPr>
      <w:r w:rsidRPr="00F87697">
        <w:rPr>
          <w:rFonts w:ascii="Palatino Linotype" w:hAnsi="Palatino Linotype"/>
        </w:rPr>
        <w:t>The waste taken from Saint John's goes</w:t>
      </w:r>
      <w:r w:rsidR="00C3572C">
        <w:rPr>
          <w:rFonts w:ascii="Palatino Linotype" w:hAnsi="Palatino Linotype"/>
        </w:rPr>
        <w:t xml:space="preserve"> to one of two locations. About half of the waste will go </w:t>
      </w:r>
      <w:r w:rsidR="00057846">
        <w:rPr>
          <w:rFonts w:ascii="Palatino Linotype" w:hAnsi="Palatino Linotype"/>
        </w:rPr>
        <w:t xml:space="preserve">to the Pope and </w:t>
      </w:r>
      <w:r w:rsidRPr="00F87697">
        <w:rPr>
          <w:rFonts w:ascii="Palatino Linotype" w:hAnsi="Palatino Linotype"/>
        </w:rPr>
        <w:t>Douglas counties</w:t>
      </w:r>
      <w:r w:rsidR="00057846">
        <w:rPr>
          <w:rFonts w:ascii="Palatino Linotype" w:hAnsi="Palatino Linotype"/>
        </w:rPr>
        <w:t>’</w:t>
      </w:r>
      <w:r w:rsidRPr="00F87697">
        <w:rPr>
          <w:rFonts w:ascii="Palatino Linotype" w:hAnsi="Palatino Linotype"/>
        </w:rPr>
        <w:t xml:space="preserve"> in</w:t>
      </w:r>
      <w:r w:rsidR="00C3572C">
        <w:rPr>
          <w:rFonts w:ascii="Palatino Linotype" w:hAnsi="Palatino Linotype"/>
        </w:rPr>
        <w:t xml:space="preserve">cineration </w:t>
      </w:r>
      <w:r w:rsidRPr="00F87697">
        <w:rPr>
          <w:rFonts w:ascii="Palatino Linotype" w:hAnsi="Palatino Linotype"/>
        </w:rPr>
        <w:t>facility in A</w:t>
      </w:r>
      <w:r w:rsidR="00C3572C">
        <w:rPr>
          <w:rFonts w:ascii="Palatino Linotype" w:hAnsi="Palatino Linotype"/>
        </w:rPr>
        <w:t xml:space="preserve">lexandria, MN. On the CA-CP GHG calculator spreadsheet, </w:t>
      </w:r>
      <w:r w:rsidRPr="00F87697">
        <w:rPr>
          <w:rFonts w:ascii="Palatino Linotype" w:hAnsi="Palatino Linotype"/>
        </w:rPr>
        <w:t>this facility falls under "Incinerated Was</w:t>
      </w:r>
      <w:r w:rsidR="00C3572C">
        <w:rPr>
          <w:rFonts w:ascii="Palatino Linotype" w:hAnsi="Palatino Linotype"/>
        </w:rPr>
        <w:t xml:space="preserve">te", "Refuse Derived Fuel (RDF)." </w:t>
      </w:r>
      <w:r w:rsidRPr="00F87697">
        <w:rPr>
          <w:rFonts w:ascii="Palatino Linotype" w:hAnsi="Palatino Linotype"/>
        </w:rPr>
        <w:t>The other half of the waste from SJU goes t</w:t>
      </w:r>
      <w:r w:rsidR="00C3572C">
        <w:rPr>
          <w:rFonts w:ascii="Palatino Linotype" w:hAnsi="Palatino Linotype"/>
        </w:rPr>
        <w:t xml:space="preserve">o the Elk River Landfill in Elk River, MN. This </w:t>
      </w:r>
      <w:r w:rsidRPr="00F87697">
        <w:rPr>
          <w:rFonts w:ascii="Palatino Linotype" w:hAnsi="Palatino Linotype"/>
        </w:rPr>
        <w:t>landfill recovers methane</w:t>
      </w:r>
      <w:r w:rsidR="00057846">
        <w:rPr>
          <w:rFonts w:ascii="Palatino Linotype" w:hAnsi="Palatino Linotype"/>
        </w:rPr>
        <w:t xml:space="preserve"> gas</w:t>
      </w:r>
      <w:r w:rsidR="00C3572C">
        <w:rPr>
          <w:rFonts w:ascii="Palatino Linotype" w:hAnsi="Palatino Linotype"/>
        </w:rPr>
        <w:t xml:space="preserve"> </w:t>
      </w:r>
      <w:r w:rsidR="00057846">
        <w:rPr>
          <w:rFonts w:ascii="Palatino Linotype" w:hAnsi="Palatino Linotype"/>
        </w:rPr>
        <w:t>(CH</w:t>
      </w:r>
      <w:r w:rsidR="00057846">
        <w:rPr>
          <w:rFonts w:ascii="Palatino Linotype" w:hAnsi="Palatino Linotype"/>
          <w:vertAlign w:val="subscript"/>
        </w:rPr>
        <w:t>4</w:t>
      </w:r>
      <w:r w:rsidR="00C3572C">
        <w:rPr>
          <w:rFonts w:ascii="Palatino Linotype" w:hAnsi="Palatino Linotype"/>
        </w:rPr>
        <w:t>) and burn</w:t>
      </w:r>
      <w:r w:rsidR="00057846">
        <w:rPr>
          <w:rFonts w:ascii="Palatino Linotype" w:hAnsi="Palatino Linotype"/>
        </w:rPr>
        <w:t>s</w:t>
      </w:r>
      <w:r w:rsidR="00C3572C">
        <w:rPr>
          <w:rFonts w:ascii="Palatino Linotype" w:hAnsi="Palatino Linotype"/>
        </w:rPr>
        <w:t xml:space="preserve"> </w:t>
      </w:r>
      <w:r w:rsidR="00057846">
        <w:rPr>
          <w:rFonts w:ascii="Palatino Linotype" w:hAnsi="Palatino Linotype"/>
        </w:rPr>
        <w:t>it</w:t>
      </w:r>
      <w:r w:rsidR="00C3572C">
        <w:rPr>
          <w:rFonts w:ascii="Palatino Linotype" w:hAnsi="Palatino Linotype"/>
        </w:rPr>
        <w:t xml:space="preserve"> to </w:t>
      </w:r>
      <w:r w:rsidRPr="00F87697">
        <w:rPr>
          <w:rFonts w:ascii="Palatino Linotype" w:hAnsi="Palatino Linotype"/>
        </w:rPr>
        <w:t>genera</w:t>
      </w:r>
      <w:r w:rsidR="00C3572C">
        <w:rPr>
          <w:rFonts w:ascii="Palatino Linotype" w:hAnsi="Palatino Linotype"/>
        </w:rPr>
        <w:t xml:space="preserve">te electricity. 10-15% of homes </w:t>
      </w:r>
      <w:r w:rsidRPr="00F87697">
        <w:rPr>
          <w:rFonts w:ascii="Palatino Linotype" w:hAnsi="Palatino Linotype"/>
        </w:rPr>
        <w:t>i</w:t>
      </w:r>
      <w:r w:rsidR="00C3572C">
        <w:rPr>
          <w:rFonts w:ascii="Palatino Linotype" w:hAnsi="Palatino Linotype"/>
        </w:rPr>
        <w:t xml:space="preserve">n Elk River are powered by the </w:t>
      </w:r>
      <w:r w:rsidRPr="00F87697">
        <w:rPr>
          <w:rFonts w:ascii="Palatino Linotype" w:hAnsi="Palatino Linotype"/>
        </w:rPr>
        <w:t>combustion of these gases. Since</w:t>
      </w:r>
      <w:r w:rsidR="00C3572C">
        <w:rPr>
          <w:rFonts w:ascii="Palatino Linotype" w:hAnsi="Palatino Linotype"/>
        </w:rPr>
        <w:t xml:space="preserve"> about half of the waste at SJU goes to </w:t>
      </w:r>
      <w:r w:rsidRPr="00F87697">
        <w:rPr>
          <w:rFonts w:ascii="Palatino Linotype" w:hAnsi="Palatino Linotype"/>
        </w:rPr>
        <w:t>each facility, it is estimated that 434.46 tons of waste was taken</w:t>
      </w:r>
      <w:r w:rsidR="00C3572C">
        <w:rPr>
          <w:rFonts w:ascii="Palatino Linotype" w:hAnsi="Palatino Linotype"/>
        </w:rPr>
        <w:t xml:space="preserve"> to </w:t>
      </w:r>
      <w:r w:rsidRPr="00F87697">
        <w:rPr>
          <w:rFonts w:ascii="Palatino Linotype" w:hAnsi="Palatino Linotype"/>
        </w:rPr>
        <w:t xml:space="preserve">both </w:t>
      </w:r>
      <w:r w:rsidR="00C3572C" w:rsidRPr="00F87697">
        <w:rPr>
          <w:rFonts w:ascii="Palatino Linotype" w:hAnsi="Palatino Linotype"/>
        </w:rPr>
        <w:t>facilities</w:t>
      </w:r>
      <w:r w:rsidRPr="00F87697">
        <w:rPr>
          <w:rFonts w:ascii="Palatino Linotype" w:hAnsi="Palatino Linotype"/>
        </w:rPr>
        <w:t xml:space="preserve"> during FY2014.</w:t>
      </w:r>
    </w:p>
    <w:p w:rsidR="00922C3A" w:rsidRDefault="00922C3A" w:rsidP="00244CF3">
      <w:pPr>
        <w:autoSpaceDE w:val="0"/>
        <w:autoSpaceDN w:val="0"/>
        <w:adjustRightInd w:val="0"/>
        <w:spacing w:after="0"/>
        <w:rPr>
          <w:rFonts w:ascii="Palatino Linotype" w:hAnsi="Palatino Linotype"/>
        </w:rPr>
      </w:pPr>
    </w:p>
    <w:p w:rsidR="00922C3A" w:rsidRPr="00861A34" w:rsidRDefault="00922C3A" w:rsidP="00922C3A">
      <w:pPr>
        <w:spacing w:after="0"/>
        <w:rPr>
          <w:rFonts w:ascii="Palatino Linotype" w:hAnsi="Palatino Linotype"/>
        </w:rPr>
      </w:pPr>
      <w:r>
        <w:rPr>
          <w:rFonts w:ascii="Palatino Linotype" w:hAnsi="Palatino Linotype" w:cs="Arial"/>
          <w:b/>
          <w:smallCaps/>
          <w:sz w:val="28"/>
        </w:rPr>
        <w:t>Paper</w:t>
      </w:r>
      <w:r w:rsidRPr="00861A34">
        <w:rPr>
          <w:rFonts w:ascii="Palatino Linotype" w:hAnsi="Palatino Linotype" w:cs="Arial"/>
          <w:b/>
          <w:smallCaps/>
          <w:sz w:val="28"/>
        </w:rPr>
        <w:t xml:space="preserve"> Use</w:t>
      </w:r>
      <w:r w:rsidRPr="000663F6">
        <w:rPr>
          <w:rFonts w:ascii="Palatino Linotype" w:hAnsi="Palatino Linotype"/>
        </w:rPr>
        <w:t xml:space="preserve"> </w:t>
      </w:r>
    </w:p>
    <w:p w:rsidR="00922C3A" w:rsidRPr="00861A34" w:rsidRDefault="00922C3A" w:rsidP="00922C3A">
      <w:pPr>
        <w:pStyle w:val="BodyText2"/>
        <w:ind w:left="0"/>
        <w:jc w:val="center"/>
        <w:rPr>
          <w:rFonts w:ascii="Palatino Linotype" w:hAnsi="Palatino Linotype"/>
          <w:b/>
        </w:rPr>
      </w:pPr>
      <w:r>
        <w:rPr>
          <w:rFonts w:ascii="Palatino Linotype" w:hAnsi="Palatino Linotype"/>
          <w:b/>
        </w:rPr>
        <w:t>Table 12</w:t>
      </w:r>
      <w:r w:rsidRPr="00861A34">
        <w:rPr>
          <w:rFonts w:ascii="Palatino Linotype" w:hAnsi="Palatino Linotype"/>
          <w:b/>
        </w:rPr>
        <w:t xml:space="preserve">: </w:t>
      </w:r>
      <w:r>
        <w:rPr>
          <w:rFonts w:ascii="Palatino Linotype" w:hAnsi="Palatino Linotype"/>
          <w:b/>
        </w:rPr>
        <w:t>Paper Use in Pounds for 2014</w:t>
      </w:r>
    </w:p>
    <w:tbl>
      <w:tblPr>
        <w:tblStyle w:val="TableGrid"/>
        <w:tblW w:w="0" w:type="auto"/>
        <w:tblLook w:val="04A0" w:firstRow="1" w:lastRow="0" w:firstColumn="1" w:lastColumn="0" w:noHBand="0" w:noVBand="1"/>
      </w:tblPr>
      <w:tblGrid>
        <w:gridCol w:w="715"/>
        <w:gridCol w:w="2355"/>
        <w:gridCol w:w="75"/>
        <w:gridCol w:w="2587"/>
        <w:gridCol w:w="1903"/>
        <w:gridCol w:w="1715"/>
      </w:tblGrid>
      <w:tr w:rsidR="008E048E" w:rsidRPr="00861A34" w:rsidTr="008E048E">
        <w:trPr>
          <w:trHeight w:val="432"/>
        </w:trPr>
        <w:tc>
          <w:tcPr>
            <w:tcW w:w="715" w:type="dxa"/>
            <w:shd w:val="clear" w:color="auto" w:fill="000000" w:themeFill="text1"/>
          </w:tcPr>
          <w:p w:rsidR="008E048E" w:rsidRPr="00861A34" w:rsidRDefault="008E048E" w:rsidP="00922C3A">
            <w:pPr>
              <w:jc w:val="center"/>
              <w:rPr>
                <w:rFonts w:ascii="Palatino Linotype" w:hAnsi="Palatino Linotype"/>
                <w:sz w:val="20"/>
                <w:szCs w:val="20"/>
              </w:rPr>
            </w:pPr>
            <w:r w:rsidRPr="00861A34">
              <w:rPr>
                <w:rFonts w:ascii="Palatino Linotype" w:hAnsi="Palatino Linotype"/>
                <w:sz w:val="20"/>
                <w:szCs w:val="20"/>
              </w:rPr>
              <w:t>Year</w:t>
            </w:r>
          </w:p>
        </w:tc>
        <w:tc>
          <w:tcPr>
            <w:tcW w:w="2430" w:type="dxa"/>
            <w:gridSpan w:val="2"/>
            <w:shd w:val="clear" w:color="auto" w:fill="000000" w:themeFill="text1"/>
          </w:tcPr>
          <w:p w:rsidR="008E048E" w:rsidRPr="00861A34" w:rsidRDefault="008E048E" w:rsidP="00922C3A">
            <w:pPr>
              <w:jc w:val="center"/>
              <w:rPr>
                <w:rFonts w:ascii="Palatino Linotype" w:hAnsi="Palatino Linotype"/>
                <w:sz w:val="20"/>
                <w:szCs w:val="20"/>
              </w:rPr>
            </w:pPr>
            <w:r>
              <w:rPr>
                <w:rFonts w:ascii="Palatino Linotype" w:hAnsi="Palatino Linotype"/>
                <w:sz w:val="20"/>
                <w:szCs w:val="20"/>
              </w:rPr>
              <w:t>Res. Hall and Quad Labs</w:t>
            </w:r>
          </w:p>
        </w:tc>
        <w:tc>
          <w:tcPr>
            <w:tcW w:w="2587" w:type="dxa"/>
            <w:shd w:val="clear" w:color="auto" w:fill="000000" w:themeFill="text1"/>
          </w:tcPr>
          <w:p w:rsidR="008E048E" w:rsidRPr="00861A34" w:rsidRDefault="008E048E" w:rsidP="00922C3A">
            <w:pPr>
              <w:jc w:val="center"/>
              <w:rPr>
                <w:rFonts w:ascii="Palatino Linotype" w:hAnsi="Palatino Linotype"/>
                <w:sz w:val="20"/>
                <w:szCs w:val="20"/>
              </w:rPr>
            </w:pPr>
            <w:r>
              <w:rPr>
                <w:rFonts w:ascii="Palatino Linotype" w:hAnsi="Palatino Linotype"/>
                <w:sz w:val="20"/>
                <w:szCs w:val="20"/>
              </w:rPr>
              <w:t>SJU Duplicating Center</w:t>
            </w:r>
          </w:p>
        </w:tc>
        <w:tc>
          <w:tcPr>
            <w:tcW w:w="1903" w:type="dxa"/>
            <w:shd w:val="clear" w:color="auto" w:fill="000000" w:themeFill="text1"/>
          </w:tcPr>
          <w:p w:rsidR="008E048E" w:rsidRPr="00861A34" w:rsidRDefault="008E048E" w:rsidP="00922C3A">
            <w:pPr>
              <w:jc w:val="center"/>
              <w:rPr>
                <w:rFonts w:ascii="Palatino Linotype" w:hAnsi="Palatino Linotype"/>
                <w:sz w:val="20"/>
                <w:szCs w:val="20"/>
              </w:rPr>
            </w:pPr>
            <w:r>
              <w:rPr>
                <w:rFonts w:ascii="Palatino Linotype" w:hAnsi="Palatino Linotype"/>
                <w:sz w:val="20"/>
                <w:szCs w:val="20"/>
              </w:rPr>
              <w:t>Total Weight</w:t>
            </w:r>
          </w:p>
        </w:tc>
        <w:tc>
          <w:tcPr>
            <w:tcW w:w="1715" w:type="dxa"/>
            <w:shd w:val="clear" w:color="auto" w:fill="000000" w:themeFill="text1"/>
          </w:tcPr>
          <w:p w:rsidR="008E048E" w:rsidRPr="008E048E" w:rsidRDefault="008E048E" w:rsidP="00922C3A">
            <w:pPr>
              <w:jc w:val="center"/>
              <w:rPr>
                <w:rFonts w:ascii="Palatino Linotype" w:hAnsi="Palatino Linotype"/>
                <w:sz w:val="20"/>
                <w:szCs w:val="20"/>
              </w:rPr>
            </w:pPr>
            <w:r>
              <w:rPr>
                <w:rFonts w:ascii="Palatino Linotype" w:hAnsi="Palatino Linotype"/>
                <w:sz w:val="20"/>
                <w:szCs w:val="20"/>
              </w:rPr>
              <w:t>MT eCO</w:t>
            </w:r>
            <w:r>
              <w:rPr>
                <w:rFonts w:ascii="Palatino Linotype" w:hAnsi="Palatino Linotype"/>
                <w:sz w:val="20"/>
                <w:szCs w:val="20"/>
                <w:vertAlign w:val="subscript"/>
              </w:rPr>
              <w:t>2</w:t>
            </w:r>
          </w:p>
        </w:tc>
      </w:tr>
      <w:tr w:rsidR="008E048E" w:rsidRPr="00861A34" w:rsidTr="008E048E">
        <w:trPr>
          <w:trHeight w:val="432"/>
        </w:trPr>
        <w:tc>
          <w:tcPr>
            <w:tcW w:w="715" w:type="dxa"/>
          </w:tcPr>
          <w:p w:rsidR="008E048E" w:rsidRPr="000663F6" w:rsidRDefault="008E048E" w:rsidP="00922C3A">
            <w:pPr>
              <w:jc w:val="center"/>
              <w:rPr>
                <w:rFonts w:ascii="Palatino Linotype" w:hAnsi="Palatino Linotype"/>
              </w:rPr>
            </w:pPr>
            <w:r w:rsidRPr="000663F6">
              <w:rPr>
                <w:rFonts w:ascii="Palatino Linotype" w:hAnsi="Palatino Linotype"/>
              </w:rPr>
              <w:t>2014</w:t>
            </w:r>
          </w:p>
        </w:tc>
        <w:tc>
          <w:tcPr>
            <w:tcW w:w="2355" w:type="dxa"/>
          </w:tcPr>
          <w:p w:rsidR="008E048E" w:rsidRPr="000663F6" w:rsidRDefault="008E048E" w:rsidP="00922C3A">
            <w:pPr>
              <w:jc w:val="center"/>
              <w:rPr>
                <w:rFonts w:ascii="Palatino Linotype" w:hAnsi="Palatino Linotype"/>
              </w:rPr>
            </w:pPr>
            <w:r>
              <w:rPr>
                <w:rFonts w:ascii="Palatino Linotype" w:hAnsi="Palatino Linotype"/>
              </w:rPr>
              <w:t>4,250</w:t>
            </w:r>
          </w:p>
        </w:tc>
        <w:tc>
          <w:tcPr>
            <w:tcW w:w="2662" w:type="dxa"/>
            <w:gridSpan w:val="2"/>
          </w:tcPr>
          <w:p w:rsidR="008E048E" w:rsidRPr="000663F6" w:rsidRDefault="004B2466" w:rsidP="00922C3A">
            <w:pPr>
              <w:jc w:val="center"/>
              <w:rPr>
                <w:rFonts w:ascii="Palatino Linotype" w:hAnsi="Palatino Linotype"/>
              </w:rPr>
            </w:pPr>
            <w:r>
              <w:rPr>
                <w:rFonts w:ascii="Palatino Linotype" w:hAnsi="Palatino Linotype"/>
              </w:rPr>
              <w:t>32,500</w:t>
            </w:r>
          </w:p>
        </w:tc>
        <w:tc>
          <w:tcPr>
            <w:tcW w:w="1903" w:type="dxa"/>
          </w:tcPr>
          <w:p w:rsidR="008E048E" w:rsidRPr="000663F6" w:rsidRDefault="004B2466" w:rsidP="00922C3A">
            <w:pPr>
              <w:jc w:val="center"/>
              <w:rPr>
                <w:rFonts w:ascii="Palatino Linotype" w:hAnsi="Palatino Linotype"/>
              </w:rPr>
            </w:pPr>
            <w:r>
              <w:rPr>
                <w:rFonts w:ascii="Palatino Linotype" w:hAnsi="Palatino Linotype"/>
              </w:rPr>
              <w:t>36,750</w:t>
            </w:r>
          </w:p>
        </w:tc>
        <w:tc>
          <w:tcPr>
            <w:tcW w:w="1715" w:type="dxa"/>
          </w:tcPr>
          <w:p w:rsidR="008E048E" w:rsidRPr="000663F6" w:rsidRDefault="004B2466" w:rsidP="00922C3A">
            <w:pPr>
              <w:jc w:val="center"/>
              <w:rPr>
                <w:rFonts w:ascii="Palatino Linotype" w:hAnsi="Palatino Linotype"/>
              </w:rPr>
            </w:pPr>
            <w:r>
              <w:rPr>
                <w:rFonts w:ascii="Palatino Linotype" w:hAnsi="Palatino Linotype"/>
              </w:rPr>
              <w:t>50.2</w:t>
            </w:r>
          </w:p>
        </w:tc>
      </w:tr>
    </w:tbl>
    <w:p w:rsidR="00922C3A" w:rsidRDefault="00922C3A" w:rsidP="00922C3A">
      <w:pPr>
        <w:spacing w:after="0"/>
        <w:rPr>
          <w:rFonts w:ascii="Palatino Linotype" w:hAnsi="Palatino Linotype"/>
        </w:rPr>
      </w:pPr>
    </w:p>
    <w:p w:rsidR="004B2466" w:rsidRDefault="004B2466" w:rsidP="004B2466">
      <w:pPr>
        <w:rPr>
          <w:rFonts w:ascii="Palatino Linotype" w:hAnsi="Palatino Linotype"/>
        </w:rPr>
      </w:pPr>
      <w:r>
        <w:rPr>
          <w:rFonts w:ascii="Palatino Linotype" w:hAnsi="Palatino Linotype"/>
        </w:rPr>
        <w:t>The data for paper usage was given in number of cases used.  Each case contains 10 reams of 500 sheets.  A ream of paper weighs approximated five pounds, so the number of cases was multiplied by 50 pounds.</w:t>
      </w:r>
    </w:p>
    <w:p w:rsidR="004B2466" w:rsidRDefault="004B2466" w:rsidP="00922C3A">
      <w:pPr>
        <w:rPr>
          <w:rFonts w:ascii="Palatino Linotype" w:hAnsi="Palatino Linotype"/>
        </w:rPr>
      </w:pPr>
      <w:r>
        <w:rPr>
          <w:rFonts w:ascii="Palatino Linotype" w:hAnsi="Palatino Linotype"/>
        </w:rPr>
        <w:lastRenderedPageBreak/>
        <w:t xml:space="preserve">It is important to note that this is an estimation of paper usage on campus, not an exact figure. </w:t>
      </w:r>
      <w:r w:rsidR="00922C3A">
        <w:rPr>
          <w:rFonts w:ascii="Palatino Linotype" w:hAnsi="Palatino Linotype"/>
        </w:rPr>
        <w:t xml:space="preserve">Data for paper usage at SJU is difficult to gather because of how many different entities use paper. Many of those entities provide their own paper, so there is no single source which has the total number of sheets used. IT Services provided data on how much paper is used in the labs in the Quad building and residence halls. The Duplicating Center provided data on how much paper </w:t>
      </w:r>
      <w:r>
        <w:rPr>
          <w:rFonts w:ascii="Palatino Linotype" w:hAnsi="Palatino Linotype"/>
        </w:rPr>
        <w:t xml:space="preserve">was </w:t>
      </w:r>
      <w:r w:rsidR="00922C3A">
        <w:rPr>
          <w:rFonts w:ascii="Palatino Linotype" w:hAnsi="Palatino Linotype"/>
        </w:rPr>
        <w:t>used in fiscal year 2014</w:t>
      </w:r>
      <w:r>
        <w:rPr>
          <w:rFonts w:ascii="Palatino Linotype" w:hAnsi="Palatino Linotype"/>
        </w:rPr>
        <w:t xml:space="preserve"> in the duplicating center, library, prep school, and several offices on campus. The prep school should not be included in this greenhouse gas inventory, but there is not a good way to remove that data.</w:t>
      </w:r>
      <w:r w:rsidR="00922C3A">
        <w:rPr>
          <w:rFonts w:ascii="Palatino Linotype" w:hAnsi="Palatino Linotype"/>
        </w:rPr>
        <w:t xml:space="preserve"> </w:t>
      </w:r>
      <w:r>
        <w:rPr>
          <w:rFonts w:ascii="Palatino Linotype" w:hAnsi="Palatino Linotype"/>
        </w:rPr>
        <w:t xml:space="preserve"> </w:t>
      </w:r>
    </w:p>
    <w:p w:rsidR="004B2466" w:rsidRDefault="005964C8" w:rsidP="00922C3A">
      <w:pPr>
        <w:rPr>
          <w:rFonts w:ascii="Palatino Linotype" w:hAnsi="Palatino Linotype"/>
        </w:rPr>
      </w:pPr>
      <w:r>
        <w:rPr>
          <w:rFonts w:ascii="Palatino Linotype" w:hAnsi="Palatino Linotype"/>
        </w:rPr>
        <w:t>Furthermore, t</w:t>
      </w:r>
      <w:r w:rsidR="00922C3A">
        <w:rPr>
          <w:rFonts w:ascii="Palatino Linotype" w:hAnsi="Palatino Linotype"/>
        </w:rPr>
        <w:t>hese figures do not accoun</w:t>
      </w:r>
      <w:r>
        <w:rPr>
          <w:rFonts w:ascii="Palatino Linotype" w:hAnsi="Palatino Linotype"/>
        </w:rPr>
        <w:t>t for all paper usage on campus</w:t>
      </w:r>
      <w:r w:rsidR="00922C3A">
        <w:rPr>
          <w:rFonts w:ascii="Palatino Linotype" w:hAnsi="Palatino Linotype"/>
        </w:rPr>
        <w:t xml:space="preserve">. The various offices and departments all provide their own paper and records of that may or may not exist within each department. Additionally, some students have their own printers in their residences. They provide their own paper as well. </w:t>
      </w:r>
    </w:p>
    <w:p w:rsidR="00922C3A" w:rsidRDefault="00922C3A" w:rsidP="00922C3A">
      <w:pPr>
        <w:rPr>
          <w:rFonts w:ascii="Palatino Linotype" w:hAnsi="Palatino Linotype"/>
        </w:rPr>
      </w:pPr>
      <w:r>
        <w:rPr>
          <w:rFonts w:ascii="Palatino Linotype" w:hAnsi="Palatino Linotype"/>
        </w:rPr>
        <w:t xml:space="preserve">Although the data above does not provide the complete picture, it is still worth noting in the greenhouse gas inventory. Paper use accounted for </w:t>
      </w:r>
      <w:r w:rsidR="005964C8">
        <w:rPr>
          <w:rFonts w:ascii="Palatino Linotype" w:hAnsi="Palatino Linotype"/>
        </w:rPr>
        <w:t>44.7</w:t>
      </w:r>
      <w:r w:rsidR="008E048E">
        <w:rPr>
          <w:rFonts w:ascii="Palatino Linotype" w:hAnsi="Palatino Linotype"/>
        </w:rPr>
        <w:t xml:space="preserve"> </w:t>
      </w:r>
      <w:r w:rsidRPr="00F87697">
        <w:rPr>
          <w:rFonts w:ascii="Palatino Linotype" w:hAnsi="Palatino Linotype"/>
        </w:rPr>
        <w:t>MT</w:t>
      </w:r>
      <w:r>
        <w:rPr>
          <w:rFonts w:ascii="Palatino Linotype" w:hAnsi="Palatino Linotype"/>
        </w:rPr>
        <w:t xml:space="preserve"> e</w:t>
      </w:r>
      <w:r w:rsidRPr="00F87697">
        <w:rPr>
          <w:rFonts w:ascii="Palatino Linotype" w:hAnsi="Palatino Linotype"/>
        </w:rPr>
        <w:t>CO</w:t>
      </w:r>
      <w:r w:rsidRPr="00F87697">
        <w:rPr>
          <w:rFonts w:ascii="Palatino Linotype" w:hAnsi="Palatino Linotype"/>
          <w:vertAlign w:val="subscript"/>
        </w:rPr>
        <w:t>2</w:t>
      </w:r>
      <w:r>
        <w:rPr>
          <w:rFonts w:ascii="Palatino Linotype" w:hAnsi="Palatino Linotype"/>
        </w:rPr>
        <w:t xml:space="preserve">, or </w:t>
      </w:r>
      <w:r w:rsidR="004E660C">
        <w:rPr>
          <w:rFonts w:ascii="Palatino Linotype" w:hAnsi="Palatino Linotype"/>
        </w:rPr>
        <w:t>0</w:t>
      </w:r>
      <w:r w:rsidR="004B2466" w:rsidRPr="004B2466">
        <w:rPr>
          <w:rFonts w:ascii="Palatino Linotype" w:hAnsi="Palatino Linotype"/>
        </w:rPr>
        <w:t>.2</w:t>
      </w:r>
      <w:r w:rsidR="005964C8">
        <w:rPr>
          <w:rFonts w:ascii="Palatino Linotype" w:hAnsi="Palatino Linotype"/>
        </w:rPr>
        <w:t>2</w:t>
      </w:r>
      <w:r w:rsidR="008E048E" w:rsidRPr="004B2466">
        <w:rPr>
          <w:rFonts w:ascii="Palatino Linotype" w:hAnsi="Palatino Linotype"/>
        </w:rPr>
        <w:t xml:space="preserve"> </w:t>
      </w:r>
      <w:r w:rsidRPr="004B2466">
        <w:rPr>
          <w:rFonts w:ascii="Palatino Linotype" w:hAnsi="Palatino Linotype"/>
        </w:rPr>
        <w:t>percent</w:t>
      </w:r>
      <w:r>
        <w:rPr>
          <w:rFonts w:ascii="Palatino Linotype" w:hAnsi="Palatino Linotype"/>
        </w:rPr>
        <w:t xml:space="preserve"> of total emissions, in fiscal year 2014.</w:t>
      </w:r>
    </w:p>
    <w:p w:rsidR="00922C3A" w:rsidRPr="00C3572C" w:rsidRDefault="00922C3A" w:rsidP="00244CF3">
      <w:pPr>
        <w:autoSpaceDE w:val="0"/>
        <w:autoSpaceDN w:val="0"/>
        <w:adjustRightInd w:val="0"/>
        <w:spacing w:after="0"/>
        <w:rPr>
          <w:rFonts w:ascii="Palatino Linotype" w:hAnsi="Palatino Linotype"/>
        </w:rPr>
      </w:pPr>
    </w:p>
    <w:sectPr w:rsidR="00922C3A" w:rsidRPr="00C3572C" w:rsidSect="00C00E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E29" w:rsidRDefault="005B7E29" w:rsidP="003B37B1">
      <w:pPr>
        <w:spacing w:after="0" w:line="240" w:lineRule="auto"/>
      </w:pPr>
      <w:r>
        <w:separator/>
      </w:r>
    </w:p>
  </w:endnote>
  <w:endnote w:type="continuationSeparator" w:id="0">
    <w:p w:rsidR="005B7E29" w:rsidRDefault="005B7E29" w:rsidP="003B3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E29" w:rsidRDefault="005B7E29" w:rsidP="003B37B1">
      <w:pPr>
        <w:spacing w:after="0" w:line="240" w:lineRule="auto"/>
      </w:pPr>
      <w:r>
        <w:separator/>
      </w:r>
    </w:p>
  </w:footnote>
  <w:footnote w:type="continuationSeparator" w:id="0">
    <w:p w:rsidR="005B7E29" w:rsidRDefault="005B7E29" w:rsidP="003B37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D6"/>
    <w:rsid w:val="000010A2"/>
    <w:rsid w:val="00001B2E"/>
    <w:rsid w:val="00012C7F"/>
    <w:rsid w:val="00036AD5"/>
    <w:rsid w:val="000528A0"/>
    <w:rsid w:val="000557E6"/>
    <w:rsid w:val="00057846"/>
    <w:rsid w:val="000663F6"/>
    <w:rsid w:val="00071806"/>
    <w:rsid w:val="000763D6"/>
    <w:rsid w:val="00081296"/>
    <w:rsid w:val="00096544"/>
    <w:rsid w:val="000A3268"/>
    <w:rsid w:val="000C43C2"/>
    <w:rsid w:val="000D6DC2"/>
    <w:rsid w:val="000E42E7"/>
    <w:rsid w:val="000E6BFB"/>
    <w:rsid w:val="00112BF6"/>
    <w:rsid w:val="00114A11"/>
    <w:rsid w:val="001208D0"/>
    <w:rsid w:val="00124F1D"/>
    <w:rsid w:val="00147A1B"/>
    <w:rsid w:val="001830BC"/>
    <w:rsid w:val="001B0C96"/>
    <w:rsid w:val="001E7A4F"/>
    <w:rsid w:val="00223928"/>
    <w:rsid w:val="002304F0"/>
    <w:rsid w:val="00231093"/>
    <w:rsid w:val="00244CF3"/>
    <w:rsid w:val="00246B0E"/>
    <w:rsid w:val="00250C13"/>
    <w:rsid w:val="002612D3"/>
    <w:rsid w:val="0027549E"/>
    <w:rsid w:val="00275AD0"/>
    <w:rsid w:val="002810E7"/>
    <w:rsid w:val="002915AB"/>
    <w:rsid w:val="002A26EB"/>
    <w:rsid w:val="002A478B"/>
    <w:rsid w:val="002B7740"/>
    <w:rsid w:val="002C023C"/>
    <w:rsid w:val="002C6F4A"/>
    <w:rsid w:val="002E43D0"/>
    <w:rsid w:val="002E468C"/>
    <w:rsid w:val="002E77B4"/>
    <w:rsid w:val="002F6AB1"/>
    <w:rsid w:val="00311C7A"/>
    <w:rsid w:val="00320B0F"/>
    <w:rsid w:val="003245AE"/>
    <w:rsid w:val="00325C88"/>
    <w:rsid w:val="0034309D"/>
    <w:rsid w:val="00351EE6"/>
    <w:rsid w:val="00355E19"/>
    <w:rsid w:val="00365782"/>
    <w:rsid w:val="00372E8B"/>
    <w:rsid w:val="00375019"/>
    <w:rsid w:val="00383E1C"/>
    <w:rsid w:val="003840CA"/>
    <w:rsid w:val="003A75AD"/>
    <w:rsid w:val="003B2276"/>
    <w:rsid w:val="003B2A7C"/>
    <w:rsid w:val="003B37B1"/>
    <w:rsid w:val="003E01DA"/>
    <w:rsid w:val="003E6888"/>
    <w:rsid w:val="0040029D"/>
    <w:rsid w:val="00404EC6"/>
    <w:rsid w:val="00406830"/>
    <w:rsid w:val="0042765F"/>
    <w:rsid w:val="00442A2D"/>
    <w:rsid w:val="00453AC1"/>
    <w:rsid w:val="0045438C"/>
    <w:rsid w:val="00455D44"/>
    <w:rsid w:val="00483F9E"/>
    <w:rsid w:val="00487972"/>
    <w:rsid w:val="004B0CBD"/>
    <w:rsid w:val="004B2466"/>
    <w:rsid w:val="004D2CBE"/>
    <w:rsid w:val="004E430C"/>
    <w:rsid w:val="004E660C"/>
    <w:rsid w:val="00507B25"/>
    <w:rsid w:val="00521083"/>
    <w:rsid w:val="00522C74"/>
    <w:rsid w:val="00523C13"/>
    <w:rsid w:val="00524324"/>
    <w:rsid w:val="005349AD"/>
    <w:rsid w:val="00547333"/>
    <w:rsid w:val="00555B69"/>
    <w:rsid w:val="0056175E"/>
    <w:rsid w:val="00561A39"/>
    <w:rsid w:val="00567055"/>
    <w:rsid w:val="00572F50"/>
    <w:rsid w:val="0058654D"/>
    <w:rsid w:val="005964C8"/>
    <w:rsid w:val="005A2B34"/>
    <w:rsid w:val="005A6DB3"/>
    <w:rsid w:val="005B7E29"/>
    <w:rsid w:val="005C1DB2"/>
    <w:rsid w:val="005C271F"/>
    <w:rsid w:val="005E13EA"/>
    <w:rsid w:val="005E3B29"/>
    <w:rsid w:val="006216C6"/>
    <w:rsid w:val="00622EE7"/>
    <w:rsid w:val="00660773"/>
    <w:rsid w:val="00660B4C"/>
    <w:rsid w:val="00664CBB"/>
    <w:rsid w:val="006675FC"/>
    <w:rsid w:val="00672A03"/>
    <w:rsid w:val="006730D3"/>
    <w:rsid w:val="00680E96"/>
    <w:rsid w:val="00696A89"/>
    <w:rsid w:val="006A3027"/>
    <w:rsid w:val="006A77F1"/>
    <w:rsid w:val="006C5551"/>
    <w:rsid w:val="006C6DE1"/>
    <w:rsid w:val="006E03C8"/>
    <w:rsid w:val="006F2F04"/>
    <w:rsid w:val="00702B20"/>
    <w:rsid w:val="00706ADC"/>
    <w:rsid w:val="00707AFA"/>
    <w:rsid w:val="00714404"/>
    <w:rsid w:val="00715BDD"/>
    <w:rsid w:val="00741E77"/>
    <w:rsid w:val="0074671D"/>
    <w:rsid w:val="00760576"/>
    <w:rsid w:val="00766C32"/>
    <w:rsid w:val="00770987"/>
    <w:rsid w:val="007711E6"/>
    <w:rsid w:val="00780EDD"/>
    <w:rsid w:val="007A4671"/>
    <w:rsid w:val="007B594E"/>
    <w:rsid w:val="007C24F2"/>
    <w:rsid w:val="007C78D1"/>
    <w:rsid w:val="007D170A"/>
    <w:rsid w:val="007D7430"/>
    <w:rsid w:val="007E4A14"/>
    <w:rsid w:val="007F7EB5"/>
    <w:rsid w:val="0081317B"/>
    <w:rsid w:val="008137FA"/>
    <w:rsid w:val="00832A93"/>
    <w:rsid w:val="00836464"/>
    <w:rsid w:val="00861A34"/>
    <w:rsid w:val="00871E34"/>
    <w:rsid w:val="00872BAA"/>
    <w:rsid w:val="00884967"/>
    <w:rsid w:val="008A2F12"/>
    <w:rsid w:val="008B734C"/>
    <w:rsid w:val="008E048E"/>
    <w:rsid w:val="008E4FDC"/>
    <w:rsid w:val="00922C3A"/>
    <w:rsid w:val="00933AE7"/>
    <w:rsid w:val="0094278E"/>
    <w:rsid w:val="00945B29"/>
    <w:rsid w:val="00981511"/>
    <w:rsid w:val="009946FC"/>
    <w:rsid w:val="009A7B70"/>
    <w:rsid w:val="009B6CDD"/>
    <w:rsid w:val="009C10AC"/>
    <w:rsid w:val="009D4B41"/>
    <w:rsid w:val="009E0D3A"/>
    <w:rsid w:val="009E6434"/>
    <w:rsid w:val="009E7D5E"/>
    <w:rsid w:val="00A01B3A"/>
    <w:rsid w:val="00A07C53"/>
    <w:rsid w:val="00A41BDE"/>
    <w:rsid w:val="00A44842"/>
    <w:rsid w:val="00A810DA"/>
    <w:rsid w:val="00A8601B"/>
    <w:rsid w:val="00A953C9"/>
    <w:rsid w:val="00A96835"/>
    <w:rsid w:val="00AA458F"/>
    <w:rsid w:val="00AA50DF"/>
    <w:rsid w:val="00AA5A41"/>
    <w:rsid w:val="00AB0A00"/>
    <w:rsid w:val="00AB1EA9"/>
    <w:rsid w:val="00AB2DD3"/>
    <w:rsid w:val="00AB3E75"/>
    <w:rsid w:val="00AC7311"/>
    <w:rsid w:val="00AD00DF"/>
    <w:rsid w:val="00AE0244"/>
    <w:rsid w:val="00AE2BFA"/>
    <w:rsid w:val="00AE4058"/>
    <w:rsid w:val="00B16116"/>
    <w:rsid w:val="00B26C6A"/>
    <w:rsid w:val="00B35BCF"/>
    <w:rsid w:val="00B50E47"/>
    <w:rsid w:val="00B54389"/>
    <w:rsid w:val="00B546E4"/>
    <w:rsid w:val="00B82906"/>
    <w:rsid w:val="00B977B1"/>
    <w:rsid w:val="00BA7D6C"/>
    <w:rsid w:val="00BB4022"/>
    <w:rsid w:val="00BB6BB5"/>
    <w:rsid w:val="00BC3DA3"/>
    <w:rsid w:val="00BE0E4E"/>
    <w:rsid w:val="00BE50AB"/>
    <w:rsid w:val="00BF4F8F"/>
    <w:rsid w:val="00C00EAD"/>
    <w:rsid w:val="00C167C5"/>
    <w:rsid w:val="00C24BEB"/>
    <w:rsid w:val="00C3572C"/>
    <w:rsid w:val="00C357E8"/>
    <w:rsid w:val="00C5304E"/>
    <w:rsid w:val="00C54A1D"/>
    <w:rsid w:val="00C6408D"/>
    <w:rsid w:val="00C7333A"/>
    <w:rsid w:val="00C7632B"/>
    <w:rsid w:val="00C9065F"/>
    <w:rsid w:val="00CC2476"/>
    <w:rsid w:val="00CE4E61"/>
    <w:rsid w:val="00CF3B4D"/>
    <w:rsid w:val="00D02378"/>
    <w:rsid w:val="00D51B53"/>
    <w:rsid w:val="00D560F2"/>
    <w:rsid w:val="00D91EE8"/>
    <w:rsid w:val="00D94540"/>
    <w:rsid w:val="00DB31ED"/>
    <w:rsid w:val="00DC0B95"/>
    <w:rsid w:val="00DD1EA4"/>
    <w:rsid w:val="00DD341E"/>
    <w:rsid w:val="00DD3AEE"/>
    <w:rsid w:val="00DD599D"/>
    <w:rsid w:val="00DE10B5"/>
    <w:rsid w:val="00DE25E8"/>
    <w:rsid w:val="00E03B4C"/>
    <w:rsid w:val="00E13E7D"/>
    <w:rsid w:val="00E15ACC"/>
    <w:rsid w:val="00E16918"/>
    <w:rsid w:val="00E27983"/>
    <w:rsid w:val="00E36DA6"/>
    <w:rsid w:val="00E56F49"/>
    <w:rsid w:val="00E772B5"/>
    <w:rsid w:val="00E87951"/>
    <w:rsid w:val="00E921E0"/>
    <w:rsid w:val="00EA0B23"/>
    <w:rsid w:val="00EA4120"/>
    <w:rsid w:val="00EB1FE3"/>
    <w:rsid w:val="00EC2C58"/>
    <w:rsid w:val="00ED68AF"/>
    <w:rsid w:val="00EE10BE"/>
    <w:rsid w:val="00EF07FD"/>
    <w:rsid w:val="00F10144"/>
    <w:rsid w:val="00F3278E"/>
    <w:rsid w:val="00F46977"/>
    <w:rsid w:val="00F46BBB"/>
    <w:rsid w:val="00F61433"/>
    <w:rsid w:val="00F61727"/>
    <w:rsid w:val="00F84628"/>
    <w:rsid w:val="00F87697"/>
    <w:rsid w:val="00FA7203"/>
    <w:rsid w:val="00FC5A64"/>
    <w:rsid w:val="00FC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9BD8495-1D69-411C-BA79-66F62A08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46977"/>
    <w:pPr>
      <w:keepNext/>
      <w:keepLines/>
      <w:spacing w:after="0" w:line="240" w:lineRule="auto"/>
      <w:ind w:left="720"/>
      <w:outlineLvl w:val="1"/>
    </w:pPr>
    <w:rPr>
      <w:rFonts w:ascii="Arial" w:eastAsia="Times New Roman" w:hAnsi="Arial" w:cs="Times New Roman"/>
      <w:b/>
      <w:bCs/>
      <w:color w:val="0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ularText">
    <w:name w:val="Regular Text"/>
    <w:basedOn w:val="Normal"/>
    <w:link w:val="RegularTextChar"/>
    <w:rsid w:val="000763D6"/>
    <w:pPr>
      <w:spacing w:after="180" w:line="340" w:lineRule="atLeast"/>
    </w:pPr>
    <w:rPr>
      <w:rFonts w:ascii="Times New Roman" w:eastAsia="MS Mincho" w:hAnsi="Times New Roman" w:cs="Times New Roman"/>
      <w:szCs w:val="24"/>
      <w:lang w:eastAsia="ja-JP"/>
    </w:rPr>
  </w:style>
  <w:style w:type="character" w:customStyle="1" w:styleId="RegularTextChar">
    <w:name w:val="Regular Text Char"/>
    <w:basedOn w:val="DefaultParagraphFont"/>
    <w:link w:val="RegularText"/>
    <w:rsid w:val="000763D6"/>
    <w:rPr>
      <w:rFonts w:ascii="Times New Roman" w:eastAsia="MS Mincho" w:hAnsi="Times New Roman" w:cs="Times New Roman"/>
      <w:szCs w:val="24"/>
      <w:lang w:eastAsia="ja-JP"/>
    </w:rPr>
  </w:style>
  <w:style w:type="character" w:customStyle="1" w:styleId="apple-style-span">
    <w:name w:val="apple-style-span"/>
    <w:basedOn w:val="DefaultParagraphFont"/>
    <w:rsid w:val="00547333"/>
  </w:style>
  <w:style w:type="character" w:styleId="Hyperlink">
    <w:name w:val="Hyperlink"/>
    <w:basedOn w:val="DefaultParagraphFont"/>
    <w:uiPriority w:val="99"/>
    <w:unhideWhenUsed/>
    <w:rsid w:val="00A07C53"/>
    <w:rPr>
      <w:color w:val="FF8119"/>
      <w:u w:val="single"/>
    </w:rPr>
  </w:style>
  <w:style w:type="character" w:styleId="CommentReference">
    <w:name w:val="annotation reference"/>
    <w:basedOn w:val="DefaultParagraphFont"/>
    <w:uiPriority w:val="99"/>
    <w:semiHidden/>
    <w:unhideWhenUsed/>
    <w:rsid w:val="000A3268"/>
    <w:rPr>
      <w:sz w:val="16"/>
      <w:szCs w:val="16"/>
    </w:rPr>
  </w:style>
  <w:style w:type="paragraph" w:styleId="CommentText">
    <w:name w:val="annotation text"/>
    <w:basedOn w:val="Normal"/>
    <w:link w:val="CommentTextChar"/>
    <w:uiPriority w:val="99"/>
    <w:semiHidden/>
    <w:unhideWhenUsed/>
    <w:rsid w:val="000A3268"/>
    <w:pPr>
      <w:spacing w:line="240" w:lineRule="auto"/>
    </w:pPr>
    <w:rPr>
      <w:sz w:val="20"/>
      <w:szCs w:val="20"/>
    </w:rPr>
  </w:style>
  <w:style w:type="character" w:customStyle="1" w:styleId="CommentTextChar">
    <w:name w:val="Comment Text Char"/>
    <w:basedOn w:val="DefaultParagraphFont"/>
    <w:link w:val="CommentText"/>
    <w:uiPriority w:val="99"/>
    <w:semiHidden/>
    <w:rsid w:val="000A3268"/>
    <w:rPr>
      <w:sz w:val="20"/>
      <w:szCs w:val="20"/>
    </w:rPr>
  </w:style>
  <w:style w:type="paragraph" w:styleId="CommentSubject">
    <w:name w:val="annotation subject"/>
    <w:basedOn w:val="CommentText"/>
    <w:next w:val="CommentText"/>
    <w:link w:val="CommentSubjectChar"/>
    <w:uiPriority w:val="99"/>
    <w:semiHidden/>
    <w:unhideWhenUsed/>
    <w:rsid w:val="000A3268"/>
    <w:rPr>
      <w:b/>
      <w:bCs/>
    </w:rPr>
  </w:style>
  <w:style w:type="character" w:customStyle="1" w:styleId="CommentSubjectChar">
    <w:name w:val="Comment Subject Char"/>
    <w:basedOn w:val="CommentTextChar"/>
    <w:link w:val="CommentSubject"/>
    <w:uiPriority w:val="99"/>
    <w:semiHidden/>
    <w:rsid w:val="000A3268"/>
    <w:rPr>
      <w:b/>
      <w:bCs/>
      <w:sz w:val="20"/>
      <w:szCs w:val="20"/>
    </w:rPr>
  </w:style>
  <w:style w:type="paragraph" w:styleId="BalloonText">
    <w:name w:val="Balloon Text"/>
    <w:basedOn w:val="Normal"/>
    <w:link w:val="BalloonTextChar"/>
    <w:uiPriority w:val="99"/>
    <w:semiHidden/>
    <w:unhideWhenUsed/>
    <w:rsid w:val="000A3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268"/>
    <w:rPr>
      <w:rFonts w:ascii="Tahoma" w:hAnsi="Tahoma" w:cs="Tahoma"/>
      <w:sz w:val="16"/>
      <w:szCs w:val="16"/>
    </w:rPr>
  </w:style>
  <w:style w:type="character" w:customStyle="1" w:styleId="Heading2Char">
    <w:name w:val="Heading 2 Char"/>
    <w:basedOn w:val="DefaultParagraphFont"/>
    <w:link w:val="Heading2"/>
    <w:uiPriority w:val="9"/>
    <w:rsid w:val="00F46977"/>
    <w:rPr>
      <w:rFonts w:ascii="Arial" w:eastAsia="Times New Roman" w:hAnsi="Arial" w:cs="Times New Roman"/>
      <w:b/>
      <w:bCs/>
      <w:color w:val="000000"/>
      <w:sz w:val="28"/>
      <w:szCs w:val="26"/>
    </w:rPr>
  </w:style>
  <w:style w:type="paragraph" w:styleId="BodyText2">
    <w:name w:val="Body Text 2"/>
    <w:basedOn w:val="Normal"/>
    <w:link w:val="BodyText2Char"/>
    <w:rsid w:val="00F46977"/>
    <w:pPr>
      <w:spacing w:before="120" w:after="120" w:line="300" w:lineRule="auto"/>
      <w:ind w:left="720"/>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F46977"/>
    <w:rPr>
      <w:rFonts w:ascii="Times New Roman" w:eastAsia="Times New Roman" w:hAnsi="Times New Roman" w:cs="Times New Roman"/>
      <w:szCs w:val="24"/>
    </w:rPr>
  </w:style>
  <w:style w:type="paragraph" w:styleId="Revision">
    <w:name w:val="Revision"/>
    <w:hidden/>
    <w:uiPriority w:val="99"/>
    <w:semiHidden/>
    <w:rsid w:val="00AB0A00"/>
    <w:pPr>
      <w:spacing w:after="0" w:line="240" w:lineRule="auto"/>
    </w:pPr>
  </w:style>
  <w:style w:type="table" w:styleId="TableGrid">
    <w:name w:val="Table Grid"/>
    <w:basedOn w:val="TableNormal"/>
    <w:uiPriority w:val="59"/>
    <w:rsid w:val="00AB0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AB0A0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E8795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MediumGrid31">
    <w:name w:val="Medium Grid 31"/>
    <w:basedOn w:val="TableNormal"/>
    <w:uiPriority w:val="69"/>
    <w:rsid w:val="00DE10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LightList2">
    <w:name w:val="Light List2"/>
    <w:basedOn w:val="TableNormal"/>
    <w:uiPriority w:val="61"/>
    <w:rsid w:val="00DE10B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
    <w:name w:val="Light Grid1"/>
    <w:basedOn w:val="TableNormal"/>
    <w:uiPriority w:val="62"/>
    <w:rsid w:val="00DE10B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DE10B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1">
    <w:name w:val="Medium Shading 11"/>
    <w:basedOn w:val="TableNormal"/>
    <w:uiPriority w:val="63"/>
    <w:rsid w:val="00DE10B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Shading1">
    <w:name w:val="Light Shading1"/>
    <w:basedOn w:val="TableNormal"/>
    <w:uiPriority w:val="60"/>
    <w:rsid w:val="00DE10B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1">
    <w:name w:val="Medium Shading 21"/>
    <w:basedOn w:val="TableNormal"/>
    <w:uiPriority w:val="64"/>
    <w:rsid w:val="00DE10B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DE10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21">
    <w:name w:val="Medium Grid 21"/>
    <w:basedOn w:val="TableNormal"/>
    <w:uiPriority w:val="68"/>
    <w:rsid w:val="00DE10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Header">
    <w:name w:val="header"/>
    <w:basedOn w:val="Normal"/>
    <w:link w:val="HeaderChar"/>
    <w:uiPriority w:val="99"/>
    <w:semiHidden/>
    <w:unhideWhenUsed/>
    <w:rsid w:val="003B37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37B1"/>
  </w:style>
  <w:style w:type="paragraph" w:styleId="Footer">
    <w:name w:val="footer"/>
    <w:basedOn w:val="Normal"/>
    <w:link w:val="FooterChar"/>
    <w:uiPriority w:val="99"/>
    <w:semiHidden/>
    <w:unhideWhenUsed/>
    <w:rsid w:val="003B37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364">
      <w:bodyDiv w:val="1"/>
      <w:marLeft w:val="0"/>
      <w:marRight w:val="0"/>
      <w:marTop w:val="0"/>
      <w:marBottom w:val="0"/>
      <w:divBdr>
        <w:top w:val="none" w:sz="0" w:space="0" w:color="auto"/>
        <w:left w:val="none" w:sz="0" w:space="0" w:color="auto"/>
        <w:bottom w:val="none" w:sz="0" w:space="0" w:color="auto"/>
        <w:right w:val="none" w:sz="0" w:space="0" w:color="auto"/>
      </w:divBdr>
    </w:div>
    <w:div w:id="105929386">
      <w:bodyDiv w:val="1"/>
      <w:marLeft w:val="0"/>
      <w:marRight w:val="0"/>
      <w:marTop w:val="0"/>
      <w:marBottom w:val="0"/>
      <w:divBdr>
        <w:top w:val="none" w:sz="0" w:space="0" w:color="auto"/>
        <w:left w:val="none" w:sz="0" w:space="0" w:color="auto"/>
        <w:bottom w:val="none" w:sz="0" w:space="0" w:color="auto"/>
        <w:right w:val="none" w:sz="0" w:space="0" w:color="auto"/>
      </w:divBdr>
    </w:div>
    <w:div w:id="146826011">
      <w:bodyDiv w:val="1"/>
      <w:marLeft w:val="0"/>
      <w:marRight w:val="0"/>
      <w:marTop w:val="0"/>
      <w:marBottom w:val="0"/>
      <w:divBdr>
        <w:top w:val="none" w:sz="0" w:space="0" w:color="auto"/>
        <w:left w:val="none" w:sz="0" w:space="0" w:color="auto"/>
        <w:bottom w:val="none" w:sz="0" w:space="0" w:color="auto"/>
        <w:right w:val="none" w:sz="0" w:space="0" w:color="auto"/>
      </w:divBdr>
    </w:div>
    <w:div w:id="193152027">
      <w:bodyDiv w:val="1"/>
      <w:marLeft w:val="0"/>
      <w:marRight w:val="0"/>
      <w:marTop w:val="0"/>
      <w:marBottom w:val="0"/>
      <w:divBdr>
        <w:top w:val="none" w:sz="0" w:space="0" w:color="auto"/>
        <w:left w:val="none" w:sz="0" w:space="0" w:color="auto"/>
        <w:bottom w:val="none" w:sz="0" w:space="0" w:color="auto"/>
        <w:right w:val="none" w:sz="0" w:space="0" w:color="auto"/>
      </w:divBdr>
    </w:div>
    <w:div w:id="199824193">
      <w:bodyDiv w:val="1"/>
      <w:marLeft w:val="0"/>
      <w:marRight w:val="0"/>
      <w:marTop w:val="0"/>
      <w:marBottom w:val="0"/>
      <w:divBdr>
        <w:top w:val="none" w:sz="0" w:space="0" w:color="auto"/>
        <w:left w:val="none" w:sz="0" w:space="0" w:color="auto"/>
        <w:bottom w:val="none" w:sz="0" w:space="0" w:color="auto"/>
        <w:right w:val="none" w:sz="0" w:space="0" w:color="auto"/>
      </w:divBdr>
    </w:div>
    <w:div w:id="220869000">
      <w:bodyDiv w:val="1"/>
      <w:marLeft w:val="0"/>
      <w:marRight w:val="0"/>
      <w:marTop w:val="0"/>
      <w:marBottom w:val="0"/>
      <w:divBdr>
        <w:top w:val="none" w:sz="0" w:space="0" w:color="auto"/>
        <w:left w:val="none" w:sz="0" w:space="0" w:color="auto"/>
        <w:bottom w:val="none" w:sz="0" w:space="0" w:color="auto"/>
        <w:right w:val="none" w:sz="0" w:space="0" w:color="auto"/>
      </w:divBdr>
    </w:div>
    <w:div w:id="289675834">
      <w:bodyDiv w:val="1"/>
      <w:marLeft w:val="0"/>
      <w:marRight w:val="0"/>
      <w:marTop w:val="0"/>
      <w:marBottom w:val="0"/>
      <w:divBdr>
        <w:top w:val="none" w:sz="0" w:space="0" w:color="auto"/>
        <w:left w:val="none" w:sz="0" w:space="0" w:color="auto"/>
        <w:bottom w:val="none" w:sz="0" w:space="0" w:color="auto"/>
        <w:right w:val="none" w:sz="0" w:space="0" w:color="auto"/>
      </w:divBdr>
    </w:div>
    <w:div w:id="348221655">
      <w:bodyDiv w:val="1"/>
      <w:marLeft w:val="0"/>
      <w:marRight w:val="0"/>
      <w:marTop w:val="0"/>
      <w:marBottom w:val="0"/>
      <w:divBdr>
        <w:top w:val="none" w:sz="0" w:space="0" w:color="auto"/>
        <w:left w:val="none" w:sz="0" w:space="0" w:color="auto"/>
        <w:bottom w:val="none" w:sz="0" w:space="0" w:color="auto"/>
        <w:right w:val="none" w:sz="0" w:space="0" w:color="auto"/>
      </w:divBdr>
    </w:div>
    <w:div w:id="385297901">
      <w:bodyDiv w:val="1"/>
      <w:marLeft w:val="0"/>
      <w:marRight w:val="0"/>
      <w:marTop w:val="0"/>
      <w:marBottom w:val="0"/>
      <w:divBdr>
        <w:top w:val="none" w:sz="0" w:space="0" w:color="auto"/>
        <w:left w:val="none" w:sz="0" w:space="0" w:color="auto"/>
        <w:bottom w:val="none" w:sz="0" w:space="0" w:color="auto"/>
        <w:right w:val="none" w:sz="0" w:space="0" w:color="auto"/>
      </w:divBdr>
    </w:div>
    <w:div w:id="392847265">
      <w:bodyDiv w:val="1"/>
      <w:marLeft w:val="0"/>
      <w:marRight w:val="0"/>
      <w:marTop w:val="0"/>
      <w:marBottom w:val="0"/>
      <w:divBdr>
        <w:top w:val="none" w:sz="0" w:space="0" w:color="auto"/>
        <w:left w:val="none" w:sz="0" w:space="0" w:color="auto"/>
        <w:bottom w:val="none" w:sz="0" w:space="0" w:color="auto"/>
        <w:right w:val="none" w:sz="0" w:space="0" w:color="auto"/>
      </w:divBdr>
    </w:div>
    <w:div w:id="413670262">
      <w:bodyDiv w:val="1"/>
      <w:marLeft w:val="0"/>
      <w:marRight w:val="0"/>
      <w:marTop w:val="0"/>
      <w:marBottom w:val="0"/>
      <w:divBdr>
        <w:top w:val="none" w:sz="0" w:space="0" w:color="auto"/>
        <w:left w:val="none" w:sz="0" w:space="0" w:color="auto"/>
        <w:bottom w:val="none" w:sz="0" w:space="0" w:color="auto"/>
        <w:right w:val="none" w:sz="0" w:space="0" w:color="auto"/>
      </w:divBdr>
    </w:div>
    <w:div w:id="451636168">
      <w:bodyDiv w:val="1"/>
      <w:marLeft w:val="0"/>
      <w:marRight w:val="0"/>
      <w:marTop w:val="0"/>
      <w:marBottom w:val="0"/>
      <w:divBdr>
        <w:top w:val="none" w:sz="0" w:space="0" w:color="auto"/>
        <w:left w:val="none" w:sz="0" w:space="0" w:color="auto"/>
        <w:bottom w:val="none" w:sz="0" w:space="0" w:color="auto"/>
        <w:right w:val="none" w:sz="0" w:space="0" w:color="auto"/>
      </w:divBdr>
    </w:div>
    <w:div w:id="530999753">
      <w:bodyDiv w:val="1"/>
      <w:marLeft w:val="0"/>
      <w:marRight w:val="0"/>
      <w:marTop w:val="0"/>
      <w:marBottom w:val="0"/>
      <w:divBdr>
        <w:top w:val="none" w:sz="0" w:space="0" w:color="auto"/>
        <w:left w:val="none" w:sz="0" w:space="0" w:color="auto"/>
        <w:bottom w:val="none" w:sz="0" w:space="0" w:color="auto"/>
        <w:right w:val="none" w:sz="0" w:space="0" w:color="auto"/>
      </w:divBdr>
    </w:div>
    <w:div w:id="557207777">
      <w:bodyDiv w:val="1"/>
      <w:marLeft w:val="0"/>
      <w:marRight w:val="0"/>
      <w:marTop w:val="0"/>
      <w:marBottom w:val="0"/>
      <w:divBdr>
        <w:top w:val="none" w:sz="0" w:space="0" w:color="auto"/>
        <w:left w:val="none" w:sz="0" w:space="0" w:color="auto"/>
        <w:bottom w:val="none" w:sz="0" w:space="0" w:color="auto"/>
        <w:right w:val="none" w:sz="0" w:space="0" w:color="auto"/>
      </w:divBdr>
    </w:div>
    <w:div w:id="626280456">
      <w:bodyDiv w:val="1"/>
      <w:marLeft w:val="0"/>
      <w:marRight w:val="0"/>
      <w:marTop w:val="0"/>
      <w:marBottom w:val="0"/>
      <w:divBdr>
        <w:top w:val="none" w:sz="0" w:space="0" w:color="auto"/>
        <w:left w:val="none" w:sz="0" w:space="0" w:color="auto"/>
        <w:bottom w:val="none" w:sz="0" w:space="0" w:color="auto"/>
        <w:right w:val="none" w:sz="0" w:space="0" w:color="auto"/>
      </w:divBdr>
    </w:div>
    <w:div w:id="652177528">
      <w:bodyDiv w:val="1"/>
      <w:marLeft w:val="0"/>
      <w:marRight w:val="0"/>
      <w:marTop w:val="0"/>
      <w:marBottom w:val="0"/>
      <w:divBdr>
        <w:top w:val="none" w:sz="0" w:space="0" w:color="auto"/>
        <w:left w:val="none" w:sz="0" w:space="0" w:color="auto"/>
        <w:bottom w:val="none" w:sz="0" w:space="0" w:color="auto"/>
        <w:right w:val="none" w:sz="0" w:space="0" w:color="auto"/>
      </w:divBdr>
    </w:div>
    <w:div w:id="699090826">
      <w:bodyDiv w:val="1"/>
      <w:marLeft w:val="0"/>
      <w:marRight w:val="0"/>
      <w:marTop w:val="0"/>
      <w:marBottom w:val="0"/>
      <w:divBdr>
        <w:top w:val="none" w:sz="0" w:space="0" w:color="auto"/>
        <w:left w:val="none" w:sz="0" w:space="0" w:color="auto"/>
        <w:bottom w:val="none" w:sz="0" w:space="0" w:color="auto"/>
        <w:right w:val="none" w:sz="0" w:space="0" w:color="auto"/>
      </w:divBdr>
    </w:div>
    <w:div w:id="719860452">
      <w:bodyDiv w:val="1"/>
      <w:marLeft w:val="0"/>
      <w:marRight w:val="0"/>
      <w:marTop w:val="0"/>
      <w:marBottom w:val="0"/>
      <w:divBdr>
        <w:top w:val="none" w:sz="0" w:space="0" w:color="auto"/>
        <w:left w:val="none" w:sz="0" w:space="0" w:color="auto"/>
        <w:bottom w:val="none" w:sz="0" w:space="0" w:color="auto"/>
        <w:right w:val="none" w:sz="0" w:space="0" w:color="auto"/>
      </w:divBdr>
    </w:div>
    <w:div w:id="727798828">
      <w:bodyDiv w:val="1"/>
      <w:marLeft w:val="0"/>
      <w:marRight w:val="0"/>
      <w:marTop w:val="0"/>
      <w:marBottom w:val="0"/>
      <w:divBdr>
        <w:top w:val="none" w:sz="0" w:space="0" w:color="auto"/>
        <w:left w:val="none" w:sz="0" w:space="0" w:color="auto"/>
        <w:bottom w:val="none" w:sz="0" w:space="0" w:color="auto"/>
        <w:right w:val="none" w:sz="0" w:space="0" w:color="auto"/>
      </w:divBdr>
    </w:div>
    <w:div w:id="755174928">
      <w:bodyDiv w:val="1"/>
      <w:marLeft w:val="0"/>
      <w:marRight w:val="0"/>
      <w:marTop w:val="0"/>
      <w:marBottom w:val="0"/>
      <w:divBdr>
        <w:top w:val="none" w:sz="0" w:space="0" w:color="auto"/>
        <w:left w:val="none" w:sz="0" w:space="0" w:color="auto"/>
        <w:bottom w:val="none" w:sz="0" w:space="0" w:color="auto"/>
        <w:right w:val="none" w:sz="0" w:space="0" w:color="auto"/>
      </w:divBdr>
    </w:div>
    <w:div w:id="762461442">
      <w:bodyDiv w:val="1"/>
      <w:marLeft w:val="0"/>
      <w:marRight w:val="0"/>
      <w:marTop w:val="0"/>
      <w:marBottom w:val="0"/>
      <w:divBdr>
        <w:top w:val="none" w:sz="0" w:space="0" w:color="auto"/>
        <w:left w:val="none" w:sz="0" w:space="0" w:color="auto"/>
        <w:bottom w:val="none" w:sz="0" w:space="0" w:color="auto"/>
        <w:right w:val="none" w:sz="0" w:space="0" w:color="auto"/>
      </w:divBdr>
    </w:div>
    <w:div w:id="802892043">
      <w:bodyDiv w:val="1"/>
      <w:marLeft w:val="0"/>
      <w:marRight w:val="0"/>
      <w:marTop w:val="0"/>
      <w:marBottom w:val="0"/>
      <w:divBdr>
        <w:top w:val="none" w:sz="0" w:space="0" w:color="auto"/>
        <w:left w:val="none" w:sz="0" w:space="0" w:color="auto"/>
        <w:bottom w:val="none" w:sz="0" w:space="0" w:color="auto"/>
        <w:right w:val="none" w:sz="0" w:space="0" w:color="auto"/>
      </w:divBdr>
    </w:div>
    <w:div w:id="939138628">
      <w:bodyDiv w:val="1"/>
      <w:marLeft w:val="0"/>
      <w:marRight w:val="0"/>
      <w:marTop w:val="0"/>
      <w:marBottom w:val="0"/>
      <w:divBdr>
        <w:top w:val="none" w:sz="0" w:space="0" w:color="auto"/>
        <w:left w:val="none" w:sz="0" w:space="0" w:color="auto"/>
        <w:bottom w:val="none" w:sz="0" w:space="0" w:color="auto"/>
        <w:right w:val="none" w:sz="0" w:space="0" w:color="auto"/>
      </w:divBdr>
    </w:div>
    <w:div w:id="997611062">
      <w:bodyDiv w:val="1"/>
      <w:marLeft w:val="0"/>
      <w:marRight w:val="0"/>
      <w:marTop w:val="0"/>
      <w:marBottom w:val="0"/>
      <w:divBdr>
        <w:top w:val="none" w:sz="0" w:space="0" w:color="auto"/>
        <w:left w:val="none" w:sz="0" w:space="0" w:color="auto"/>
        <w:bottom w:val="none" w:sz="0" w:space="0" w:color="auto"/>
        <w:right w:val="none" w:sz="0" w:space="0" w:color="auto"/>
      </w:divBdr>
    </w:div>
    <w:div w:id="1001734989">
      <w:bodyDiv w:val="1"/>
      <w:marLeft w:val="0"/>
      <w:marRight w:val="0"/>
      <w:marTop w:val="0"/>
      <w:marBottom w:val="0"/>
      <w:divBdr>
        <w:top w:val="none" w:sz="0" w:space="0" w:color="auto"/>
        <w:left w:val="none" w:sz="0" w:space="0" w:color="auto"/>
        <w:bottom w:val="none" w:sz="0" w:space="0" w:color="auto"/>
        <w:right w:val="none" w:sz="0" w:space="0" w:color="auto"/>
      </w:divBdr>
    </w:div>
    <w:div w:id="1005546826">
      <w:bodyDiv w:val="1"/>
      <w:marLeft w:val="0"/>
      <w:marRight w:val="0"/>
      <w:marTop w:val="0"/>
      <w:marBottom w:val="0"/>
      <w:divBdr>
        <w:top w:val="none" w:sz="0" w:space="0" w:color="auto"/>
        <w:left w:val="none" w:sz="0" w:space="0" w:color="auto"/>
        <w:bottom w:val="none" w:sz="0" w:space="0" w:color="auto"/>
        <w:right w:val="none" w:sz="0" w:space="0" w:color="auto"/>
      </w:divBdr>
    </w:div>
    <w:div w:id="1008294236">
      <w:bodyDiv w:val="1"/>
      <w:marLeft w:val="0"/>
      <w:marRight w:val="0"/>
      <w:marTop w:val="0"/>
      <w:marBottom w:val="0"/>
      <w:divBdr>
        <w:top w:val="none" w:sz="0" w:space="0" w:color="auto"/>
        <w:left w:val="none" w:sz="0" w:space="0" w:color="auto"/>
        <w:bottom w:val="none" w:sz="0" w:space="0" w:color="auto"/>
        <w:right w:val="none" w:sz="0" w:space="0" w:color="auto"/>
      </w:divBdr>
    </w:div>
    <w:div w:id="1078752449">
      <w:bodyDiv w:val="1"/>
      <w:marLeft w:val="0"/>
      <w:marRight w:val="0"/>
      <w:marTop w:val="0"/>
      <w:marBottom w:val="0"/>
      <w:divBdr>
        <w:top w:val="none" w:sz="0" w:space="0" w:color="auto"/>
        <w:left w:val="none" w:sz="0" w:space="0" w:color="auto"/>
        <w:bottom w:val="none" w:sz="0" w:space="0" w:color="auto"/>
        <w:right w:val="none" w:sz="0" w:space="0" w:color="auto"/>
      </w:divBdr>
    </w:div>
    <w:div w:id="1085616338">
      <w:bodyDiv w:val="1"/>
      <w:marLeft w:val="0"/>
      <w:marRight w:val="0"/>
      <w:marTop w:val="0"/>
      <w:marBottom w:val="0"/>
      <w:divBdr>
        <w:top w:val="none" w:sz="0" w:space="0" w:color="auto"/>
        <w:left w:val="none" w:sz="0" w:space="0" w:color="auto"/>
        <w:bottom w:val="none" w:sz="0" w:space="0" w:color="auto"/>
        <w:right w:val="none" w:sz="0" w:space="0" w:color="auto"/>
      </w:divBdr>
    </w:div>
    <w:div w:id="1136024089">
      <w:bodyDiv w:val="1"/>
      <w:marLeft w:val="0"/>
      <w:marRight w:val="0"/>
      <w:marTop w:val="0"/>
      <w:marBottom w:val="0"/>
      <w:divBdr>
        <w:top w:val="none" w:sz="0" w:space="0" w:color="auto"/>
        <w:left w:val="none" w:sz="0" w:space="0" w:color="auto"/>
        <w:bottom w:val="none" w:sz="0" w:space="0" w:color="auto"/>
        <w:right w:val="none" w:sz="0" w:space="0" w:color="auto"/>
      </w:divBdr>
    </w:div>
    <w:div w:id="1248615827">
      <w:bodyDiv w:val="1"/>
      <w:marLeft w:val="0"/>
      <w:marRight w:val="0"/>
      <w:marTop w:val="0"/>
      <w:marBottom w:val="0"/>
      <w:divBdr>
        <w:top w:val="none" w:sz="0" w:space="0" w:color="auto"/>
        <w:left w:val="none" w:sz="0" w:space="0" w:color="auto"/>
        <w:bottom w:val="none" w:sz="0" w:space="0" w:color="auto"/>
        <w:right w:val="none" w:sz="0" w:space="0" w:color="auto"/>
      </w:divBdr>
    </w:div>
    <w:div w:id="1251810954">
      <w:bodyDiv w:val="1"/>
      <w:marLeft w:val="0"/>
      <w:marRight w:val="0"/>
      <w:marTop w:val="0"/>
      <w:marBottom w:val="0"/>
      <w:divBdr>
        <w:top w:val="none" w:sz="0" w:space="0" w:color="auto"/>
        <w:left w:val="none" w:sz="0" w:space="0" w:color="auto"/>
        <w:bottom w:val="none" w:sz="0" w:space="0" w:color="auto"/>
        <w:right w:val="none" w:sz="0" w:space="0" w:color="auto"/>
      </w:divBdr>
    </w:div>
    <w:div w:id="1281036402">
      <w:bodyDiv w:val="1"/>
      <w:marLeft w:val="0"/>
      <w:marRight w:val="0"/>
      <w:marTop w:val="0"/>
      <w:marBottom w:val="0"/>
      <w:divBdr>
        <w:top w:val="none" w:sz="0" w:space="0" w:color="auto"/>
        <w:left w:val="none" w:sz="0" w:space="0" w:color="auto"/>
        <w:bottom w:val="none" w:sz="0" w:space="0" w:color="auto"/>
        <w:right w:val="none" w:sz="0" w:space="0" w:color="auto"/>
      </w:divBdr>
    </w:div>
    <w:div w:id="1283071794">
      <w:bodyDiv w:val="1"/>
      <w:marLeft w:val="0"/>
      <w:marRight w:val="0"/>
      <w:marTop w:val="0"/>
      <w:marBottom w:val="0"/>
      <w:divBdr>
        <w:top w:val="none" w:sz="0" w:space="0" w:color="auto"/>
        <w:left w:val="none" w:sz="0" w:space="0" w:color="auto"/>
        <w:bottom w:val="none" w:sz="0" w:space="0" w:color="auto"/>
        <w:right w:val="none" w:sz="0" w:space="0" w:color="auto"/>
      </w:divBdr>
    </w:div>
    <w:div w:id="1302494972">
      <w:bodyDiv w:val="1"/>
      <w:marLeft w:val="0"/>
      <w:marRight w:val="0"/>
      <w:marTop w:val="0"/>
      <w:marBottom w:val="0"/>
      <w:divBdr>
        <w:top w:val="none" w:sz="0" w:space="0" w:color="auto"/>
        <w:left w:val="none" w:sz="0" w:space="0" w:color="auto"/>
        <w:bottom w:val="none" w:sz="0" w:space="0" w:color="auto"/>
        <w:right w:val="none" w:sz="0" w:space="0" w:color="auto"/>
      </w:divBdr>
    </w:div>
    <w:div w:id="1362780814">
      <w:bodyDiv w:val="1"/>
      <w:marLeft w:val="0"/>
      <w:marRight w:val="0"/>
      <w:marTop w:val="0"/>
      <w:marBottom w:val="0"/>
      <w:divBdr>
        <w:top w:val="none" w:sz="0" w:space="0" w:color="auto"/>
        <w:left w:val="none" w:sz="0" w:space="0" w:color="auto"/>
        <w:bottom w:val="none" w:sz="0" w:space="0" w:color="auto"/>
        <w:right w:val="none" w:sz="0" w:space="0" w:color="auto"/>
      </w:divBdr>
    </w:div>
    <w:div w:id="1391229069">
      <w:bodyDiv w:val="1"/>
      <w:marLeft w:val="0"/>
      <w:marRight w:val="0"/>
      <w:marTop w:val="0"/>
      <w:marBottom w:val="0"/>
      <w:divBdr>
        <w:top w:val="none" w:sz="0" w:space="0" w:color="auto"/>
        <w:left w:val="none" w:sz="0" w:space="0" w:color="auto"/>
        <w:bottom w:val="none" w:sz="0" w:space="0" w:color="auto"/>
        <w:right w:val="none" w:sz="0" w:space="0" w:color="auto"/>
      </w:divBdr>
    </w:div>
    <w:div w:id="1415712201">
      <w:bodyDiv w:val="1"/>
      <w:marLeft w:val="0"/>
      <w:marRight w:val="0"/>
      <w:marTop w:val="0"/>
      <w:marBottom w:val="0"/>
      <w:divBdr>
        <w:top w:val="none" w:sz="0" w:space="0" w:color="auto"/>
        <w:left w:val="none" w:sz="0" w:space="0" w:color="auto"/>
        <w:bottom w:val="none" w:sz="0" w:space="0" w:color="auto"/>
        <w:right w:val="none" w:sz="0" w:space="0" w:color="auto"/>
      </w:divBdr>
    </w:div>
    <w:div w:id="1418672788">
      <w:bodyDiv w:val="1"/>
      <w:marLeft w:val="0"/>
      <w:marRight w:val="0"/>
      <w:marTop w:val="0"/>
      <w:marBottom w:val="0"/>
      <w:divBdr>
        <w:top w:val="none" w:sz="0" w:space="0" w:color="auto"/>
        <w:left w:val="none" w:sz="0" w:space="0" w:color="auto"/>
        <w:bottom w:val="none" w:sz="0" w:space="0" w:color="auto"/>
        <w:right w:val="none" w:sz="0" w:space="0" w:color="auto"/>
      </w:divBdr>
    </w:div>
    <w:div w:id="1437796602">
      <w:bodyDiv w:val="1"/>
      <w:marLeft w:val="0"/>
      <w:marRight w:val="0"/>
      <w:marTop w:val="0"/>
      <w:marBottom w:val="0"/>
      <w:divBdr>
        <w:top w:val="none" w:sz="0" w:space="0" w:color="auto"/>
        <w:left w:val="none" w:sz="0" w:space="0" w:color="auto"/>
        <w:bottom w:val="none" w:sz="0" w:space="0" w:color="auto"/>
        <w:right w:val="none" w:sz="0" w:space="0" w:color="auto"/>
      </w:divBdr>
    </w:div>
    <w:div w:id="1510481688">
      <w:bodyDiv w:val="1"/>
      <w:marLeft w:val="0"/>
      <w:marRight w:val="0"/>
      <w:marTop w:val="0"/>
      <w:marBottom w:val="0"/>
      <w:divBdr>
        <w:top w:val="none" w:sz="0" w:space="0" w:color="auto"/>
        <w:left w:val="none" w:sz="0" w:space="0" w:color="auto"/>
        <w:bottom w:val="none" w:sz="0" w:space="0" w:color="auto"/>
        <w:right w:val="none" w:sz="0" w:space="0" w:color="auto"/>
      </w:divBdr>
    </w:div>
    <w:div w:id="1665938408">
      <w:bodyDiv w:val="1"/>
      <w:marLeft w:val="0"/>
      <w:marRight w:val="0"/>
      <w:marTop w:val="0"/>
      <w:marBottom w:val="0"/>
      <w:divBdr>
        <w:top w:val="none" w:sz="0" w:space="0" w:color="auto"/>
        <w:left w:val="none" w:sz="0" w:space="0" w:color="auto"/>
        <w:bottom w:val="none" w:sz="0" w:space="0" w:color="auto"/>
        <w:right w:val="none" w:sz="0" w:space="0" w:color="auto"/>
      </w:divBdr>
    </w:div>
    <w:div w:id="1710179276">
      <w:bodyDiv w:val="1"/>
      <w:marLeft w:val="0"/>
      <w:marRight w:val="0"/>
      <w:marTop w:val="0"/>
      <w:marBottom w:val="0"/>
      <w:divBdr>
        <w:top w:val="none" w:sz="0" w:space="0" w:color="auto"/>
        <w:left w:val="none" w:sz="0" w:space="0" w:color="auto"/>
        <w:bottom w:val="none" w:sz="0" w:space="0" w:color="auto"/>
        <w:right w:val="none" w:sz="0" w:space="0" w:color="auto"/>
      </w:divBdr>
    </w:div>
    <w:div w:id="1716853494">
      <w:bodyDiv w:val="1"/>
      <w:marLeft w:val="0"/>
      <w:marRight w:val="0"/>
      <w:marTop w:val="0"/>
      <w:marBottom w:val="0"/>
      <w:divBdr>
        <w:top w:val="none" w:sz="0" w:space="0" w:color="auto"/>
        <w:left w:val="none" w:sz="0" w:space="0" w:color="auto"/>
        <w:bottom w:val="none" w:sz="0" w:space="0" w:color="auto"/>
        <w:right w:val="none" w:sz="0" w:space="0" w:color="auto"/>
      </w:divBdr>
    </w:div>
    <w:div w:id="1732342322">
      <w:bodyDiv w:val="1"/>
      <w:marLeft w:val="0"/>
      <w:marRight w:val="0"/>
      <w:marTop w:val="0"/>
      <w:marBottom w:val="0"/>
      <w:divBdr>
        <w:top w:val="none" w:sz="0" w:space="0" w:color="auto"/>
        <w:left w:val="none" w:sz="0" w:space="0" w:color="auto"/>
        <w:bottom w:val="none" w:sz="0" w:space="0" w:color="auto"/>
        <w:right w:val="none" w:sz="0" w:space="0" w:color="auto"/>
      </w:divBdr>
    </w:div>
    <w:div w:id="1788814433">
      <w:bodyDiv w:val="1"/>
      <w:marLeft w:val="0"/>
      <w:marRight w:val="0"/>
      <w:marTop w:val="0"/>
      <w:marBottom w:val="0"/>
      <w:divBdr>
        <w:top w:val="none" w:sz="0" w:space="0" w:color="auto"/>
        <w:left w:val="none" w:sz="0" w:space="0" w:color="auto"/>
        <w:bottom w:val="none" w:sz="0" w:space="0" w:color="auto"/>
        <w:right w:val="none" w:sz="0" w:space="0" w:color="auto"/>
      </w:divBdr>
    </w:div>
    <w:div w:id="1794901502">
      <w:bodyDiv w:val="1"/>
      <w:marLeft w:val="0"/>
      <w:marRight w:val="0"/>
      <w:marTop w:val="0"/>
      <w:marBottom w:val="0"/>
      <w:divBdr>
        <w:top w:val="none" w:sz="0" w:space="0" w:color="auto"/>
        <w:left w:val="none" w:sz="0" w:space="0" w:color="auto"/>
        <w:bottom w:val="none" w:sz="0" w:space="0" w:color="auto"/>
        <w:right w:val="none" w:sz="0" w:space="0" w:color="auto"/>
      </w:divBdr>
    </w:div>
    <w:div w:id="1875265031">
      <w:bodyDiv w:val="1"/>
      <w:marLeft w:val="0"/>
      <w:marRight w:val="0"/>
      <w:marTop w:val="0"/>
      <w:marBottom w:val="0"/>
      <w:divBdr>
        <w:top w:val="none" w:sz="0" w:space="0" w:color="auto"/>
        <w:left w:val="none" w:sz="0" w:space="0" w:color="auto"/>
        <w:bottom w:val="none" w:sz="0" w:space="0" w:color="auto"/>
        <w:right w:val="none" w:sz="0" w:space="0" w:color="auto"/>
      </w:divBdr>
    </w:div>
    <w:div w:id="1953978983">
      <w:bodyDiv w:val="1"/>
      <w:marLeft w:val="0"/>
      <w:marRight w:val="0"/>
      <w:marTop w:val="0"/>
      <w:marBottom w:val="0"/>
      <w:divBdr>
        <w:top w:val="none" w:sz="0" w:space="0" w:color="auto"/>
        <w:left w:val="none" w:sz="0" w:space="0" w:color="auto"/>
        <w:bottom w:val="none" w:sz="0" w:space="0" w:color="auto"/>
        <w:right w:val="none" w:sz="0" w:space="0" w:color="auto"/>
      </w:divBdr>
    </w:div>
    <w:div w:id="1971127897">
      <w:bodyDiv w:val="1"/>
      <w:marLeft w:val="0"/>
      <w:marRight w:val="0"/>
      <w:marTop w:val="0"/>
      <w:marBottom w:val="0"/>
      <w:divBdr>
        <w:top w:val="none" w:sz="0" w:space="0" w:color="auto"/>
        <w:left w:val="none" w:sz="0" w:space="0" w:color="auto"/>
        <w:bottom w:val="none" w:sz="0" w:space="0" w:color="auto"/>
        <w:right w:val="none" w:sz="0" w:space="0" w:color="auto"/>
      </w:divBdr>
    </w:div>
    <w:div w:id="1984852699">
      <w:bodyDiv w:val="1"/>
      <w:marLeft w:val="0"/>
      <w:marRight w:val="0"/>
      <w:marTop w:val="0"/>
      <w:marBottom w:val="0"/>
      <w:divBdr>
        <w:top w:val="none" w:sz="0" w:space="0" w:color="auto"/>
        <w:left w:val="none" w:sz="0" w:space="0" w:color="auto"/>
        <w:bottom w:val="none" w:sz="0" w:space="0" w:color="auto"/>
        <w:right w:val="none" w:sz="0" w:space="0" w:color="auto"/>
      </w:divBdr>
    </w:div>
    <w:div w:id="2032218359">
      <w:bodyDiv w:val="1"/>
      <w:marLeft w:val="0"/>
      <w:marRight w:val="0"/>
      <w:marTop w:val="0"/>
      <w:marBottom w:val="0"/>
      <w:divBdr>
        <w:top w:val="none" w:sz="0" w:space="0" w:color="auto"/>
        <w:left w:val="none" w:sz="0" w:space="0" w:color="auto"/>
        <w:bottom w:val="none" w:sz="0" w:space="0" w:color="auto"/>
        <w:right w:val="none" w:sz="0" w:space="0" w:color="auto"/>
      </w:divBdr>
    </w:div>
    <w:div w:id="2062903892">
      <w:bodyDiv w:val="1"/>
      <w:marLeft w:val="0"/>
      <w:marRight w:val="0"/>
      <w:marTop w:val="0"/>
      <w:marBottom w:val="0"/>
      <w:divBdr>
        <w:top w:val="none" w:sz="0" w:space="0" w:color="auto"/>
        <w:left w:val="none" w:sz="0" w:space="0" w:color="auto"/>
        <w:bottom w:val="none" w:sz="0" w:space="0" w:color="auto"/>
        <w:right w:val="none" w:sz="0" w:space="0" w:color="auto"/>
      </w:divBdr>
    </w:div>
    <w:div w:id="2101294319">
      <w:bodyDiv w:val="1"/>
      <w:marLeft w:val="0"/>
      <w:marRight w:val="0"/>
      <w:marTop w:val="0"/>
      <w:marBottom w:val="0"/>
      <w:divBdr>
        <w:top w:val="none" w:sz="0" w:space="0" w:color="auto"/>
        <w:left w:val="none" w:sz="0" w:space="0" w:color="auto"/>
        <w:bottom w:val="none" w:sz="0" w:space="0" w:color="auto"/>
        <w:right w:val="none" w:sz="0" w:space="0" w:color="auto"/>
      </w:divBdr>
    </w:div>
    <w:div w:id="2124105795">
      <w:bodyDiv w:val="1"/>
      <w:marLeft w:val="0"/>
      <w:marRight w:val="0"/>
      <w:marTop w:val="0"/>
      <w:marBottom w:val="0"/>
      <w:divBdr>
        <w:top w:val="none" w:sz="0" w:space="0" w:color="auto"/>
        <w:left w:val="none" w:sz="0" w:space="0" w:color="auto"/>
        <w:bottom w:val="none" w:sz="0" w:space="0" w:color="auto"/>
        <w:right w:val="none" w:sz="0" w:space="0" w:color="auto"/>
      </w:divBdr>
    </w:div>
    <w:div w:id="21470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D3BFB61699F04F88F360A8017336E2" ma:contentTypeVersion="0" ma:contentTypeDescription="Create a new document." ma:contentTypeScope="" ma:versionID="dced688e0468cbabbb6166f0b7ece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87B72-AEBA-46F9-88C6-F19EA889A875}">
  <ds:schemaRefs>
    <ds:schemaRef ds:uri="http://schemas.microsoft.com/sharepoint/v3/contenttype/forms"/>
  </ds:schemaRefs>
</ds:datastoreItem>
</file>

<file path=customXml/itemProps2.xml><?xml version="1.0" encoding="utf-8"?>
<ds:datastoreItem xmlns:ds="http://schemas.openxmlformats.org/officeDocument/2006/customXml" ds:itemID="{8EEE1149-5F1E-4A11-8257-57F027603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B2671EB-42DA-440E-B03E-9FDED829A686}">
  <ds:schemaRef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FDDBE34-A4EF-4454-BCB0-3899438F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AC9C20FC</Template>
  <TotalTime>1052</TotalTime>
  <Pages>16</Pages>
  <Words>4054</Words>
  <Characters>23110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CSB/SJU</Company>
  <LinksUpToDate>false</LinksUpToDate>
  <CharactersWithSpaces>27110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teggermont</dc:creator>
  <cp:lastModifiedBy>SJU Sustainability Office</cp:lastModifiedBy>
  <cp:revision>16</cp:revision>
  <cp:lastPrinted>2014-11-03T21:08:00Z</cp:lastPrinted>
  <dcterms:created xsi:type="dcterms:W3CDTF">2014-10-06T20:03:00Z</dcterms:created>
  <dcterms:modified xsi:type="dcterms:W3CDTF">2014-11-04T21:15:00Z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0x01010027D3BFB61699F04F88F360A8017336E2</vt:lpwstr>
  </property>
</Properties>
</file>