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19" w:rsidRDefault="00D91219" w:rsidP="00D91219">
      <w:pPr>
        <w:pStyle w:val="NormalWeb"/>
      </w:pPr>
      <w:r>
        <w:t>Gettysburg College Smoking Policy</w:t>
      </w:r>
      <w:bookmarkStart w:id="0" w:name="_GoBack"/>
      <w:bookmarkEnd w:id="0"/>
    </w:p>
    <w:p w:rsidR="00D91219" w:rsidRDefault="00D91219" w:rsidP="00D91219">
      <w:pPr>
        <w:pStyle w:val="NormalWeb"/>
      </w:pPr>
      <w:r>
        <w:t xml:space="preserve">There is extensive data within the scientific community that illustrates the harmful effects of secondhand smoke on non-smokers. In fact, the Environmental Protection Agency has classified second-hand smoke as a Class </w:t>
      </w:r>
      <w:proofErr w:type="gramStart"/>
      <w:r>
        <w:t>A</w:t>
      </w:r>
      <w:proofErr w:type="gramEnd"/>
      <w:r>
        <w:t xml:space="preserve"> carcinogen, a classification reserved for the most lethal environmental hazards, such as asbestos, benzene, formaldehyde and radon. Research has linked secondhand smoke to lung cancer, cardiovascular disease, asthma, bronchitis, pneumonia, middle ear infections, and nasal and eye irritation. The use of tobacco products is the leading cause of preventable illness and early death.</w:t>
      </w:r>
    </w:p>
    <w:p w:rsidR="00D91219" w:rsidRDefault="00D91219" w:rsidP="00D91219">
      <w:pPr>
        <w:pStyle w:val="NormalWeb"/>
      </w:pPr>
      <w:r>
        <w:t>In an effort to promote a healthy, comfortable and productive work environment for the employees of Gettysburg College, the College has become a smoke-free workplace. Smoking in any form is prohibited inside all College-owned or leased buildings including both residential and non-residential buildings and all recognized student housing including fraternities. In addition, smoking is prohibited in any College-owned or rented vehicles. Individuals who choose to smoke must smoke outside and must stand at least 15 feet away from any campus building. For employees, the enforcement of this policy will rest with the individual supervisor in consultation with the Co-Directors of Human Resources and Risk Management. For students, enforcement of this policy will rest with the Office of College Life. Violations of this policy will result in disciplinary action for employees and students.</w:t>
      </w:r>
    </w:p>
    <w:p w:rsidR="00D91219" w:rsidRDefault="00D91219" w:rsidP="00D91219">
      <w:pPr>
        <w:pStyle w:val="NormalWeb"/>
      </w:pPr>
      <w:r>
        <w:t>Information about tobacco cessation is available through the Human Resources and Risk Management Office.</w:t>
      </w:r>
    </w:p>
    <w:p w:rsidR="00D91219" w:rsidRDefault="00D91219" w:rsidP="00D91219">
      <w:pPr>
        <w:pStyle w:val="NormalWeb"/>
      </w:pPr>
      <w:r>
        <w:t>There are also a number of drug/alcohol related self-help groups, which meet regularly in the area. For a listing, contact Counseling Services, 337-6960.</w:t>
      </w:r>
    </w:p>
    <w:p w:rsidR="00904378" w:rsidRDefault="00D91219"/>
    <w:sectPr w:rsidR="0090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19"/>
    <w:rsid w:val="006F04E2"/>
    <w:rsid w:val="00D91219"/>
    <w:rsid w:val="00E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BA00"/>
  <w15:chartTrackingRefBased/>
  <w15:docId w15:val="{FDEF951F-7C2D-49B3-BE30-BAF3F60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5708">
      <w:bodyDiv w:val="1"/>
      <w:marLeft w:val="0"/>
      <w:marRight w:val="0"/>
      <w:marTop w:val="0"/>
      <w:marBottom w:val="0"/>
      <w:divBdr>
        <w:top w:val="none" w:sz="0" w:space="0" w:color="auto"/>
        <w:left w:val="none" w:sz="0" w:space="0" w:color="auto"/>
        <w:bottom w:val="none" w:sz="0" w:space="0" w:color="auto"/>
        <w:right w:val="none" w:sz="0" w:space="0" w:color="auto"/>
      </w:divBdr>
      <w:divsChild>
        <w:div w:id="1971130843">
          <w:marLeft w:val="0"/>
          <w:marRight w:val="0"/>
          <w:marTop w:val="0"/>
          <w:marBottom w:val="0"/>
          <w:divBdr>
            <w:top w:val="none" w:sz="0" w:space="0" w:color="auto"/>
            <w:left w:val="none" w:sz="0" w:space="0" w:color="auto"/>
            <w:bottom w:val="none" w:sz="0" w:space="0" w:color="auto"/>
            <w:right w:val="none" w:sz="0" w:space="0" w:color="auto"/>
          </w:divBdr>
          <w:divsChild>
            <w:div w:id="12572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Biesecker</dc:creator>
  <cp:keywords/>
  <dc:description/>
  <cp:lastModifiedBy>James Biesecker</cp:lastModifiedBy>
  <cp:revision>1</cp:revision>
  <dcterms:created xsi:type="dcterms:W3CDTF">2022-08-16T15:56:00Z</dcterms:created>
  <dcterms:modified xsi:type="dcterms:W3CDTF">2022-08-16T15:56:00Z</dcterms:modified>
</cp:coreProperties>
</file>