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24935" w14:textId="77777777" w:rsidR="00CB7AED" w:rsidRPr="00A047DF" w:rsidRDefault="00CB7AED" w:rsidP="00D307FB">
      <w:pPr>
        <w:jc w:val="center"/>
        <w:rPr>
          <w:rFonts w:eastAsia="Times New Roman" w:cstheme="minorHAnsi"/>
          <w:b/>
          <w:noProof/>
          <w:color w:val="000000"/>
          <w:sz w:val="24"/>
          <w:szCs w:val="24"/>
        </w:rPr>
      </w:pPr>
      <w:r w:rsidRPr="00A047DF">
        <w:rPr>
          <w:rFonts w:eastAsia="Times New Roman" w:cstheme="minorHAnsi"/>
          <w:b/>
          <w:noProof/>
          <w:color w:val="000000"/>
          <w:sz w:val="24"/>
          <w:szCs w:val="24"/>
        </w:rPr>
        <w:drawing>
          <wp:anchor distT="0" distB="0" distL="114300" distR="114300" simplePos="0" relativeHeight="251658240" behindDoc="0" locked="0" layoutInCell="1" allowOverlap="1" wp14:anchorId="1E2887FF" wp14:editId="13F5FBC9">
            <wp:simplePos x="0" y="0"/>
            <wp:positionH relativeFrom="column">
              <wp:posOffset>2527852</wp:posOffset>
            </wp:positionH>
            <wp:positionV relativeFrom="paragraph">
              <wp:posOffset>-572273</wp:posOffset>
            </wp:positionV>
            <wp:extent cx="755374" cy="755374"/>
            <wp:effectExtent l="0" t="0" r="698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stainability-HQ.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5374" cy="755374"/>
                    </a:xfrm>
                    <a:prstGeom prst="rect">
                      <a:avLst/>
                    </a:prstGeom>
                  </pic:spPr>
                </pic:pic>
              </a:graphicData>
            </a:graphic>
            <wp14:sizeRelH relativeFrom="page">
              <wp14:pctWidth>0</wp14:pctWidth>
            </wp14:sizeRelH>
            <wp14:sizeRelV relativeFrom="page">
              <wp14:pctHeight>0</wp14:pctHeight>
            </wp14:sizeRelV>
          </wp:anchor>
        </w:drawing>
      </w:r>
    </w:p>
    <w:p w14:paraId="7CDF50FD" w14:textId="77777777" w:rsidR="00CB7AED" w:rsidRPr="00A047DF" w:rsidRDefault="00CB7AED" w:rsidP="00CB7AED">
      <w:pPr>
        <w:spacing w:after="0"/>
        <w:jc w:val="center"/>
        <w:rPr>
          <w:rFonts w:eastAsia="Times New Roman" w:cstheme="minorHAnsi"/>
          <w:b/>
          <w:color w:val="000000"/>
          <w:sz w:val="32"/>
          <w:szCs w:val="32"/>
        </w:rPr>
      </w:pPr>
      <w:r w:rsidRPr="00A047DF">
        <w:rPr>
          <w:rFonts w:eastAsia="Times New Roman" w:cstheme="minorHAnsi"/>
          <w:b/>
          <w:color w:val="000000"/>
          <w:sz w:val="32"/>
          <w:szCs w:val="32"/>
        </w:rPr>
        <w:t xml:space="preserve">Florida Gulf Coast University </w:t>
      </w:r>
    </w:p>
    <w:p w14:paraId="1E32F8D7" w14:textId="77777777" w:rsidR="00EF039F" w:rsidRPr="00A047DF" w:rsidRDefault="00725046" w:rsidP="00CB7AED">
      <w:pPr>
        <w:spacing w:after="0"/>
        <w:jc w:val="center"/>
        <w:rPr>
          <w:rFonts w:eastAsia="Times New Roman" w:cstheme="minorHAnsi"/>
          <w:b/>
          <w:color w:val="000000"/>
          <w:sz w:val="32"/>
          <w:szCs w:val="32"/>
        </w:rPr>
      </w:pPr>
      <w:r w:rsidRPr="00A047DF">
        <w:rPr>
          <w:rFonts w:eastAsia="Times New Roman" w:cstheme="minorHAnsi"/>
          <w:b/>
          <w:color w:val="000000"/>
          <w:sz w:val="32"/>
          <w:szCs w:val="32"/>
        </w:rPr>
        <w:t>Environmental Sustainability Committee</w:t>
      </w:r>
      <w:r w:rsidR="00D307FB" w:rsidRPr="00A047DF">
        <w:rPr>
          <w:rFonts w:eastAsia="Times New Roman" w:cstheme="minorHAnsi"/>
          <w:b/>
          <w:color w:val="000000"/>
          <w:sz w:val="32"/>
          <w:szCs w:val="32"/>
        </w:rPr>
        <w:t xml:space="preserve"> </w:t>
      </w:r>
      <w:r w:rsidR="00054BD6" w:rsidRPr="00A047DF">
        <w:rPr>
          <w:rFonts w:eastAsia="Times New Roman" w:cstheme="minorHAnsi"/>
          <w:b/>
          <w:color w:val="000000"/>
          <w:sz w:val="32"/>
          <w:szCs w:val="32"/>
        </w:rPr>
        <w:br/>
      </w:r>
      <w:r w:rsidR="00EF039F" w:rsidRPr="00A047DF">
        <w:rPr>
          <w:rFonts w:eastAsia="Times New Roman" w:cstheme="minorHAnsi"/>
          <w:b/>
          <w:color w:val="000000"/>
          <w:sz w:val="32"/>
          <w:szCs w:val="32"/>
        </w:rPr>
        <w:t xml:space="preserve">Strategic Plan </w:t>
      </w:r>
      <w:r w:rsidR="003C6FE4" w:rsidRPr="00A047DF">
        <w:rPr>
          <w:rFonts w:eastAsia="Times New Roman" w:cstheme="minorHAnsi"/>
          <w:b/>
          <w:color w:val="000000"/>
          <w:sz w:val="32"/>
          <w:szCs w:val="32"/>
        </w:rPr>
        <w:t>for Sustainability</w:t>
      </w:r>
      <w:r w:rsidRPr="00A047DF">
        <w:rPr>
          <w:rFonts w:eastAsia="Times New Roman" w:cstheme="minorHAnsi"/>
          <w:b/>
          <w:color w:val="000000"/>
          <w:sz w:val="32"/>
          <w:szCs w:val="32"/>
        </w:rPr>
        <w:t>, 2015 Update</w:t>
      </w:r>
    </w:p>
    <w:p w14:paraId="24811E8F" w14:textId="77777777" w:rsidR="003D698D" w:rsidRPr="00A047DF" w:rsidRDefault="00BD6D6B" w:rsidP="003D698D">
      <w:pPr>
        <w:spacing w:after="0"/>
        <w:jc w:val="center"/>
        <w:rPr>
          <w:rFonts w:eastAsia="Times New Roman" w:cstheme="minorHAnsi"/>
          <w:i/>
          <w:sz w:val="24"/>
          <w:szCs w:val="24"/>
        </w:rPr>
      </w:pPr>
      <w:r w:rsidRPr="00A047DF">
        <w:rPr>
          <w:rFonts w:eastAsia="Times New Roman" w:cstheme="minorHAnsi"/>
          <w:i/>
          <w:sz w:val="24"/>
          <w:szCs w:val="24"/>
        </w:rPr>
        <w:t>Draft p</w:t>
      </w:r>
      <w:r w:rsidR="00D307FB" w:rsidRPr="00A047DF">
        <w:rPr>
          <w:rFonts w:eastAsia="Times New Roman" w:cstheme="minorHAnsi"/>
          <w:i/>
          <w:sz w:val="24"/>
          <w:szCs w:val="24"/>
        </w:rPr>
        <w:t xml:space="preserve">resented to the </w:t>
      </w:r>
      <w:r w:rsidR="003D698D" w:rsidRPr="00A047DF">
        <w:rPr>
          <w:rFonts w:eastAsia="Times New Roman" w:cstheme="minorHAnsi"/>
          <w:i/>
          <w:sz w:val="24"/>
          <w:szCs w:val="24"/>
        </w:rPr>
        <w:t xml:space="preserve">Strategic Planning and Institutional Effectiveness Committee </w:t>
      </w:r>
      <w:r w:rsidR="00054BD6" w:rsidRPr="00A047DF">
        <w:rPr>
          <w:rFonts w:eastAsia="Times New Roman" w:cstheme="minorHAnsi"/>
          <w:i/>
          <w:sz w:val="24"/>
          <w:szCs w:val="24"/>
        </w:rPr>
        <w:t>July 22</w:t>
      </w:r>
      <w:r w:rsidR="003D698D" w:rsidRPr="00A047DF">
        <w:rPr>
          <w:rFonts w:eastAsia="Times New Roman" w:cstheme="minorHAnsi"/>
          <w:i/>
          <w:sz w:val="24"/>
          <w:szCs w:val="24"/>
        </w:rPr>
        <w:t>, 2015</w:t>
      </w:r>
      <w:r w:rsidRPr="00A047DF">
        <w:rPr>
          <w:rFonts w:eastAsia="Times New Roman" w:cstheme="minorHAnsi"/>
          <w:i/>
          <w:sz w:val="24"/>
          <w:szCs w:val="24"/>
        </w:rPr>
        <w:t xml:space="preserve"> and updates and clarifications requested by the Provost were finalized and incorporated on November 3, 2015</w:t>
      </w:r>
    </w:p>
    <w:p w14:paraId="087E0E3F" w14:textId="77777777" w:rsidR="00350A6F" w:rsidRPr="00A047DF" w:rsidRDefault="00350A6F" w:rsidP="00350A6F">
      <w:pPr>
        <w:pStyle w:val="Default"/>
        <w:rPr>
          <w:rFonts w:asciiTheme="minorHAnsi" w:hAnsiTheme="minorHAnsi" w:cstheme="minorHAnsi"/>
          <w:color w:val="0070C0"/>
          <w:sz w:val="28"/>
          <w:szCs w:val="28"/>
        </w:rPr>
      </w:pPr>
    </w:p>
    <w:p w14:paraId="66F54680" w14:textId="77777777" w:rsidR="00350A6F" w:rsidRPr="00A047DF" w:rsidRDefault="00350A6F" w:rsidP="00350A6F">
      <w:pPr>
        <w:pStyle w:val="Default"/>
        <w:jc w:val="center"/>
        <w:rPr>
          <w:rFonts w:asciiTheme="minorHAnsi" w:hAnsiTheme="minorHAnsi" w:cstheme="minorHAnsi"/>
          <w:b/>
          <w:color w:val="0070C0"/>
          <w:sz w:val="28"/>
          <w:szCs w:val="28"/>
        </w:rPr>
      </w:pPr>
      <w:r w:rsidRPr="00A047DF">
        <w:rPr>
          <w:rFonts w:asciiTheme="minorHAnsi" w:hAnsiTheme="minorHAnsi" w:cstheme="minorHAnsi"/>
          <w:b/>
          <w:color w:val="0070C0"/>
          <w:sz w:val="28"/>
          <w:szCs w:val="28"/>
        </w:rPr>
        <w:t>FLORIDA GULF COAST UNIVERSITY</w:t>
      </w:r>
    </w:p>
    <w:p w14:paraId="6A9E7E81" w14:textId="77777777" w:rsidR="00350A6F" w:rsidRPr="00A047DF" w:rsidRDefault="00350A6F" w:rsidP="00350A6F">
      <w:pPr>
        <w:pStyle w:val="Default"/>
        <w:jc w:val="center"/>
        <w:rPr>
          <w:rFonts w:asciiTheme="minorHAnsi" w:hAnsiTheme="minorHAnsi" w:cstheme="minorHAnsi"/>
          <w:b/>
          <w:color w:val="0070C0"/>
          <w:sz w:val="28"/>
          <w:szCs w:val="28"/>
        </w:rPr>
      </w:pPr>
      <w:r w:rsidRPr="00A047DF">
        <w:rPr>
          <w:rFonts w:asciiTheme="minorHAnsi" w:hAnsiTheme="minorHAnsi" w:cstheme="minorHAnsi"/>
          <w:b/>
          <w:color w:val="0070C0"/>
          <w:sz w:val="28"/>
          <w:szCs w:val="28"/>
        </w:rPr>
        <w:t xml:space="preserve">DEFINITION </w:t>
      </w:r>
      <w:r w:rsidR="00BD6D6B" w:rsidRPr="00A047DF">
        <w:rPr>
          <w:rFonts w:asciiTheme="minorHAnsi" w:hAnsiTheme="minorHAnsi" w:cstheme="minorHAnsi"/>
          <w:b/>
          <w:color w:val="0070C0"/>
          <w:sz w:val="28"/>
          <w:szCs w:val="28"/>
        </w:rPr>
        <w:t>OF ENVIRONMENTAL SUSTAINABILITY</w:t>
      </w:r>
      <w:r w:rsidR="00BD6D6B" w:rsidRPr="00A047DF">
        <w:rPr>
          <w:rStyle w:val="FootnoteReference"/>
          <w:rFonts w:asciiTheme="minorHAnsi" w:hAnsiTheme="minorHAnsi" w:cstheme="minorHAnsi"/>
          <w:b/>
          <w:color w:val="0070C0"/>
          <w:sz w:val="28"/>
          <w:szCs w:val="28"/>
        </w:rPr>
        <w:footnoteReference w:id="1"/>
      </w:r>
    </w:p>
    <w:p w14:paraId="5D680B2E" w14:textId="77777777" w:rsidR="00350A6F" w:rsidRPr="00A047DF" w:rsidRDefault="00350A6F" w:rsidP="00350A6F">
      <w:pPr>
        <w:pStyle w:val="Default"/>
        <w:jc w:val="center"/>
        <w:rPr>
          <w:rFonts w:asciiTheme="minorHAnsi" w:hAnsiTheme="minorHAnsi" w:cstheme="minorHAnsi"/>
        </w:rPr>
      </w:pPr>
    </w:p>
    <w:p w14:paraId="7B81C843" w14:textId="77777777" w:rsidR="00350A6F" w:rsidRPr="00A047DF" w:rsidRDefault="00350A6F" w:rsidP="00350A6F">
      <w:pPr>
        <w:pStyle w:val="Default"/>
        <w:rPr>
          <w:rFonts w:asciiTheme="minorHAnsi" w:hAnsiTheme="minorHAnsi" w:cstheme="minorHAnsi"/>
        </w:rPr>
      </w:pPr>
      <w:r w:rsidRPr="00A047DF">
        <w:rPr>
          <w:rFonts w:asciiTheme="minorHAnsi" w:hAnsiTheme="minorHAnsi" w:cstheme="minorHAnsi"/>
        </w:rPr>
        <w:t xml:space="preserve">The Florida Gulf Coast University definition of environmental sustainability flows from the University Mission to “practice and promote environmental sustainability.”[1] Building on the classic definition of sustainable development, this means operating in a way that “meets the needs of the present without compromising the ability of future generations to meet their own needs.”[2] </w:t>
      </w:r>
    </w:p>
    <w:p w14:paraId="3CECA967" w14:textId="77777777" w:rsidR="00350A6F" w:rsidRPr="00A047DF" w:rsidRDefault="00350A6F" w:rsidP="00350A6F">
      <w:pPr>
        <w:pStyle w:val="Default"/>
        <w:rPr>
          <w:rFonts w:asciiTheme="minorHAnsi" w:hAnsiTheme="minorHAnsi" w:cstheme="minorHAnsi"/>
        </w:rPr>
      </w:pPr>
    </w:p>
    <w:p w14:paraId="5E2BA005" w14:textId="77777777" w:rsidR="00350A6F" w:rsidRPr="00A047DF" w:rsidRDefault="00350A6F" w:rsidP="00350A6F">
      <w:pPr>
        <w:pStyle w:val="Default"/>
        <w:rPr>
          <w:rFonts w:asciiTheme="minorHAnsi" w:hAnsiTheme="minorHAnsi" w:cstheme="minorHAnsi"/>
        </w:rPr>
      </w:pPr>
      <w:r w:rsidRPr="00A047DF">
        <w:rPr>
          <w:rFonts w:asciiTheme="minorHAnsi" w:hAnsiTheme="minorHAnsi" w:cstheme="minorHAnsi"/>
        </w:rPr>
        <w:t xml:space="preserve">A broad understanding of environmental sustainability is considered in FGCU’s teaching, in learning, in curriculum, in scholarship, in research, in service, and in operations. The University is an Affiliate of Earth Charter International and draws inspiration from the Earth Charter vision. The Florida Gulf Coast University Guiding Principles illustrate the aim to instill “in students an environmental consciousness that balances their economic and social aspirations with the imperative for ecological sustainability.”[3] The issues related to “economic, social and ecological sustainability” [4] are embedded in Florida Gulf Coast University’s history and mission This understanding of environmental sustainability is a broad, multifaceted concept that cultivates, in the words of the Earth Charter, </w:t>
      </w:r>
      <w:r w:rsidRPr="00A047DF">
        <w:rPr>
          <w:rFonts w:asciiTheme="minorHAnsi" w:hAnsiTheme="minorHAnsi" w:cstheme="minorHAnsi"/>
        </w:rPr>
        <w:lastRenderedPageBreak/>
        <w:t xml:space="preserve">“respect for nature, universal human rights, economic justice, and a culture of peace.”[5] </w:t>
      </w:r>
    </w:p>
    <w:p w14:paraId="4AA6C438" w14:textId="77777777" w:rsidR="00350A6F" w:rsidRPr="00A047DF" w:rsidRDefault="00350A6F" w:rsidP="00350A6F">
      <w:pPr>
        <w:pStyle w:val="Default"/>
        <w:rPr>
          <w:rFonts w:asciiTheme="minorHAnsi" w:hAnsiTheme="minorHAnsi" w:cstheme="minorHAnsi"/>
        </w:rPr>
      </w:pPr>
    </w:p>
    <w:p w14:paraId="7AC28177" w14:textId="77777777" w:rsidR="00350A6F" w:rsidRPr="00A047DF" w:rsidRDefault="00350A6F" w:rsidP="00350A6F">
      <w:pPr>
        <w:spacing w:after="0"/>
        <w:rPr>
          <w:rFonts w:cstheme="minorHAnsi"/>
          <w:sz w:val="24"/>
          <w:szCs w:val="24"/>
        </w:rPr>
      </w:pPr>
      <w:r w:rsidRPr="00A047DF">
        <w:rPr>
          <w:rFonts w:cstheme="minorHAnsi"/>
          <w:sz w:val="24"/>
          <w:szCs w:val="24"/>
        </w:rPr>
        <w:t>The Florida Gulf Coast University definition of environmental sustainability establishes goals of climate neutrality, renewable resource use, and preservation of habitat while recognizing the limitations imposed on the University by procurement practices and fiduciary responsibilities. Achieving this definition of environmental sustainability is a participatory process requiring collective engagement of the University community members.</w:t>
      </w:r>
    </w:p>
    <w:p w14:paraId="12EDAC5E" w14:textId="77777777" w:rsidR="00054BD6" w:rsidRPr="00A047DF" w:rsidRDefault="00054BD6" w:rsidP="00350A6F">
      <w:pPr>
        <w:spacing w:after="0"/>
        <w:rPr>
          <w:rFonts w:cstheme="minorHAnsi"/>
          <w:sz w:val="24"/>
          <w:szCs w:val="24"/>
        </w:rPr>
      </w:pPr>
    </w:p>
    <w:p w14:paraId="42FA489F" w14:textId="77777777" w:rsidR="00054BD6" w:rsidRPr="00A047DF" w:rsidRDefault="00054BD6" w:rsidP="00350A6F">
      <w:pPr>
        <w:spacing w:after="0"/>
        <w:rPr>
          <w:rFonts w:cstheme="minorHAnsi"/>
          <w:sz w:val="24"/>
          <w:szCs w:val="24"/>
        </w:rPr>
      </w:pPr>
    </w:p>
    <w:p w14:paraId="16C0D7A0" w14:textId="77777777" w:rsidR="006B0B78" w:rsidRPr="00A047DF" w:rsidRDefault="006B0B78" w:rsidP="00350A6F">
      <w:pPr>
        <w:spacing w:after="0"/>
        <w:rPr>
          <w:rFonts w:cstheme="minorHAnsi"/>
          <w:sz w:val="24"/>
          <w:szCs w:val="24"/>
        </w:rPr>
      </w:pPr>
    </w:p>
    <w:p w14:paraId="7F1CE31F" w14:textId="77777777" w:rsidR="001B31D8" w:rsidRPr="00A047DF" w:rsidRDefault="00A047DF" w:rsidP="001B31D8">
      <w:pPr>
        <w:rPr>
          <w:rFonts w:cstheme="minorHAnsi"/>
          <w:b/>
          <w:color w:val="0070C0"/>
          <w:sz w:val="28"/>
          <w:szCs w:val="28"/>
        </w:rPr>
      </w:pPr>
      <w:r w:rsidRPr="00A047DF">
        <w:rPr>
          <w:rFonts w:cstheme="minorHAnsi"/>
          <w:b/>
          <w:color w:val="0070C0"/>
          <w:sz w:val="28"/>
          <w:szCs w:val="28"/>
        </w:rPr>
        <w:t>INTRODUCTION</w:t>
      </w:r>
    </w:p>
    <w:p w14:paraId="12421FD7" w14:textId="77777777" w:rsidR="001B31D8" w:rsidRPr="00A047DF" w:rsidRDefault="001B31D8" w:rsidP="00DB480E">
      <w:pPr>
        <w:ind w:firstLine="720"/>
        <w:rPr>
          <w:rFonts w:cstheme="minorHAnsi"/>
          <w:sz w:val="24"/>
          <w:szCs w:val="24"/>
        </w:rPr>
      </w:pPr>
      <w:r w:rsidRPr="00A047DF">
        <w:rPr>
          <w:rFonts w:cstheme="minorHAnsi"/>
          <w:sz w:val="24"/>
          <w:szCs w:val="24"/>
        </w:rPr>
        <w:t xml:space="preserve">Successful implementation of sustainability is an interdisciplinary and cross-departmental effort. In order to realize the mission, vison, and guiding principles of Florida Gulf Coast University, it is critical that we </w:t>
      </w:r>
      <w:r w:rsidR="00855B3A" w:rsidRPr="00A047DF">
        <w:rPr>
          <w:rFonts w:cstheme="minorHAnsi"/>
          <w:sz w:val="24"/>
          <w:szCs w:val="24"/>
        </w:rPr>
        <w:t>utilize sustainability as</w:t>
      </w:r>
      <w:r w:rsidR="00FD798A" w:rsidRPr="00A047DF">
        <w:rPr>
          <w:rFonts w:cstheme="minorHAnsi"/>
          <w:sz w:val="24"/>
          <w:szCs w:val="24"/>
        </w:rPr>
        <w:t xml:space="preserve"> a</w:t>
      </w:r>
      <w:r w:rsidR="00855B3A" w:rsidRPr="00A047DF">
        <w:rPr>
          <w:rFonts w:cstheme="minorHAnsi"/>
          <w:sz w:val="24"/>
          <w:szCs w:val="24"/>
        </w:rPr>
        <w:t xml:space="preserve"> framework for</w:t>
      </w:r>
      <w:r w:rsidR="00FD798A" w:rsidRPr="00A047DF">
        <w:rPr>
          <w:rFonts w:cstheme="minorHAnsi"/>
          <w:sz w:val="24"/>
          <w:szCs w:val="24"/>
        </w:rPr>
        <w:t xml:space="preserve"> </w:t>
      </w:r>
      <w:r w:rsidR="00855B3A" w:rsidRPr="00A047DF">
        <w:rPr>
          <w:rFonts w:cstheme="minorHAnsi"/>
          <w:sz w:val="24"/>
          <w:szCs w:val="24"/>
        </w:rPr>
        <w:t xml:space="preserve">decision making and </w:t>
      </w:r>
      <w:r w:rsidR="00FD798A" w:rsidRPr="00A047DF">
        <w:rPr>
          <w:rFonts w:cstheme="minorHAnsi"/>
          <w:sz w:val="24"/>
          <w:szCs w:val="24"/>
        </w:rPr>
        <w:t xml:space="preserve">integrate sustainability priorities bilaterally through the FGCU </w:t>
      </w:r>
      <w:r w:rsidRPr="00A047DF">
        <w:rPr>
          <w:rFonts w:cstheme="minorHAnsi"/>
          <w:sz w:val="24"/>
          <w:szCs w:val="24"/>
        </w:rPr>
        <w:t>Strategic Plan. Using sustainability as</w:t>
      </w:r>
      <w:r w:rsidR="00C0782D" w:rsidRPr="00A047DF">
        <w:rPr>
          <w:rFonts w:cstheme="minorHAnsi"/>
          <w:sz w:val="24"/>
          <w:szCs w:val="24"/>
        </w:rPr>
        <w:t xml:space="preserve"> one of</w:t>
      </w:r>
      <w:r w:rsidRPr="00A047DF">
        <w:rPr>
          <w:rFonts w:cstheme="minorHAnsi"/>
          <w:sz w:val="24"/>
          <w:szCs w:val="24"/>
        </w:rPr>
        <w:t xml:space="preserve"> FGCU’s competitive advantage is particularly important as we shift our focus towards growth through increased retention and graduation rates in the years to come.  </w:t>
      </w:r>
    </w:p>
    <w:p w14:paraId="0DCC2D16" w14:textId="77777777" w:rsidR="00B52638" w:rsidRPr="00A047DF" w:rsidRDefault="00A047DF" w:rsidP="005B099C">
      <w:pPr>
        <w:rPr>
          <w:rFonts w:eastAsia="Times New Roman" w:cstheme="minorHAnsi"/>
          <w:b/>
          <w:color w:val="0070C0"/>
          <w:sz w:val="28"/>
          <w:szCs w:val="28"/>
        </w:rPr>
      </w:pPr>
      <w:r w:rsidRPr="00A047DF">
        <w:rPr>
          <w:rFonts w:eastAsia="Times New Roman" w:cstheme="minorHAnsi"/>
          <w:b/>
          <w:color w:val="0070C0"/>
          <w:sz w:val="28"/>
          <w:szCs w:val="28"/>
        </w:rPr>
        <w:t xml:space="preserve">BACKGROUND </w:t>
      </w:r>
    </w:p>
    <w:p w14:paraId="6CEA5E63" w14:textId="77777777" w:rsidR="00D307FB" w:rsidRPr="00A047DF" w:rsidRDefault="007D2D8F" w:rsidP="00DB480E">
      <w:pPr>
        <w:ind w:firstLine="720"/>
        <w:rPr>
          <w:rFonts w:eastAsia="Times New Roman" w:cstheme="minorHAnsi"/>
          <w:color w:val="000000"/>
          <w:sz w:val="24"/>
          <w:szCs w:val="24"/>
        </w:rPr>
      </w:pPr>
      <w:r w:rsidRPr="00A047DF">
        <w:rPr>
          <w:rFonts w:cstheme="minorHAnsi"/>
          <w:sz w:val="24"/>
          <w:szCs w:val="24"/>
        </w:rPr>
        <w:t>The Planning and Budget Council (PBC)</w:t>
      </w:r>
      <w:r w:rsidR="009A3E61" w:rsidRPr="00A047DF">
        <w:rPr>
          <w:rFonts w:cstheme="minorHAnsi"/>
          <w:sz w:val="24"/>
          <w:szCs w:val="24"/>
        </w:rPr>
        <w:t xml:space="preserve"> charged the Environmental Sustainability Committee (ESC) to </w:t>
      </w:r>
      <w:r w:rsidR="005B099C" w:rsidRPr="00A047DF">
        <w:rPr>
          <w:rFonts w:eastAsia="Times New Roman" w:cstheme="minorHAnsi"/>
          <w:color w:val="000000"/>
          <w:sz w:val="24"/>
          <w:szCs w:val="24"/>
        </w:rPr>
        <w:t xml:space="preserve">update the </w:t>
      </w:r>
      <w:r w:rsidR="00722D6D" w:rsidRPr="00A047DF">
        <w:rPr>
          <w:rFonts w:eastAsia="Times New Roman" w:cstheme="minorHAnsi"/>
          <w:color w:val="000000"/>
          <w:sz w:val="24"/>
          <w:szCs w:val="24"/>
        </w:rPr>
        <w:t>Sustainability</w:t>
      </w:r>
      <w:r w:rsidR="005B099C" w:rsidRPr="00A047DF">
        <w:rPr>
          <w:rFonts w:eastAsia="Times New Roman" w:cstheme="minorHAnsi"/>
          <w:color w:val="000000"/>
          <w:sz w:val="24"/>
          <w:szCs w:val="24"/>
        </w:rPr>
        <w:t xml:space="preserve"> Strategic Plan.  </w:t>
      </w:r>
      <w:r w:rsidR="00454ACA" w:rsidRPr="00A047DF">
        <w:rPr>
          <w:rFonts w:eastAsia="Times New Roman" w:cstheme="minorHAnsi"/>
          <w:color w:val="000000"/>
          <w:sz w:val="24"/>
          <w:szCs w:val="24"/>
        </w:rPr>
        <w:t xml:space="preserve">The </w:t>
      </w:r>
      <w:r w:rsidR="001B31D8" w:rsidRPr="00A047DF">
        <w:rPr>
          <w:rFonts w:eastAsia="Times New Roman" w:cstheme="minorHAnsi"/>
          <w:color w:val="000000"/>
          <w:sz w:val="24"/>
          <w:szCs w:val="24"/>
        </w:rPr>
        <w:t xml:space="preserve">ESC created the </w:t>
      </w:r>
      <w:r w:rsidR="00454ACA" w:rsidRPr="00A047DF">
        <w:rPr>
          <w:rFonts w:eastAsia="Times New Roman" w:cstheme="minorHAnsi"/>
          <w:color w:val="000000"/>
          <w:sz w:val="24"/>
          <w:szCs w:val="24"/>
        </w:rPr>
        <w:t>first</w:t>
      </w:r>
      <w:r w:rsidR="005B099C" w:rsidRPr="00A047DF">
        <w:rPr>
          <w:rFonts w:eastAsia="Times New Roman" w:cstheme="minorHAnsi"/>
          <w:color w:val="000000"/>
          <w:sz w:val="24"/>
          <w:szCs w:val="24"/>
        </w:rPr>
        <w:t xml:space="preserve"> </w:t>
      </w:r>
      <w:r w:rsidR="00487C0F" w:rsidRPr="00A047DF">
        <w:rPr>
          <w:rFonts w:eastAsia="Times New Roman" w:cstheme="minorHAnsi"/>
          <w:color w:val="000000"/>
          <w:sz w:val="24"/>
          <w:szCs w:val="24"/>
        </w:rPr>
        <w:t xml:space="preserve">Environmental </w:t>
      </w:r>
      <w:r w:rsidR="005B099C" w:rsidRPr="00A047DF">
        <w:rPr>
          <w:rFonts w:eastAsia="Times New Roman" w:cstheme="minorHAnsi"/>
          <w:color w:val="000000"/>
          <w:sz w:val="24"/>
          <w:szCs w:val="24"/>
        </w:rPr>
        <w:t xml:space="preserve">Sustainability </w:t>
      </w:r>
      <w:r w:rsidR="00487C0F" w:rsidRPr="00A047DF">
        <w:rPr>
          <w:rFonts w:eastAsia="Times New Roman" w:cstheme="minorHAnsi"/>
          <w:color w:val="000000"/>
          <w:sz w:val="24"/>
          <w:szCs w:val="24"/>
        </w:rPr>
        <w:t>Goals</w:t>
      </w:r>
      <w:r w:rsidR="00454ACA" w:rsidRPr="00A047DF">
        <w:rPr>
          <w:rFonts w:eastAsia="Times New Roman" w:cstheme="minorHAnsi"/>
          <w:color w:val="000000"/>
          <w:sz w:val="24"/>
          <w:szCs w:val="24"/>
        </w:rPr>
        <w:t xml:space="preserve"> in 2010-11 </w:t>
      </w:r>
      <w:r w:rsidR="001B31D8" w:rsidRPr="00A047DF">
        <w:rPr>
          <w:rFonts w:eastAsia="Times New Roman" w:cstheme="minorHAnsi"/>
          <w:color w:val="000000"/>
          <w:sz w:val="24"/>
          <w:szCs w:val="24"/>
        </w:rPr>
        <w:t xml:space="preserve">by </w:t>
      </w:r>
      <w:r w:rsidR="001B31D8" w:rsidRPr="00A047DF">
        <w:rPr>
          <w:rFonts w:cstheme="minorHAnsi"/>
          <w:sz w:val="24"/>
          <w:szCs w:val="24"/>
        </w:rPr>
        <w:t xml:space="preserve">considering a host of tasks, weighing the challenges, achievability, and existing resources, and identified 50 sustainability tasks in support of the University’s sustainability mission. </w:t>
      </w:r>
      <w:r w:rsidR="00487C0F" w:rsidRPr="00A047DF">
        <w:rPr>
          <w:rFonts w:cstheme="minorHAnsi"/>
          <w:sz w:val="24"/>
          <w:szCs w:val="24"/>
        </w:rPr>
        <w:t xml:space="preserve">The </w:t>
      </w:r>
      <w:r w:rsidR="001B31D8" w:rsidRPr="00A047DF">
        <w:rPr>
          <w:rFonts w:cstheme="minorHAnsi"/>
          <w:sz w:val="24"/>
          <w:szCs w:val="24"/>
        </w:rPr>
        <w:t xml:space="preserve">ESC </w:t>
      </w:r>
      <w:r w:rsidR="005B099C" w:rsidRPr="00A047DF">
        <w:rPr>
          <w:rFonts w:eastAsia="Times New Roman" w:cstheme="minorHAnsi"/>
          <w:color w:val="000000"/>
          <w:sz w:val="24"/>
          <w:szCs w:val="24"/>
        </w:rPr>
        <w:t xml:space="preserve">updated </w:t>
      </w:r>
      <w:r w:rsidR="00487C0F" w:rsidRPr="00A047DF">
        <w:rPr>
          <w:rFonts w:eastAsia="Times New Roman" w:cstheme="minorHAnsi"/>
          <w:color w:val="000000"/>
          <w:sz w:val="24"/>
          <w:szCs w:val="24"/>
        </w:rPr>
        <w:t xml:space="preserve">the Strategic Plan for Sustainability </w:t>
      </w:r>
      <w:r w:rsidR="005B099C" w:rsidRPr="00A047DF">
        <w:rPr>
          <w:rFonts w:eastAsia="Times New Roman" w:cstheme="minorHAnsi"/>
          <w:color w:val="000000"/>
          <w:sz w:val="24"/>
          <w:szCs w:val="24"/>
        </w:rPr>
        <w:t>in</w:t>
      </w:r>
      <w:r w:rsidR="00454ACA" w:rsidRPr="00A047DF">
        <w:rPr>
          <w:rFonts w:eastAsia="Times New Roman" w:cstheme="minorHAnsi"/>
          <w:color w:val="000000"/>
          <w:sz w:val="24"/>
          <w:szCs w:val="24"/>
        </w:rPr>
        <w:t xml:space="preserve"> 2011-12</w:t>
      </w:r>
      <w:r w:rsidR="00487C0F" w:rsidRPr="00A047DF">
        <w:rPr>
          <w:rFonts w:eastAsia="Times New Roman" w:cstheme="minorHAnsi"/>
          <w:color w:val="000000"/>
          <w:sz w:val="24"/>
          <w:szCs w:val="24"/>
        </w:rPr>
        <w:t xml:space="preserve"> with information from the division Vice-Presidents on both their on-going and new goals in support of sus</w:t>
      </w:r>
      <w:r w:rsidR="00487C0F" w:rsidRPr="00A047DF">
        <w:rPr>
          <w:rFonts w:eastAsia="Times New Roman" w:cstheme="minorHAnsi"/>
          <w:color w:val="000000"/>
          <w:sz w:val="24"/>
          <w:szCs w:val="24"/>
        </w:rPr>
        <w:lastRenderedPageBreak/>
        <w:t>tainability.</w:t>
      </w:r>
      <w:r w:rsidR="005B099C" w:rsidRPr="00A047DF">
        <w:rPr>
          <w:rFonts w:eastAsia="Times New Roman" w:cstheme="minorHAnsi"/>
          <w:color w:val="000000"/>
          <w:sz w:val="24"/>
          <w:szCs w:val="24"/>
        </w:rPr>
        <w:t xml:space="preserve">  The purpose of </w:t>
      </w:r>
      <w:r w:rsidR="00B52638" w:rsidRPr="00A047DF">
        <w:rPr>
          <w:rFonts w:eastAsia="Times New Roman" w:cstheme="minorHAnsi"/>
          <w:color w:val="000000"/>
          <w:sz w:val="24"/>
          <w:szCs w:val="24"/>
        </w:rPr>
        <w:t>the 2015</w:t>
      </w:r>
      <w:r w:rsidR="005B099C" w:rsidRPr="00A047DF">
        <w:rPr>
          <w:rFonts w:eastAsia="Times New Roman" w:cstheme="minorHAnsi"/>
          <w:color w:val="000000"/>
          <w:sz w:val="24"/>
          <w:szCs w:val="24"/>
        </w:rPr>
        <w:t xml:space="preserve"> update is to</w:t>
      </w:r>
      <w:r w:rsidRPr="00A047DF">
        <w:rPr>
          <w:rFonts w:eastAsia="Times New Roman" w:cstheme="minorHAnsi"/>
          <w:color w:val="000000"/>
          <w:sz w:val="24"/>
          <w:szCs w:val="24"/>
        </w:rPr>
        <w:t xml:space="preserve"> determine what progress has been made toward the goals already, and to</w:t>
      </w:r>
      <w:r w:rsidR="005B099C" w:rsidRPr="00A047DF">
        <w:rPr>
          <w:rFonts w:eastAsia="Times New Roman" w:cstheme="minorHAnsi"/>
          <w:color w:val="000000"/>
          <w:sz w:val="24"/>
          <w:szCs w:val="24"/>
        </w:rPr>
        <w:t xml:space="preserve"> </w:t>
      </w:r>
      <w:r w:rsidR="00454ACA" w:rsidRPr="00A047DF">
        <w:rPr>
          <w:rFonts w:eastAsia="Times New Roman" w:cstheme="minorHAnsi"/>
          <w:color w:val="000000"/>
          <w:sz w:val="24"/>
          <w:szCs w:val="24"/>
        </w:rPr>
        <w:t>recommend sustainability priorities</w:t>
      </w:r>
      <w:r w:rsidR="00487C0F" w:rsidRPr="00A047DF">
        <w:rPr>
          <w:rFonts w:eastAsia="Times New Roman" w:cstheme="minorHAnsi"/>
          <w:color w:val="000000"/>
          <w:sz w:val="24"/>
          <w:szCs w:val="24"/>
        </w:rPr>
        <w:t>, including methods to measure the University’s progress,</w:t>
      </w:r>
      <w:r w:rsidR="00454ACA" w:rsidRPr="00A047DF">
        <w:rPr>
          <w:rFonts w:eastAsia="Times New Roman" w:cstheme="minorHAnsi"/>
          <w:color w:val="000000"/>
          <w:sz w:val="24"/>
          <w:szCs w:val="24"/>
        </w:rPr>
        <w:t xml:space="preserve"> </w:t>
      </w:r>
      <w:r w:rsidR="00BC352C" w:rsidRPr="00A047DF">
        <w:rPr>
          <w:rFonts w:eastAsia="Times New Roman" w:cstheme="minorHAnsi"/>
          <w:color w:val="000000"/>
          <w:sz w:val="24"/>
          <w:szCs w:val="24"/>
        </w:rPr>
        <w:t>which</w:t>
      </w:r>
      <w:r w:rsidR="005B099C" w:rsidRPr="00A047DF">
        <w:rPr>
          <w:rFonts w:eastAsia="Times New Roman" w:cstheme="minorHAnsi"/>
          <w:color w:val="000000"/>
          <w:sz w:val="24"/>
          <w:szCs w:val="24"/>
        </w:rPr>
        <w:t xml:space="preserve"> can be</w:t>
      </w:r>
      <w:r w:rsidR="00454ACA" w:rsidRPr="00A047DF">
        <w:rPr>
          <w:rFonts w:eastAsia="Times New Roman" w:cstheme="minorHAnsi"/>
          <w:color w:val="000000"/>
          <w:sz w:val="24"/>
          <w:szCs w:val="24"/>
        </w:rPr>
        <w:t xml:space="preserve"> incorporated into our </w:t>
      </w:r>
      <w:r w:rsidR="005B099C" w:rsidRPr="00A047DF">
        <w:rPr>
          <w:rFonts w:eastAsia="Times New Roman" w:cstheme="minorHAnsi"/>
          <w:color w:val="000000"/>
          <w:sz w:val="24"/>
          <w:szCs w:val="24"/>
        </w:rPr>
        <w:t xml:space="preserve">overall </w:t>
      </w:r>
      <w:r w:rsidR="00454ACA" w:rsidRPr="00A047DF">
        <w:rPr>
          <w:rFonts w:eastAsia="Times New Roman" w:cstheme="minorHAnsi"/>
          <w:color w:val="000000"/>
          <w:sz w:val="24"/>
          <w:szCs w:val="24"/>
        </w:rPr>
        <w:t>strategic planning process.</w:t>
      </w:r>
      <w:r w:rsidR="005B099C" w:rsidRPr="00A047DF">
        <w:rPr>
          <w:rFonts w:eastAsia="Times New Roman" w:cstheme="minorHAnsi"/>
          <w:color w:val="000000"/>
          <w:sz w:val="24"/>
          <w:szCs w:val="24"/>
        </w:rPr>
        <w:t xml:space="preserve"> </w:t>
      </w:r>
    </w:p>
    <w:p w14:paraId="7633DB0C" w14:textId="77777777" w:rsidR="00B52638" w:rsidRPr="00A047DF" w:rsidRDefault="00A047DF" w:rsidP="00B52638">
      <w:pPr>
        <w:rPr>
          <w:rFonts w:eastAsia="Times New Roman" w:cstheme="minorHAnsi"/>
          <w:b/>
          <w:color w:val="0070C0"/>
          <w:sz w:val="28"/>
          <w:szCs w:val="28"/>
        </w:rPr>
      </w:pPr>
      <w:r w:rsidRPr="00A047DF">
        <w:rPr>
          <w:rFonts w:eastAsia="Times New Roman" w:cstheme="minorHAnsi"/>
          <w:b/>
          <w:color w:val="0070C0"/>
          <w:sz w:val="28"/>
          <w:szCs w:val="28"/>
        </w:rPr>
        <w:t>METHODS</w:t>
      </w:r>
    </w:p>
    <w:p w14:paraId="3E674888" w14:textId="77777777" w:rsidR="00D307FB" w:rsidRPr="00A047DF" w:rsidRDefault="00BC352C" w:rsidP="00DB480E">
      <w:pPr>
        <w:ind w:firstLine="720"/>
        <w:rPr>
          <w:rFonts w:eastAsia="Times New Roman" w:cstheme="minorHAnsi"/>
          <w:color w:val="000000"/>
          <w:sz w:val="24"/>
          <w:szCs w:val="24"/>
        </w:rPr>
      </w:pPr>
      <w:r w:rsidRPr="00A047DF">
        <w:rPr>
          <w:rFonts w:eastAsia="Times New Roman" w:cstheme="minorHAnsi"/>
          <w:color w:val="000000"/>
          <w:sz w:val="24"/>
          <w:szCs w:val="24"/>
        </w:rPr>
        <w:t xml:space="preserve">Building on the work and progress from </w:t>
      </w:r>
      <w:r w:rsidR="00ED0581" w:rsidRPr="00A047DF">
        <w:rPr>
          <w:rFonts w:eastAsia="Times New Roman" w:cstheme="minorHAnsi"/>
          <w:color w:val="000000"/>
          <w:sz w:val="24"/>
          <w:szCs w:val="24"/>
        </w:rPr>
        <w:t xml:space="preserve">the </w:t>
      </w:r>
      <w:r w:rsidRPr="00A047DF">
        <w:rPr>
          <w:rFonts w:eastAsia="Times New Roman" w:cstheme="minorHAnsi"/>
          <w:color w:val="000000"/>
          <w:sz w:val="24"/>
          <w:szCs w:val="24"/>
        </w:rPr>
        <w:t xml:space="preserve">previous </w:t>
      </w:r>
      <w:r w:rsidR="00ED0581" w:rsidRPr="00A047DF">
        <w:rPr>
          <w:rFonts w:eastAsia="Times New Roman" w:cstheme="minorHAnsi"/>
          <w:color w:val="000000"/>
          <w:sz w:val="24"/>
          <w:szCs w:val="24"/>
        </w:rPr>
        <w:t xml:space="preserve">Sustainability </w:t>
      </w:r>
      <w:r w:rsidRPr="00A047DF">
        <w:rPr>
          <w:rFonts w:eastAsia="Times New Roman" w:cstheme="minorHAnsi"/>
          <w:color w:val="000000"/>
          <w:sz w:val="24"/>
          <w:szCs w:val="24"/>
        </w:rPr>
        <w:t>Strategic Plans, we began with the</w:t>
      </w:r>
      <w:r w:rsidR="00CB7AED" w:rsidRPr="00A047DF">
        <w:rPr>
          <w:rFonts w:eastAsia="Times New Roman" w:cstheme="minorHAnsi"/>
          <w:color w:val="000000"/>
          <w:sz w:val="24"/>
          <w:szCs w:val="24"/>
        </w:rPr>
        <w:t xml:space="preserve"> table of</w:t>
      </w:r>
      <w:r w:rsidR="005B099C" w:rsidRPr="00A047DF">
        <w:rPr>
          <w:rFonts w:eastAsia="Times New Roman" w:cstheme="minorHAnsi"/>
          <w:color w:val="000000"/>
          <w:sz w:val="24"/>
          <w:szCs w:val="24"/>
        </w:rPr>
        <w:t xml:space="preserve"> goals listed in the 2011-12</w:t>
      </w:r>
      <w:r w:rsidR="00B52638" w:rsidRPr="00A047DF">
        <w:rPr>
          <w:rFonts w:eastAsia="Times New Roman" w:cstheme="minorHAnsi"/>
          <w:color w:val="000000"/>
          <w:sz w:val="24"/>
          <w:szCs w:val="24"/>
        </w:rPr>
        <w:t xml:space="preserve"> Plan</w:t>
      </w:r>
      <w:r w:rsidRPr="00A047DF">
        <w:rPr>
          <w:rFonts w:eastAsia="Times New Roman" w:cstheme="minorHAnsi"/>
          <w:color w:val="000000"/>
          <w:sz w:val="24"/>
          <w:szCs w:val="24"/>
        </w:rPr>
        <w:t>. Through communications with division personnel, and by researching the archived information available in SharePoint, we were able to</w:t>
      </w:r>
      <w:r w:rsidR="00B52638" w:rsidRPr="00A047DF">
        <w:rPr>
          <w:rFonts w:eastAsia="Times New Roman" w:cstheme="minorHAnsi"/>
          <w:color w:val="000000"/>
          <w:sz w:val="24"/>
          <w:szCs w:val="24"/>
        </w:rPr>
        <w:t xml:space="preserve"> </w:t>
      </w:r>
      <w:r w:rsidRPr="00A047DF">
        <w:rPr>
          <w:rFonts w:eastAsia="Times New Roman" w:cstheme="minorHAnsi"/>
          <w:color w:val="000000"/>
          <w:sz w:val="24"/>
          <w:szCs w:val="24"/>
        </w:rPr>
        <w:t>determine the progress attained toward those goals. To the original table, we added</w:t>
      </w:r>
      <w:r w:rsidR="00CB7AED" w:rsidRPr="00A047DF">
        <w:rPr>
          <w:rFonts w:eastAsia="Times New Roman" w:cstheme="minorHAnsi"/>
          <w:color w:val="000000"/>
          <w:sz w:val="24"/>
          <w:szCs w:val="24"/>
        </w:rPr>
        <w:t xml:space="preserve"> departmental goals</w:t>
      </w:r>
      <w:r w:rsidR="00B52638" w:rsidRPr="00A047DF">
        <w:rPr>
          <w:rFonts w:eastAsia="Times New Roman" w:cstheme="minorHAnsi"/>
          <w:color w:val="000000"/>
          <w:sz w:val="24"/>
          <w:szCs w:val="24"/>
        </w:rPr>
        <w:t xml:space="preserve"> </w:t>
      </w:r>
      <w:r w:rsidR="00CB7AED" w:rsidRPr="00A047DF">
        <w:rPr>
          <w:rFonts w:eastAsia="Times New Roman" w:cstheme="minorHAnsi"/>
          <w:color w:val="000000"/>
          <w:sz w:val="24"/>
          <w:szCs w:val="24"/>
        </w:rPr>
        <w:t>tagged in SharePoint as relating to</w:t>
      </w:r>
      <w:r w:rsidR="00B52638" w:rsidRPr="00A047DF">
        <w:rPr>
          <w:rFonts w:eastAsia="Times New Roman" w:cstheme="minorHAnsi"/>
          <w:color w:val="000000"/>
          <w:sz w:val="24"/>
          <w:szCs w:val="24"/>
        </w:rPr>
        <w:t xml:space="preserve"> Strategic Goal # 5, Environmental Sustainability</w:t>
      </w:r>
      <w:r w:rsidR="00722D6D" w:rsidRPr="00A047DF">
        <w:rPr>
          <w:rFonts w:eastAsia="Times New Roman" w:cstheme="minorHAnsi"/>
          <w:color w:val="000000"/>
          <w:sz w:val="24"/>
          <w:szCs w:val="24"/>
        </w:rPr>
        <w:t xml:space="preserve"> and Innovation</w:t>
      </w:r>
      <w:r w:rsidR="00B52638" w:rsidRPr="00A047DF">
        <w:rPr>
          <w:rFonts w:eastAsia="Times New Roman" w:cstheme="minorHAnsi"/>
          <w:color w:val="000000"/>
          <w:sz w:val="24"/>
          <w:szCs w:val="24"/>
        </w:rPr>
        <w:t>,</w:t>
      </w:r>
      <w:r w:rsidR="00CB7AED" w:rsidRPr="00A047DF">
        <w:rPr>
          <w:rFonts w:eastAsia="Times New Roman" w:cstheme="minorHAnsi"/>
          <w:color w:val="000000"/>
          <w:sz w:val="24"/>
          <w:szCs w:val="24"/>
        </w:rPr>
        <w:t xml:space="preserve"> </w:t>
      </w:r>
      <w:r w:rsidR="00AE5A32" w:rsidRPr="00A047DF">
        <w:rPr>
          <w:rFonts w:eastAsia="Times New Roman" w:cstheme="minorHAnsi"/>
          <w:color w:val="000000"/>
          <w:sz w:val="24"/>
          <w:szCs w:val="24"/>
        </w:rPr>
        <w:t>from 2012-2015</w:t>
      </w:r>
      <w:r w:rsidR="00B52638" w:rsidRPr="00A047DF">
        <w:rPr>
          <w:rFonts w:eastAsia="Times New Roman" w:cstheme="minorHAnsi"/>
          <w:color w:val="000000"/>
          <w:sz w:val="24"/>
          <w:szCs w:val="24"/>
        </w:rPr>
        <w:t xml:space="preserve">. </w:t>
      </w:r>
      <w:r w:rsidR="007D2D8F" w:rsidRPr="00A047DF">
        <w:rPr>
          <w:rFonts w:eastAsia="Times New Roman" w:cstheme="minorHAnsi"/>
          <w:color w:val="000000"/>
          <w:sz w:val="24"/>
          <w:szCs w:val="24"/>
        </w:rPr>
        <w:t>These data are contained in the Appendix to this report.</w:t>
      </w:r>
      <w:r w:rsidR="007D2D8F" w:rsidRPr="00A047DF">
        <w:rPr>
          <w:rFonts w:eastAsia="Times New Roman" w:cstheme="minorHAnsi"/>
          <w:i/>
          <w:color w:val="000000"/>
          <w:sz w:val="24"/>
          <w:szCs w:val="24"/>
        </w:rPr>
        <w:t xml:space="preserve"> </w:t>
      </w:r>
      <w:r w:rsidR="007D2D8F" w:rsidRPr="00A047DF">
        <w:rPr>
          <w:rFonts w:eastAsia="Times New Roman" w:cstheme="minorHAnsi"/>
          <w:color w:val="000000"/>
          <w:sz w:val="24"/>
          <w:szCs w:val="24"/>
        </w:rPr>
        <w:t xml:space="preserve"> </w:t>
      </w:r>
      <w:r w:rsidR="00B52638" w:rsidRPr="00A047DF">
        <w:rPr>
          <w:rFonts w:eastAsia="Times New Roman" w:cstheme="minorHAnsi"/>
          <w:color w:val="000000"/>
          <w:sz w:val="24"/>
          <w:szCs w:val="24"/>
        </w:rPr>
        <w:t>C</w:t>
      </w:r>
      <w:r w:rsidR="00454ACA" w:rsidRPr="00A047DF">
        <w:rPr>
          <w:rFonts w:eastAsia="Times New Roman" w:cstheme="minorHAnsi"/>
          <w:color w:val="000000"/>
          <w:sz w:val="24"/>
          <w:szCs w:val="24"/>
        </w:rPr>
        <w:t>olumn</w:t>
      </w:r>
      <w:r w:rsidR="00B52638" w:rsidRPr="00A047DF">
        <w:rPr>
          <w:rFonts w:eastAsia="Times New Roman" w:cstheme="minorHAnsi"/>
          <w:color w:val="000000"/>
          <w:sz w:val="24"/>
          <w:szCs w:val="24"/>
        </w:rPr>
        <w:t xml:space="preserve"> F</w:t>
      </w:r>
      <w:r w:rsidRPr="00A047DF">
        <w:rPr>
          <w:rFonts w:eastAsia="Times New Roman" w:cstheme="minorHAnsi"/>
          <w:color w:val="000000"/>
          <w:sz w:val="24"/>
          <w:szCs w:val="24"/>
        </w:rPr>
        <w:t xml:space="preserve"> of the table</w:t>
      </w:r>
      <w:r w:rsidR="00D14051" w:rsidRPr="00A047DF">
        <w:rPr>
          <w:rFonts w:eastAsia="Times New Roman" w:cstheme="minorHAnsi"/>
          <w:color w:val="000000"/>
          <w:sz w:val="24"/>
          <w:szCs w:val="24"/>
        </w:rPr>
        <w:t>,</w:t>
      </w:r>
      <w:r w:rsidR="00454ACA" w:rsidRPr="00A047DF">
        <w:rPr>
          <w:rFonts w:eastAsia="Times New Roman" w:cstheme="minorHAnsi"/>
          <w:color w:val="000000"/>
          <w:sz w:val="24"/>
          <w:szCs w:val="24"/>
        </w:rPr>
        <w:t xml:space="preserve"> titled</w:t>
      </w:r>
      <w:r w:rsidR="00454ACA" w:rsidRPr="00A047DF">
        <w:rPr>
          <w:rFonts w:eastAsia="Times New Roman" w:cstheme="minorHAnsi"/>
          <w:i/>
          <w:color w:val="000000"/>
          <w:sz w:val="24"/>
          <w:szCs w:val="24"/>
        </w:rPr>
        <w:t xml:space="preserve"> </w:t>
      </w:r>
      <w:r w:rsidR="00D307FB" w:rsidRPr="00A047DF">
        <w:rPr>
          <w:rFonts w:eastAsia="Times New Roman" w:cstheme="minorHAnsi"/>
          <w:i/>
          <w:color w:val="000000"/>
          <w:sz w:val="24"/>
          <w:szCs w:val="24"/>
        </w:rPr>
        <w:t>“</w:t>
      </w:r>
      <w:r w:rsidR="00B52638" w:rsidRPr="00A047DF">
        <w:rPr>
          <w:rFonts w:eastAsia="Times New Roman" w:cstheme="minorHAnsi"/>
          <w:i/>
          <w:color w:val="000000"/>
          <w:sz w:val="24"/>
          <w:szCs w:val="24"/>
        </w:rPr>
        <w:t>Update 6</w:t>
      </w:r>
      <w:r w:rsidR="00454ACA" w:rsidRPr="00A047DF">
        <w:rPr>
          <w:rFonts w:eastAsia="Times New Roman" w:cstheme="minorHAnsi"/>
          <w:i/>
          <w:color w:val="000000"/>
          <w:sz w:val="24"/>
          <w:szCs w:val="24"/>
        </w:rPr>
        <w:t>/2015</w:t>
      </w:r>
      <w:r w:rsidR="00D307FB" w:rsidRPr="00A047DF">
        <w:rPr>
          <w:rFonts w:eastAsia="Times New Roman" w:cstheme="minorHAnsi"/>
          <w:i/>
          <w:color w:val="000000"/>
          <w:sz w:val="24"/>
          <w:szCs w:val="24"/>
        </w:rPr>
        <w:t>”</w:t>
      </w:r>
      <w:r w:rsidRPr="00A047DF">
        <w:rPr>
          <w:rFonts w:eastAsia="Times New Roman" w:cstheme="minorHAnsi"/>
          <w:i/>
          <w:color w:val="000000"/>
          <w:sz w:val="24"/>
          <w:szCs w:val="24"/>
        </w:rPr>
        <w:t xml:space="preserve">, </w:t>
      </w:r>
      <w:r w:rsidRPr="00A047DF">
        <w:rPr>
          <w:rFonts w:eastAsia="Times New Roman" w:cstheme="minorHAnsi"/>
          <w:color w:val="000000"/>
          <w:sz w:val="24"/>
          <w:szCs w:val="24"/>
        </w:rPr>
        <w:t>summarizes the progress towards these goals</w:t>
      </w:r>
      <w:r w:rsidR="007D2D8F" w:rsidRPr="00A047DF">
        <w:rPr>
          <w:rFonts w:eastAsia="Times New Roman" w:cstheme="minorHAnsi"/>
          <w:color w:val="000000"/>
          <w:sz w:val="24"/>
          <w:szCs w:val="24"/>
        </w:rPr>
        <w:t xml:space="preserve">. </w:t>
      </w:r>
      <w:r w:rsidR="00ED0581" w:rsidRPr="00A047DF">
        <w:rPr>
          <w:rFonts w:eastAsia="Times New Roman" w:cstheme="minorHAnsi"/>
          <w:color w:val="000000"/>
          <w:sz w:val="24"/>
          <w:szCs w:val="24"/>
        </w:rPr>
        <w:t xml:space="preserve">The action items listed below represent proposed </w:t>
      </w:r>
      <w:r w:rsidR="00D307FB" w:rsidRPr="00A047DF">
        <w:rPr>
          <w:rFonts w:eastAsia="Times New Roman" w:cstheme="minorHAnsi"/>
          <w:color w:val="000000"/>
          <w:sz w:val="24"/>
          <w:szCs w:val="24"/>
        </w:rPr>
        <w:t xml:space="preserve">recommendations that could </w:t>
      </w:r>
      <w:r w:rsidR="00ED0581" w:rsidRPr="00A047DF">
        <w:rPr>
          <w:rFonts w:eastAsia="Times New Roman" w:cstheme="minorHAnsi"/>
          <w:color w:val="000000"/>
          <w:sz w:val="24"/>
          <w:szCs w:val="24"/>
        </w:rPr>
        <w:t>assist</w:t>
      </w:r>
      <w:r w:rsidR="00D307FB" w:rsidRPr="00A047DF">
        <w:rPr>
          <w:rFonts w:eastAsia="Times New Roman" w:cstheme="minorHAnsi"/>
          <w:color w:val="000000"/>
          <w:sz w:val="24"/>
          <w:szCs w:val="24"/>
        </w:rPr>
        <w:t xml:space="preserve"> </w:t>
      </w:r>
      <w:r w:rsidR="00ED0581" w:rsidRPr="00A047DF">
        <w:rPr>
          <w:rFonts w:eastAsia="Times New Roman" w:cstheme="minorHAnsi"/>
          <w:color w:val="000000"/>
          <w:sz w:val="24"/>
          <w:szCs w:val="24"/>
        </w:rPr>
        <w:t>Florida Gulf Coast University in reaching our sustainability goals and retaining the public recognition we have already received as a leader in sustainability.</w:t>
      </w:r>
    </w:p>
    <w:p w14:paraId="1B5655E9" w14:textId="77777777" w:rsidR="00B52638" w:rsidRPr="00A047DF" w:rsidRDefault="00A047DF" w:rsidP="00B52638">
      <w:pPr>
        <w:rPr>
          <w:rFonts w:eastAsia="Times New Roman" w:cstheme="minorHAnsi"/>
          <w:b/>
          <w:color w:val="000000"/>
          <w:sz w:val="28"/>
          <w:szCs w:val="28"/>
        </w:rPr>
      </w:pPr>
      <w:r w:rsidRPr="00A047DF">
        <w:rPr>
          <w:rFonts w:eastAsia="Times New Roman" w:cstheme="minorHAnsi"/>
          <w:b/>
          <w:color w:val="0070C0"/>
          <w:sz w:val="28"/>
          <w:szCs w:val="28"/>
        </w:rPr>
        <w:t xml:space="preserve">NOTEWORTHY SUSTAINABILITY ACCOMPLISHMENTS </w:t>
      </w:r>
    </w:p>
    <w:p w14:paraId="5A2A9094" w14:textId="77777777" w:rsidR="002E0151" w:rsidRPr="00A047DF" w:rsidRDefault="00D14051" w:rsidP="00DB480E">
      <w:pPr>
        <w:ind w:firstLine="720"/>
        <w:rPr>
          <w:rFonts w:eastAsia="Times New Roman" w:cstheme="minorHAnsi"/>
          <w:color w:val="000000"/>
          <w:sz w:val="24"/>
          <w:szCs w:val="24"/>
        </w:rPr>
      </w:pPr>
      <w:r w:rsidRPr="00A047DF">
        <w:rPr>
          <w:rFonts w:eastAsia="Times New Roman" w:cstheme="minorHAnsi"/>
          <w:color w:val="000000"/>
          <w:sz w:val="24"/>
          <w:szCs w:val="24"/>
        </w:rPr>
        <w:t xml:space="preserve">FGCU has successfully integrated sustainability into many of </w:t>
      </w:r>
      <w:r w:rsidR="0036455E" w:rsidRPr="00A047DF">
        <w:rPr>
          <w:rFonts w:eastAsia="Times New Roman" w:cstheme="minorHAnsi"/>
          <w:color w:val="000000"/>
          <w:sz w:val="24"/>
          <w:szCs w:val="24"/>
        </w:rPr>
        <w:t>our</w:t>
      </w:r>
      <w:r w:rsidRPr="00A047DF">
        <w:rPr>
          <w:rFonts w:eastAsia="Times New Roman" w:cstheme="minorHAnsi"/>
          <w:color w:val="000000"/>
          <w:sz w:val="24"/>
          <w:szCs w:val="24"/>
        </w:rPr>
        <w:t xml:space="preserve"> ongoing educational and operational efforts. </w:t>
      </w:r>
      <w:r w:rsidR="003730EF" w:rsidRPr="00A047DF">
        <w:rPr>
          <w:rFonts w:eastAsia="Times New Roman" w:cstheme="minorHAnsi"/>
          <w:color w:val="000000"/>
          <w:sz w:val="24"/>
          <w:szCs w:val="24"/>
        </w:rPr>
        <w:t>Since our founding, we have been leaders</w:t>
      </w:r>
      <w:r w:rsidR="00AE6389" w:rsidRPr="00A047DF">
        <w:rPr>
          <w:rFonts w:eastAsia="Times New Roman" w:cstheme="minorHAnsi"/>
          <w:color w:val="000000"/>
          <w:sz w:val="24"/>
          <w:szCs w:val="24"/>
        </w:rPr>
        <w:t xml:space="preserve"> in energy efficiency and ecosystems enhancement </w:t>
      </w:r>
      <w:r w:rsidR="003730EF" w:rsidRPr="00A047DF">
        <w:rPr>
          <w:rFonts w:eastAsia="Times New Roman" w:cstheme="minorHAnsi"/>
          <w:color w:val="000000"/>
          <w:sz w:val="24"/>
          <w:szCs w:val="24"/>
        </w:rPr>
        <w:t xml:space="preserve">efforts.  We are also known for our </w:t>
      </w:r>
      <w:r w:rsidR="00AE6389" w:rsidRPr="00A047DF">
        <w:rPr>
          <w:rFonts w:eastAsia="Times New Roman" w:cstheme="minorHAnsi"/>
          <w:color w:val="000000"/>
          <w:sz w:val="24"/>
          <w:szCs w:val="24"/>
        </w:rPr>
        <w:t>curricular integration of sustainability through core requirements such as the University Colloquium and Service Learning</w:t>
      </w:r>
      <w:r w:rsidR="003730EF" w:rsidRPr="00A047DF">
        <w:rPr>
          <w:rFonts w:eastAsia="Times New Roman" w:cstheme="minorHAnsi"/>
          <w:color w:val="000000"/>
          <w:sz w:val="24"/>
          <w:szCs w:val="24"/>
        </w:rPr>
        <w:t xml:space="preserve"> as well as our transformative relationships with community partners</w:t>
      </w:r>
      <w:r w:rsidR="00AE6389" w:rsidRPr="00A047DF">
        <w:rPr>
          <w:rFonts w:eastAsia="Times New Roman" w:cstheme="minorHAnsi"/>
          <w:color w:val="000000"/>
          <w:sz w:val="24"/>
          <w:szCs w:val="24"/>
        </w:rPr>
        <w:t xml:space="preserve">.  </w:t>
      </w:r>
      <w:r w:rsidRPr="00A047DF">
        <w:rPr>
          <w:rFonts w:eastAsia="Times New Roman" w:cstheme="minorHAnsi"/>
          <w:color w:val="000000"/>
          <w:sz w:val="24"/>
          <w:szCs w:val="24"/>
        </w:rPr>
        <w:t xml:space="preserve">Some of our greatest accomplishments </w:t>
      </w:r>
      <w:r w:rsidR="003730EF" w:rsidRPr="00A047DF">
        <w:rPr>
          <w:rFonts w:eastAsia="Times New Roman" w:cstheme="minorHAnsi"/>
          <w:color w:val="000000"/>
          <w:sz w:val="24"/>
          <w:szCs w:val="24"/>
        </w:rPr>
        <w:t>over the past few years include</w:t>
      </w:r>
      <w:r w:rsidR="002C7C0A" w:rsidRPr="00A047DF">
        <w:rPr>
          <w:rFonts w:eastAsia="Times New Roman" w:cstheme="minorHAnsi"/>
          <w:color w:val="000000"/>
          <w:sz w:val="24"/>
          <w:szCs w:val="24"/>
        </w:rPr>
        <w:t xml:space="preserve"> the attainment of a </w:t>
      </w:r>
      <w:r w:rsidR="00D307FB" w:rsidRPr="00A047DF">
        <w:rPr>
          <w:rFonts w:eastAsia="Times New Roman" w:cstheme="minorHAnsi"/>
          <w:color w:val="000000"/>
          <w:sz w:val="24"/>
          <w:szCs w:val="24"/>
        </w:rPr>
        <w:t xml:space="preserve">Gold Rating on the Sustainability, Tracking, Rating, and Assessment System (STARS) report and </w:t>
      </w:r>
      <w:r w:rsidR="00B3351C" w:rsidRPr="00A047DF">
        <w:rPr>
          <w:rFonts w:eastAsia="Times New Roman" w:cstheme="minorHAnsi"/>
          <w:color w:val="000000"/>
          <w:sz w:val="24"/>
          <w:szCs w:val="24"/>
        </w:rPr>
        <w:t xml:space="preserve">a </w:t>
      </w:r>
      <w:r w:rsidR="00722D6D" w:rsidRPr="00A047DF">
        <w:rPr>
          <w:rFonts w:eastAsia="Times New Roman" w:cstheme="minorHAnsi"/>
          <w:color w:val="000000"/>
          <w:sz w:val="24"/>
          <w:szCs w:val="24"/>
        </w:rPr>
        <w:t>Platinum</w:t>
      </w:r>
      <w:r w:rsidR="00B3351C" w:rsidRPr="00A047DF">
        <w:rPr>
          <w:rFonts w:eastAsia="Times New Roman" w:cstheme="minorHAnsi"/>
          <w:color w:val="000000"/>
          <w:sz w:val="24"/>
          <w:szCs w:val="24"/>
        </w:rPr>
        <w:t xml:space="preserve"> Certification for </w:t>
      </w:r>
      <w:r w:rsidR="002C7C0A" w:rsidRPr="00A047DF">
        <w:rPr>
          <w:rFonts w:eastAsia="Times New Roman" w:cstheme="minorHAnsi"/>
          <w:color w:val="000000"/>
          <w:sz w:val="24"/>
          <w:szCs w:val="24"/>
        </w:rPr>
        <w:t>Leadership in Energy &amp; Environmental Design</w:t>
      </w:r>
      <w:r w:rsidR="00D307FB" w:rsidRPr="00A047DF">
        <w:rPr>
          <w:rFonts w:eastAsia="Times New Roman" w:cstheme="minorHAnsi"/>
          <w:color w:val="000000"/>
          <w:sz w:val="24"/>
          <w:szCs w:val="24"/>
        </w:rPr>
        <w:t xml:space="preserve"> (LEED)</w:t>
      </w:r>
      <w:r w:rsidR="002C7C0A" w:rsidRPr="00A047DF">
        <w:rPr>
          <w:rFonts w:eastAsia="Times New Roman" w:cstheme="minorHAnsi"/>
          <w:color w:val="000000"/>
          <w:sz w:val="24"/>
          <w:szCs w:val="24"/>
        </w:rPr>
        <w:t xml:space="preserve"> </w:t>
      </w:r>
      <w:r w:rsidR="000956B2" w:rsidRPr="00A047DF">
        <w:rPr>
          <w:rFonts w:eastAsia="Times New Roman" w:cstheme="minorHAnsi"/>
          <w:color w:val="000000"/>
          <w:sz w:val="24"/>
          <w:szCs w:val="24"/>
        </w:rPr>
        <w:t xml:space="preserve">for </w:t>
      </w:r>
      <w:r w:rsidR="00722D6D" w:rsidRPr="00A047DF">
        <w:rPr>
          <w:rFonts w:eastAsia="Times New Roman" w:cstheme="minorHAnsi"/>
          <w:color w:val="000000"/>
          <w:sz w:val="24"/>
          <w:szCs w:val="24"/>
        </w:rPr>
        <w:t>Academic Building Seven</w:t>
      </w:r>
      <w:r w:rsidR="002E0151" w:rsidRPr="00A047DF">
        <w:rPr>
          <w:rFonts w:eastAsia="Times New Roman" w:cstheme="minorHAnsi"/>
          <w:color w:val="000000"/>
          <w:sz w:val="24"/>
          <w:szCs w:val="24"/>
        </w:rPr>
        <w:t xml:space="preserve">.  Additionally, </w:t>
      </w:r>
      <w:r w:rsidR="00D307FB" w:rsidRPr="00A047DF">
        <w:rPr>
          <w:rFonts w:eastAsia="Times New Roman" w:cstheme="minorHAnsi"/>
          <w:color w:val="000000"/>
          <w:sz w:val="24"/>
          <w:szCs w:val="24"/>
        </w:rPr>
        <w:t xml:space="preserve">FGCU </w:t>
      </w:r>
      <w:r w:rsidR="002E0151" w:rsidRPr="00A047DF">
        <w:rPr>
          <w:rFonts w:eastAsia="Times New Roman" w:cstheme="minorHAnsi"/>
          <w:color w:val="000000"/>
          <w:sz w:val="24"/>
          <w:szCs w:val="24"/>
        </w:rPr>
        <w:t>adopted</w:t>
      </w:r>
      <w:r w:rsidR="00FB615C" w:rsidRPr="00A047DF">
        <w:rPr>
          <w:rFonts w:eastAsia="Times New Roman" w:cstheme="minorHAnsi"/>
          <w:color w:val="000000"/>
          <w:sz w:val="24"/>
          <w:szCs w:val="24"/>
        </w:rPr>
        <w:t xml:space="preserve"> a liquid ozone cleaning system</w:t>
      </w:r>
      <w:r w:rsidR="00D307FB" w:rsidRPr="00A047DF">
        <w:rPr>
          <w:rFonts w:eastAsia="Times New Roman" w:cstheme="minorHAnsi"/>
          <w:color w:val="000000"/>
          <w:sz w:val="24"/>
          <w:szCs w:val="24"/>
        </w:rPr>
        <w:t xml:space="preserve"> for </w:t>
      </w:r>
      <w:r w:rsidR="00D307FB" w:rsidRPr="00A047DF">
        <w:rPr>
          <w:rFonts w:eastAsia="Times New Roman" w:cstheme="minorHAnsi"/>
          <w:color w:val="000000"/>
          <w:sz w:val="24"/>
          <w:szCs w:val="24"/>
        </w:rPr>
        <w:lastRenderedPageBreak/>
        <w:t>all residence halls</w:t>
      </w:r>
      <w:r w:rsidR="006806DE" w:rsidRPr="00A047DF">
        <w:rPr>
          <w:rFonts w:eastAsia="Times New Roman" w:cstheme="minorHAnsi"/>
          <w:color w:val="000000"/>
          <w:sz w:val="24"/>
          <w:szCs w:val="24"/>
        </w:rPr>
        <w:t>,</w:t>
      </w:r>
      <w:r w:rsidR="00D307FB" w:rsidRPr="00A047DF">
        <w:rPr>
          <w:rFonts w:eastAsia="Times New Roman" w:cstheme="minorHAnsi"/>
          <w:color w:val="000000"/>
          <w:sz w:val="24"/>
          <w:szCs w:val="24"/>
        </w:rPr>
        <w:t xml:space="preserve"> which </w:t>
      </w:r>
      <w:r w:rsidR="00B3351C" w:rsidRPr="00A047DF">
        <w:rPr>
          <w:rFonts w:eastAsia="Times New Roman" w:cstheme="minorHAnsi"/>
          <w:color w:val="000000"/>
          <w:sz w:val="24"/>
          <w:szCs w:val="24"/>
        </w:rPr>
        <w:t xml:space="preserve">reduces the amount of cleaning chemicals used </w:t>
      </w:r>
      <w:r w:rsidR="00FB615C" w:rsidRPr="00A047DF">
        <w:rPr>
          <w:rFonts w:eastAsia="Times New Roman" w:cstheme="minorHAnsi"/>
          <w:color w:val="000000"/>
          <w:sz w:val="24"/>
          <w:szCs w:val="24"/>
        </w:rPr>
        <w:t>and increases</w:t>
      </w:r>
      <w:r w:rsidR="002E0151" w:rsidRPr="00A047DF">
        <w:rPr>
          <w:rFonts w:eastAsia="Times New Roman" w:cstheme="minorHAnsi"/>
          <w:color w:val="000000"/>
          <w:sz w:val="24"/>
          <w:szCs w:val="24"/>
        </w:rPr>
        <w:t xml:space="preserve"> worker safety.  We also continue to reduce the amount of energy and water used per FTE and manage our grounds to enhance native ecosystems.  Academically, a</w:t>
      </w:r>
      <w:r w:rsidR="00D307FB" w:rsidRPr="00A047DF">
        <w:rPr>
          <w:rFonts w:eastAsia="Times New Roman" w:cstheme="minorHAnsi"/>
          <w:color w:val="000000"/>
          <w:sz w:val="24"/>
          <w:szCs w:val="24"/>
        </w:rPr>
        <w:t xml:space="preserve"> </w:t>
      </w:r>
      <w:r w:rsidR="002E0151" w:rsidRPr="00A047DF">
        <w:rPr>
          <w:rFonts w:eastAsia="Times New Roman" w:cstheme="minorHAnsi"/>
          <w:color w:val="000000"/>
          <w:sz w:val="24"/>
          <w:szCs w:val="24"/>
        </w:rPr>
        <w:t xml:space="preserve">significant </w:t>
      </w:r>
      <w:r w:rsidR="0036455E" w:rsidRPr="00A047DF">
        <w:rPr>
          <w:rFonts w:eastAsia="Times New Roman" w:cstheme="minorHAnsi"/>
          <w:color w:val="000000"/>
          <w:sz w:val="24"/>
          <w:szCs w:val="24"/>
        </w:rPr>
        <w:t>number</w:t>
      </w:r>
      <w:r w:rsidR="002E0151" w:rsidRPr="00A047DF">
        <w:rPr>
          <w:rFonts w:eastAsia="Times New Roman" w:cstheme="minorHAnsi"/>
          <w:color w:val="000000"/>
          <w:sz w:val="24"/>
          <w:szCs w:val="24"/>
        </w:rPr>
        <w:t xml:space="preserve"> of faculty members are engaged in </w:t>
      </w:r>
      <w:r w:rsidR="00476F80" w:rsidRPr="00A047DF">
        <w:rPr>
          <w:rFonts w:eastAsia="Times New Roman" w:cstheme="minorHAnsi"/>
          <w:color w:val="000000"/>
          <w:sz w:val="24"/>
          <w:szCs w:val="24"/>
        </w:rPr>
        <w:t xml:space="preserve">sustainability research, </w:t>
      </w:r>
      <w:r w:rsidR="002E0151" w:rsidRPr="00A047DF">
        <w:rPr>
          <w:rFonts w:eastAsia="Times New Roman" w:cstheme="minorHAnsi"/>
          <w:color w:val="000000"/>
          <w:sz w:val="24"/>
          <w:szCs w:val="24"/>
        </w:rPr>
        <w:t>sustainability content has been successfully integrated into a high percentage of courses</w:t>
      </w:r>
      <w:r w:rsidR="00476F80" w:rsidRPr="00A047DF">
        <w:rPr>
          <w:rFonts w:eastAsia="Times New Roman" w:cstheme="minorHAnsi"/>
          <w:color w:val="000000"/>
          <w:sz w:val="24"/>
          <w:szCs w:val="24"/>
        </w:rPr>
        <w:t>, and</w:t>
      </w:r>
      <w:r w:rsidR="002E0151" w:rsidRPr="00A047DF">
        <w:rPr>
          <w:rFonts w:eastAsia="Times New Roman" w:cstheme="minorHAnsi"/>
          <w:color w:val="000000"/>
          <w:sz w:val="24"/>
          <w:szCs w:val="24"/>
        </w:rPr>
        <w:t xml:space="preserve"> most</w:t>
      </w:r>
      <w:r w:rsidR="00476F80" w:rsidRPr="00A047DF">
        <w:rPr>
          <w:rFonts w:eastAsia="Times New Roman" w:cstheme="minorHAnsi"/>
          <w:color w:val="000000"/>
          <w:sz w:val="24"/>
          <w:szCs w:val="24"/>
        </w:rPr>
        <w:t xml:space="preserve"> </w:t>
      </w:r>
      <w:r w:rsidR="002E0151" w:rsidRPr="00A047DF">
        <w:rPr>
          <w:rFonts w:eastAsia="Times New Roman" w:cstheme="minorHAnsi"/>
          <w:color w:val="000000"/>
          <w:sz w:val="24"/>
          <w:szCs w:val="24"/>
        </w:rPr>
        <w:t xml:space="preserve">programs have formally adopted </w:t>
      </w:r>
      <w:r w:rsidR="00722D6D" w:rsidRPr="00A047DF">
        <w:rPr>
          <w:rFonts w:eastAsia="Times New Roman" w:cstheme="minorHAnsi"/>
          <w:color w:val="000000"/>
          <w:sz w:val="24"/>
          <w:szCs w:val="24"/>
        </w:rPr>
        <w:t>sustainability</w:t>
      </w:r>
      <w:r w:rsidR="002E0151" w:rsidRPr="00A047DF">
        <w:rPr>
          <w:rFonts w:eastAsia="Times New Roman" w:cstheme="minorHAnsi"/>
          <w:color w:val="000000"/>
          <w:sz w:val="24"/>
          <w:szCs w:val="24"/>
        </w:rPr>
        <w:t xml:space="preserve"> learning outcomes.  </w:t>
      </w:r>
    </w:p>
    <w:p w14:paraId="2DF95BCD" w14:textId="77777777" w:rsidR="00B52638" w:rsidRPr="00A047DF" w:rsidRDefault="00A047DF" w:rsidP="00B52638">
      <w:pPr>
        <w:rPr>
          <w:rFonts w:eastAsia="Times New Roman" w:cstheme="minorHAnsi"/>
          <w:b/>
          <w:color w:val="0070C0"/>
          <w:sz w:val="28"/>
          <w:szCs w:val="28"/>
        </w:rPr>
      </w:pPr>
      <w:r w:rsidRPr="00A047DF">
        <w:rPr>
          <w:rFonts w:eastAsia="Times New Roman" w:cstheme="minorHAnsi"/>
          <w:b/>
          <w:color w:val="0070C0"/>
          <w:sz w:val="28"/>
          <w:szCs w:val="28"/>
        </w:rPr>
        <w:t xml:space="preserve">RECOMMENDATIONS FOR FGCU STRATEGIC PLAN </w:t>
      </w:r>
    </w:p>
    <w:p w14:paraId="52439FBD" w14:textId="77777777" w:rsidR="00BD6D6B" w:rsidRPr="00A047DF" w:rsidRDefault="00996E04" w:rsidP="00DB480E">
      <w:pPr>
        <w:ind w:firstLine="720"/>
        <w:textAlignment w:val="center"/>
        <w:rPr>
          <w:rFonts w:eastAsia="Times New Roman" w:cstheme="minorHAnsi"/>
          <w:color w:val="000000"/>
          <w:sz w:val="24"/>
          <w:szCs w:val="24"/>
        </w:rPr>
      </w:pPr>
      <w:r w:rsidRPr="00A047DF">
        <w:rPr>
          <w:rFonts w:eastAsia="Times New Roman" w:cstheme="minorHAnsi"/>
          <w:color w:val="000000"/>
          <w:sz w:val="24"/>
          <w:szCs w:val="24"/>
        </w:rPr>
        <w:t xml:space="preserve">In reviewing previous Sustainability Strategic Plans, we noticed that </w:t>
      </w:r>
      <w:r w:rsidR="0036455E" w:rsidRPr="00A047DF">
        <w:rPr>
          <w:rFonts w:eastAsia="Times New Roman" w:cstheme="minorHAnsi"/>
          <w:color w:val="000000"/>
          <w:sz w:val="24"/>
          <w:szCs w:val="24"/>
        </w:rPr>
        <w:t>c</w:t>
      </w:r>
      <w:r w:rsidR="00C80D12" w:rsidRPr="00A047DF">
        <w:rPr>
          <w:rFonts w:eastAsia="Times New Roman" w:cstheme="minorHAnsi"/>
          <w:color w:val="000000"/>
          <w:sz w:val="24"/>
          <w:szCs w:val="24"/>
        </w:rPr>
        <w:t xml:space="preserve">reating a separate Strategic Plan for </w:t>
      </w:r>
      <w:r w:rsidR="0036455E" w:rsidRPr="00A047DF">
        <w:rPr>
          <w:rFonts w:eastAsia="Times New Roman" w:cstheme="minorHAnsi"/>
          <w:color w:val="000000"/>
          <w:sz w:val="24"/>
          <w:szCs w:val="24"/>
        </w:rPr>
        <w:t>Environmental Sustainability G</w:t>
      </w:r>
      <w:r w:rsidR="00C80D12" w:rsidRPr="00A047DF">
        <w:rPr>
          <w:rFonts w:eastAsia="Times New Roman" w:cstheme="minorHAnsi"/>
          <w:color w:val="000000"/>
          <w:sz w:val="24"/>
          <w:szCs w:val="24"/>
        </w:rPr>
        <w:t>oals</w:t>
      </w:r>
      <w:r w:rsidRPr="00A047DF">
        <w:rPr>
          <w:rFonts w:eastAsia="Times New Roman" w:cstheme="minorHAnsi"/>
          <w:color w:val="000000"/>
          <w:sz w:val="24"/>
          <w:szCs w:val="24"/>
        </w:rPr>
        <w:t xml:space="preserve"> was a major barrier to goal attainment because it </w:t>
      </w:r>
      <w:r w:rsidR="0036455E" w:rsidRPr="00A047DF">
        <w:rPr>
          <w:rFonts w:eastAsia="Times New Roman" w:cstheme="minorHAnsi"/>
          <w:color w:val="000000"/>
          <w:sz w:val="24"/>
          <w:szCs w:val="24"/>
        </w:rPr>
        <w:t>exists</w:t>
      </w:r>
      <w:r w:rsidR="00C80D12" w:rsidRPr="00A047DF">
        <w:rPr>
          <w:rFonts w:eastAsia="Times New Roman" w:cstheme="minorHAnsi"/>
          <w:color w:val="000000"/>
          <w:sz w:val="24"/>
          <w:szCs w:val="24"/>
        </w:rPr>
        <w:t xml:space="preserve"> outside of our </w:t>
      </w:r>
      <w:r w:rsidR="0036455E" w:rsidRPr="00A047DF">
        <w:rPr>
          <w:rFonts w:eastAsia="Times New Roman" w:cstheme="minorHAnsi"/>
          <w:color w:val="000000"/>
          <w:sz w:val="24"/>
          <w:szCs w:val="24"/>
        </w:rPr>
        <w:t>official University Strategic</w:t>
      </w:r>
      <w:r w:rsidR="00C80D12" w:rsidRPr="00A047DF">
        <w:rPr>
          <w:rFonts w:eastAsia="Times New Roman" w:cstheme="minorHAnsi"/>
          <w:color w:val="000000"/>
          <w:sz w:val="24"/>
          <w:szCs w:val="24"/>
        </w:rPr>
        <w:t xml:space="preserve"> </w:t>
      </w:r>
      <w:r w:rsidR="0036455E" w:rsidRPr="00A047DF">
        <w:rPr>
          <w:rFonts w:eastAsia="Times New Roman" w:cstheme="minorHAnsi"/>
          <w:color w:val="000000"/>
          <w:sz w:val="24"/>
          <w:szCs w:val="24"/>
        </w:rPr>
        <w:t xml:space="preserve">Planning and budgeting channels. As a result, previous </w:t>
      </w:r>
      <w:r w:rsidR="00B75EBD" w:rsidRPr="00A047DF">
        <w:rPr>
          <w:rFonts w:eastAsia="Times New Roman" w:cstheme="minorHAnsi"/>
          <w:color w:val="000000"/>
          <w:sz w:val="24"/>
          <w:szCs w:val="24"/>
        </w:rPr>
        <w:t xml:space="preserve">sustainability </w:t>
      </w:r>
      <w:r w:rsidR="0036455E" w:rsidRPr="00A047DF">
        <w:rPr>
          <w:rFonts w:eastAsia="Times New Roman" w:cstheme="minorHAnsi"/>
          <w:color w:val="000000"/>
          <w:sz w:val="24"/>
          <w:szCs w:val="24"/>
        </w:rPr>
        <w:t>recommendations</w:t>
      </w:r>
      <w:r w:rsidR="00C80D12" w:rsidRPr="00A047DF">
        <w:rPr>
          <w:rFonts w:eastAsia="Times New Roman" w:cstheme="minorHAnsi"/>
          <w:color w:val="000000"/>
          <w:sz w:val="24"/>
          <w:szCs w:val="24"/>
        </w:rPr>
        <w:t xml:space="preserve"> </w:t>
      </w:r>
      <w:r w:rsidR="0036455E" w:rsidRPr="00A047DF">
        <w:rPr>
          <w:rFonts w:eastAsia="Times New Roman" w:cstheme="minorHAnsi"/>
          <w:color w:val="000000"/>
          <w:sz w:val="24"/>
          <w:szCs w:val="24"/>
        </w:rPr>
        <w:t xml:space="preserve">frequently lacked the </w:t>
      </w:r>
      <w:r w:rsidRPr="00A047DF">
        <w:rPr>
          <w:rFonts w:eastAsia="Times New Roman" w:cstheme="minorHAnsi"/>
          <w:color w:val="000000"/>
          <w:sz w:val="24"/>
          <w:szCs w:val="24"/>
        </w:rPr>
        <w:t>resources</w:t>
      </w:r>
      <w:r w:rsidR="00C80D12" w:rsidRPr="00A047DF">
        <w:rPr>
          <w:rFonts w:eastAsia="Times New Roman" w:cstheme="minorHAnsi"/>
          <w:color w:val="000000"/>
          <w:sz w:val="24"/>
          <w:szCs w:val="24"/>
        </w:rPr>
        <w:t xml:space="preserve"> need</w:t>
      </w:r>
      <w:r w:rsidR="0036455E" w:rsidRPr="00A047DF">
        <w:rPr>
          <w:rFonts w:eastAsia="Times New Roman" w:cstheme="minorHAnsi"/>
          <w:color w:val="000000"/>
          <w:sz w:val="24"/>
          <w:szCs w:val="24"/>
        </w:rPr>
        <w:t>ed</w:t>
      </w:r>
      <w:r w:rsidR="00C80D12" w:rsidRPr="00A047DF">
        <w:rPr>
          <w:rFonts w:eastAsia="Times New Roman" w:cstheme="minorHAnsi"/>
          <w:color w:val="000000"/>
          <w:sz w:val="24"/>
          <w:szCs w:val="24"/>
        </w:rPr>
        <w:t xml:space="preserve"> to </w:t>
      </w:r>
      <w:r w:rsidR="0036455E" w:rsidRPr="00A047DF">
        <w:rPr>
          <w:rFonts w:eastAsia="Times New Roman" w:cstheme="minorHAnsi"/>
          <w:color w:val="000000"/>
          <w:sz w:val="24"/>
          <w:szCs w:val="24"/>
        </w:rPr>
        <w:t xml:space="preserve">meet the desired </w:t>
      </w:r>
      <w:r w:rsidRPr="00A047DF">
        <w:rPr>
          <w:rFonts w:eastAsia="Times New Roman" w:cstheme="minorHAnsi"/>
          <w:color w:val="000000"/>
          <w:sz w:val="24"/>
          <w:szCs w:val="24"/>
        </w:rPr>
        <w:t>results</w:t>
      </w:r>
      <w:r w:rsidR="00C80D12" w:rsidRPr="00A047DF">
        <w:rPr>
          <w:rFonts w:eastAsia="Times New Roman" w:cstheme="minorHAnsi"/>
          <w:color w:val="000000"/>
          <w:sz w:val="24"/>
          <w:szCs w:val="24"/>
        </w:rPr>
        <w:t xml:space="preserve">.  </w:t>
      </w:r>
      <w:r w:rsidRPr="00A047DF">
        <w:rPr>
          <w:rFonts w:eastAsia="Times New Roman" w:cstheme="minorHAnsi"/>
          <w:color w:val="000000"/>
          <w:sz w:val="24"/>
          <w:szCs w:val="24"/>
        </w:rPr>
        <w:t>In</w:t>
      </w:r>
      <w:r w:rsidR="0036455E" w:rsidRPr="00A047DF">
        <w:rPr>
          <w:rFonts w:eastAsia="Times New Roman" w:cstheme="minorHAnsi"/>
          <w:color w:val="000000"/>
          <w:sz w:val="24"/>
          <w:szCs w:val="24"/>
        </w:rPr>
        <w:t xml:space="preserve"> order to achieve the desired outcomes, </w:t>
      </w:r>
      <w:r w:rsidRPr="00A047DF">
        <w:rPr>
          <w:rFonts w:eastAsia="Times New Roman" w:cstheme="minorHAnsi"/>
          <w:color w:val="000000"/>
          <w:sz w:val="24"/>
          <w:szCs w:val="24"/>
        </w:rPr>
        <w:t>financial and professional support</w:t>
      </w:r>
      <w:r w:rsidR="007C6F85" w:rsidRPr="00A047DF">
        <w:rPr>
          <w:rFonts w:eastAsia="Times New Roman" w:cstheme="minorHAnsi"/>
          <w:color w:val="000000"/>
          <w:sz w:val="24"/>
          <w:szCs w:val="24"/>
        </w:rPr>
        <w:t xml:space="preserve"> mechanisms </w:t>
      </w:r>
      <w:r w:rsidR="00C0782D" w:rsidRPr="00A047DF">
        <w:rPr>
          <w:rFonts w:eastAsia="Times New Roman" w:cstheme="minorHAnsi"/>
          <w:color w:val="000000"/>
          <w:sz w:val="24"/>
          <w:szCs w:val="24"/>
        </w:rPr>
        <w:t>should be</w:t>
      </w:r>
      <w:r w:rsidR="007C6F85" w:rsidRPr="00A047DF">
        <w:rPr>
          <w:rFonts w:eastAsia="Times New Roman" w:cstheme="minorHAnsi"/>
          <w:color w:val="000000"/>
          <w:sz w:val="24"/>
          <w:szCs w:val="24"/>
        </w:rPr>
        <w:t xml:space="preserve"> </w:t>
      </w:r>
      <w:r w:rsidR="0032254D" w:rsidRPr="00A047DF">
        <w:rPr>
          <w:rFonts w:eastAsia="Times New Roman" w:cstheme="minorHAnsi"/>
          <w:color w:val="000000"/>
          <w:sz w:val="24"/>
          <w:szCs w:val="24"/>
        </w:rPr>
        <w:t>dedicated</w:t>
      </w:r>
      <w:r w:rsidR="00C0782D" w:rsidRPr="00A047DF">
        <w:rPr>
          <w:rFonts w:eastAsia="Times New Roman" w:cstheme="minorHAnsi"/>
          <w:color w:val="000000"/>
          <w:sz w:val="24"/>
          <w:szCs w:val="24"/>
        </w:rPr>
        <w:t xml:space="preserve"> to this use. In addition to dedicated funding, there should be a clearinghouse to provide better organization of our sustainable initiatives, including our academic and research activities, and provide for professional development in sustainability.</w:t>
      </w:r>
      <w:r w:rsidR="0032254D" w:rsidRPr="00A047DF">
        <w:rPr>
          <w:rFonts w:eastAsia="Times New Roman" w:cstheme="minorHAnsi"/>
          <w:color w:val="000000"/>
          <w:sz w:val="24"/>
          <w:szCs w:val="24"/>
        </w:rPr>
        <w:t xml:space="preserve"> </w:t>
      </w:r>
    </w:p>
    <w:p w14:paraId="0753EE74" w14:textId="77777777" w:rsidR="000956B2" w:rsidRPr="00A047DF" w:rsidRDefault="00C0782D" w:rsidP="00BD6D6B">
      <w:pPr>
        <w:ind w:firstLine="720"/>
        <w:textAlignment w:val="center"/>
        <w:rPr>
          <w:rFonts w:eastAsia="Times New Roman" w:cstheme="minorHAnsi"/>
          <w:color w:val="000000"/>
          <w:sz w:val="24"/>
          <w:szCs w:val="24"/>
        </w:rPr>
      </w:pPr>
      <w:r w:rsidRPr="00A047DF">
        <w:rPr>
          <w:rFonts w:eastAsia="Times New Roman" w:cstheme="minorHAnsi"/>
          <w:color w:val="000000"/>
          <w:sz w:val="24"/>
          <w:szCs w:val="24"/>
        </w:rPr>
        <w:t>W</w:t>
      </w:r>
      <w:r w:rsidR="0032254D" w:rsidRPr="00A047DF">
        <w:rPr>
          <w:rFonts w:eastAsia="Times New Roman" w:cstheme="minorHAnsi"/>
          <w:color w:val="000000"/>
          <w:sz w:val="24"/>
          <w:szCs w:val="24"/>
        </w:rPr>
        <w:t xml:space="preserve">e recommend </w:t>
      </w:r>
      <w:r w:rsidR="00DB480E" w:rsidRPr="00A047DF">
        <w:rPr>
          <w:rFonts w:eastAsia="Times New Roman" w:cstheme="minorHAnsi"/>
          <w:color w:val="000000"/>
          <w:sz w:val="24"/>
          <w:szCs w:val="24"/>
        </w:rPr>
        <w:t xml:space="preserve">that the seven </w:t>
      </w:r>
      <w:r w:rsidR="005B76A8" w:rsidRPr="00A047DF">
        <w:rPr>
          <w:rFonts w:eastAsia="Times New Roman" w:cstheme="minorHAnsi"/>
          <w:color w:val="000000"/>
          <w:sz w:val="24"/>
          <w:szCs w:val="24"/>
        </w:rPr>
        <w:t>following actions</w:t>
      </w:r>
      <w:r w:rsidR="0032254D" w:rsidRPr="00A047DF">
        <w:rPr>
          <w:rFonts w:eastAsia="Times New Roman" w:cstheme="minorHAnsi"/>
          <w:color w:val="000000"/>
          <w:sz w:val="24"/>
          <w:szCs w:val="24"/>
        </w:rPr>
        <w:t xml:space="preserve"> be incorporated into FGCU’s next Strategic Plan</w:t>
      </w:r>
      <w:r w:rsidR="005B76A8" w:rsidRPr="00A047DF">
        <w:rPr>
          <w:rFonts w:eastAsia="Times New Roman" w:cstheme="minorHAnsi"/>
          <w:color w:val="000000"/>
          <w:sz w:val="24"/>
          <w:szCs w:val="24"/>
        </w:rPr>
        <w:t>:</w:t>
      </w:r>
    </w:p>
    <w:p w14:paraId="39EF94FC" w14:textId="77777777" w:rsidR="00B1291B" w:rsidRPr="00A047DF" w:rsidRDefault="00DB480E" w:rsidP="00DB480E">
      <w:pPr>
        <w:rPr>
          <w:rFonts w:eastAsia="Times New Roman" w:cstheme="minorHAnsi"/>
          <w:b/>
          <w:sz w:val="24"/>
          <w:szCs w:val="24"/>
          <w:u w:val="single"/>
        </w:rPr>
      </w:pPr>
      <w:r w:rsidRPr="00A047DF">
        <w:rPr>
          <w:rFonts w:eastAsia="Times New Roman" w:cstheme="minorHAnsi"/>
          <w:b/>
          <w:sz w:val="28"/>
          <w:szCs w:val="28"/>
        </w:rPr>
        <w:t xml:space="preserve">1. </w:t>
      </w:r>
      <w:r w:rsidR="0083261A" w:rsidRPr="00A047DF">
        <w:rPr>
          <w:rFonts w:eastAsia="Times New Roman" w:cstheme="minorHAnsi"/>
          <w:b/>
          <w:sz w:val="28"/>
          <w:szCs w:val="28"/>
          <w:u w:val="single"/>
        </w:rPr>
        <w:t xml:space="preserve">Institutionalize </w:t>
      </w:r>
      <w:r w:rsidR="00C0782D" w:rsidRPr="00A047DF">
        <w:rPr>
          <w:rFonts w:eastAsia="Times New Roman" w:cstheme="minorHAnsi"/>
          <w:b/>
          <w:sz w:val="28"/>
          <w:szCs w:val="28"/>
          <w:u w:val="single"/>
        </w:rPr>
        <w:t>a clearinghouse</w:t>
      </w:r>
      <w:r w:rsidR="00FD5909" w:rsidRPr="00A047DF">
        <w:rPr>
          <w:rFonts w:eastAsia="Times New Roman" w:cstheme="minorHAnsi"/>
          <w:b/>
          <w:sz w:val="28"/>
          <w:szCs w:val="28"/>
          <w:u w:val="single"/>
        </w:rPr>
        <w:t xml:space="preserve"> </w:t>
      </w:r>
      <w:r w:rsidR="0083261A" w:rsidRPr="00A047DF">
        <w:rPr>
          <w:rFonts w:eastAsia="Times New Roman" w:cstheme="minorHAnsi"/>
          <w:b/>
          <w:sz w:val="28"/>
          <w:szCs w:val="28"/>
          <w:u w:val="single"/>
        </w:rPr>
        <w:t xml:space="preserve">to </w:t>
      </w:r>
      <w:r w:rsidR="00BA35F9" w:rsidRPr="00A047DF">
        <w:rPr>
          <w:rFonts w:eastAsia="Times New Roman" w:cstheme="minorHAnsi"/>
          <w:b/>
          <w:sz w:val="28"/>
          <w:szCs w:val="28"/>
          <w:u w:val="single"/>
        </w:rPr>
        <w:t xml:space="preserve">blend </w:t>
      </w:r>
      <w:r w:rsidR="00DF4520" w:rsidRPr="00A047DF">
        <w:rPr>
          <w:rFonts w:eastAsia="Times New Roman" w:cstheme="minorHAnsi"/>
          <w:b/>
          <w:sz w:val="28"/>
          <w:szCs w:val="28"/>
          <w:u w:val="single"/>
        </w:rPr>
        <w:t>stewardship and sustainab</w:t>
      </w:r>
      <w:r w:rsidR="00BA35F9" w:rsidRPr="00A047DF">
        <w:rPr>
          <w:rFonts w:eastAsia="Times New Roman" w:cstheme="minorHAnsi"/>
          <w:b/>
          <w:sz w:val="28"/>
          <w:szCs w:val="28"/>
          <w:u w:val="single"/>
        </w:rPr>
        <w:t>i</w:t>
      </w:r>
      <w:r w:rsidR="00DF4520" w:rsidRPr="00A047DF">
        <w:rPr>
          <w:rFonts w:eastAsia="Times New Roman" w:cstheme="minorHAnsi"/>
          <w:b/>
          <w:sz w:val="28"/>
          <w:szCs w:val="28"/>
          <w:u w:val="single"/>
        </w:rPr>
        <w:t>l</w:t>
      </w:r>
      <w:r w:rsidR="00BA35F9" w:rsidRPr="00A047DF">
        <w:rPr>
          <w:rFonts w:eastAsia="Times New Roman" w:cstheme="minorHAnsi"/>
          <w:b/>
          <w:sz w:val="28"/>
          <w:szCs w:val="28"/>
          <w:u w:val="single"/>
        </w:rPr>
        <w:t>it</w:t>
      </w:r>
      <w:r w:rsidR="00DF4520" w:rsidRPr="00A047DF">
        <w:rPr>
          <w:rFonts w:eastAsia="Times New Roman" w:cstheme="minorHAnsi"/>
          <w:b/>
          <w:sz w:val="28"/>
          <w:szCs w:val="28"/>
          <w:u w:val="single"/>
        </w:rPr>
        <w:t xml:space="preserve">y </w:t>
      </w:r>
      <w:r w:rsidR="002B1AF6" w:rsidRPr="00A047DF">
        <w:rPr>
          <w:rFonts w:eastAsia="Times New Roman" w:cstheme="minorHAnsi"/>
          <w:b/>
          <w:sz w:val="28"/>
          <w:szCs w:val="28"/>
          <w:u w:val="single"/>
        </w:rPr>
        <w:t>efforts</w:t>
      </w:r>
      <w:r w:rsidR="0083261A" w:rsidRPr="00A047DF">
        <w:rPr>
          <w:rFonts w:eastAsia="Times New Roman" w:cstheme="minorHAnsi"/>
          <w:b/>
          <w:sz w:val="28"/>
          <w:szCs w:val="28"/>
          <w:u w:val="single"/>
        </w:rPr>
        <w:t>.</w:t>
      </w:r>
      <w:r w:rsidR="00BD6D6B" w:rsidRPr="00A047DF">
        <w:rPr>
          <w:rStyle w:val="FootnoteReference"/>
          <w:rFonts w:eastAsia="Times New Roman" w:cstheme="minorHAnsi"/>
          <w:b/>
          <w:sz w:val="24"/>
          <w:szCs w:val="24"/>
        </w:rPr>
        <w:t xml:space="preserve"> </w:t>
      </w:r>
      <w:r w:rsidR="00BD6D6B" w:rsidRPr="00A047DF">
        <w:rPr>
          <w:rStyle w:val="FootnoteReference"/>
          <w:rFonts w:eastAsia="Times New Roman" w:cstheme="minorHAnsi"/>
          <w:b/>
          <w:sz w:val="24"/>
          <w:szCs w:val="24"/>
        </w:rPr>
        <w:footnoteReference w:id="2"/>
      </w:r>
    </w:p>
    <w:p w14:paraId="37334DE8" w14:textId="77777777" w:rsidR="00C010D9" w:rsidRPr="00A047DF" w:rsidRDefault="00DF4520" w:rsidP="00DB480E">
      <w:pPr>
        <w:ind w:firstLine="720"/>
        <w:rPr>
          <w:rFonts w:cstheme="minorHAnsi"/>
          <w:sz w:val="24"/>
          <w:szCs w:val="24"/>
        </w:rPr>
      </w:pPr>
      <w:r w:rsidRPr="00A047DF">
        <w:rPr>
          <w:rFonts w:cstheme="minorHAnsi"/>
          <w:sz w:val="24"/>
          <w:szCs w:val="24"/>
        </w:rPr>
        <w:t xml:space="preserve">FGCU’s approach to meeting key performance indicators for sustainability is through decentralized and interdepartmental efforts.  </w:t>
      </w:r>
      <w:r w:rsidR="007935D3" w:rsidRPr="00A047DF">
        <w:rPr>
          <w:rFonts w:cstheme="minorHAnsi"/>
          <w:sz w:val="24"/>
          <w:szCs w:val="24"/>
        </w:rPr>
        <w:t xml:space="preserve">The </w:t>
      </w:r>
      <w:r w:rsidR="007935D3" w:rsidRPr="00A047DF">
        <w:rPr>
          <w:rFonts w:cstheme="minorHAnsi"/>
          <w:sz w:val="24"/>
          <w:szCs w:val="24"/>
        </w:rPr>
        <w:lastRenderedPageBreak/>
        <w:t>decentralization of these</w:t>
      </w:r>
      <w:r w:rsidRPr="00A047DF">
        <w:rPr>
          <w:rFonts w:cstheme="minorHAnsi"/>
          <w:sz w:val="24"/>
          <w:szCs w:val="24"/>
        </w:rPr>
        <w:t xml:space="preserve"> efforts </w:t>
      </w:r>
      <w:r w:rsidR="007935D3" w:rsidRPr="00A047DF">
        <w:rPr>
          <w:rFonts w:cstheme="minorHAnsi"/>
          <w:sz w:val="24"/>
          <w:szCs w:val="24"/>
        </w:rPr>
        <w:t>e</w:t>
      </w:r>
      <w:r w:rsidRPr="00A047DF">
        <w:rPr>
          <w:rFonts w:cstheme="minorHAnsi"/>
          <w:sz w:val="24"/>
          <w:szCs w:val="24"/>
        </w:rPr>
        <w:t>mpow</w:t>
      </w:r>
      <w:r w:rsidR="007935D3" w:rsidRPr="00A047DF">
        <w:rPr>
          <w:rFonts w:cstheme="minorHAnsi"/>
          <w:sz w:val="24"/>
          <w:szCs w:val="24"/>
        </w:rPr>
        <w:t>ers</w:t>
      </w:r>
      <w:r w:rsidRPr="00A047DF">
        <w:rPr>
          <w:rFonts w:cstheme="minorHAnsi"/>
          <w:sz w:val="24"/>
          <w:szCs w:val="24"/>
        </w:rPr>
        <w:t xml:space="preserve"> individual offices, departments, and academic units to </w:t>
      </w:r>
      <w:r w:rsidR="00D201D1" w:rsidRPr="00A047DF">
        <w:rPr>
          <w:rFonts w:cstheme="minorHAnsi"/>
          <w:sz w:val="24"/>
          <w:szCs w:val="24"/>
        </w:rPr>
        <w:t>contribute to sustainability based on their functions and expertise</w:t>
      </w:r>
      <w:r w:rsidR="007935D3" w:rsidRPr="00A047DF">
        <w:rPr>
          <w:rFonts w:cstheme="minorHAnsi"/>
          <w:sz w:val="24"/>
          <w:szCs w:val="24"/>
        </w:rPr>
        <w:t>.  In this way, e</w:t>
      </w:r>
      <w:r w:rsidR="00D201D1" w:rsidRPr="00A047DF">
        <w:rPr>
          <w:rFonts w:cstheme="minorHAnsi"/>
          <w:sz w:val="24"/>
          <w:szCs w:val="24"/>
        </w:rPr>
        <w:t xml:space="preserve">very </w:t>
      </w:r>
      <w:r w:rsidR="007935D3" w:rsidRPr="00A047DF">
        <w:rPr>
          <w:rFonts w:cstheme="minorHAnsi"/>
          <w:sz w:val="24"/>
          <w:szCs w:val="24"/>
        </w:rPr>
        <w:t>unit can be</w:t>
      </w:r>
      <w:r w:rsidR="00D201D1" w:rsidRPr="00A047DF">
        <w:rPr>
          <w:rFonts w:cstheme="minorHAnsi"/>
          <w:sz w:val="24"/>
          <w:szCs w:val="24"/>
        </w:rPr>
        <w:t xml:space="preserve"> responsible for</w:t>
      </w:r>
      <w:r w:rsidR="007935D3" w:rsidRPr="00A047DF">
        <w:rPr>
          <w:rFonts w:cstheme="minorHAnsi"/>
          <w:sz w:val="24"/>
          <w:szCs w:val="24"/>
        </w:rPr>
        <w:t xml:space="preserve"> and contribute to</w:t>
      </w:r>
      <w:r w:rsidR="00C10A72" w:rsidRPr="00A047DF">
        <w:rPr>
          <w:rFonts w:cstheme="minorHAnsi"/>
          <w:sz w:val="24"/>
          <w:szCs w:val="24"/>
        </w:rPr>
        <w:t xml:space="preserve"> </w:t>
      </w:r>
      <w:r w:rsidR="00D201D1" w:rsidRPr="00A047DF">
        <w:rPr>
          <w:rFonts w:cstheme="minorHAnsi"/>
          <w:sz w:val="24"/>
          <w:szCs w:val="24"/>
        </w:rPr>
        <w:t xml:space="preserve">sustainability </w:t>
      </w:r>
      <w:r w:rsidR="007935D3" w:rsidRPr="00A047DF">
        <w:rPr>
          <w:rFonts w:cstheme="minorHAnsi"/>
          <w:sz w:val="24"/>
          <w:szCs w:val="24"/>
        </w:rPr>
        <w:t>at FGCU</w:t>
      </w:r>
      <w:r w:rsidR="00C010D9" w:rsidRPr="00A047DF">
        <w:rPr>
          <w:rFonts w:cstheme="minorHAnsi"/>
          <w:sz w:val="24"/>
          <w:szCs w:val="24"/>
        </w:rPr>
        <w:t xml:space="preserve">.  However, </w:t>
      </w:r>
      <w:r w:rsidR="007935D3" w:rsidRPr="00A047DF">
        <w:rPr>
          <w:rFonts w:cstheme="minorHAnsi"/>
          <w:sz w:val="24"/>
          <w:szCs w:val="24"/>
        </w:rPr>
        <w:t>the decentralized structure</w:t>
      </w:r>
      <w:r w:rsidR="00C010D9" w:rsidRPr="00A047DF">
        <w:rPr>
          <w:rFonts w:cstheme="minorHAnsi"/>
          <w:sz w:val="24"/>
          <w:szCs w:val="24"/>
        </w:rPr>
        <w:t xml:space="preserve"> also contributes to a lack of</w:t>
      </w:r>
      <w:r w:rsidR="007935D3" w:rsidRPr="00A047DF">
        <w:rPr>
          <w:rFonts w:cstheme="minorHAnsi"/>
          <w:sz w:val="24"/>
          <w:szCs w:val="24"/>
        </w:rPr>
        <w:t xml:space="preserve"> unity between efforts, continuity, accountability, and structure.  This became obvious to the ESC in 2013 when gathering and analyzing data collected for the</w:t>
      </w:r>
      <w:r w:rsidR="00FD5909" w:rsidRPr="00A047DF">
        <w:rPr>
          <w:rFonts w:cstheme="minorHAnsi"/>
          <w:sz w:val="24"/>
          <w:szCs w:val="24"/>
        </w:rPr>
        <w:t xml:space="preserve"> “</w:t>
      </w:r>
      <w:hyperlink r:id="rId9" w:history="1">
        <w:r w:rsidR="00FD5909" w:rsidRPr="00A047DF">
          <w:rPr>
            <w:rStyle w:val="Hyperlink"/>
            <w:rFonts w:eastAsia="Times New Roman" w:cstheme="minorHAnsi"/>
            <w:sz w:val="24"/>
            <w:szCs w:val="24"/>
          </w:rPr>
          <w:t>Florida Gulf Coast University Campus Land Use</w:t>
        </w:r>
      </w:hyperlink>
      <w:r w:rsidR="00C010D9" w:rsidRPr="00A047DF">
        <w:rPr>
          <w:rFonts w:cstheme="minorHAnsi"/>
          <w:sz w:val="24"/>
          <w:szCs w:val="24"/>
        </w:rPr>
        <w:t>”</w:t>
      </w:r>
      <w:r w:rsidR="00C10A72" w:rsidRPr="00A047DF">
        <w:rPr>
          <w:rFonts w:cstheme="minorHAnsi"/>
          <w:sz w:val="24"/>
          <w:szCs w:val="24"/>
        </w:rPr>
        <w:t xml:space="preserve"> report. </w:t>
      </w:r>
      <w:r w:rsidR="00C010D9" w:rsidRPr="00A047DF">
        <w:rPr>
          <w:rFonts w:cstheme="minorHAnsi"/>
          <w:sz w:val="24"/>
          <w:szCs w:val="24"/>
        </w:rPr>
        <w:t xml:space="preserve">The </w:t>
      </w:r>
      <w:r w:rsidR="001C363B" w:rsidRPr="00A047DF">
        <w:rPr>
          <w:rFonts w:cstheme="minorHAnsi"/>
          <w:sz w:val="24"/>
          <w:szCs w:val="24"/>
        </w:rPr>
        <w:t>following excerpt from the report’s introduction is worth revisiting</w:t>
      </w:r>
      <w:r w:rsidR="00C10A72" w:rsidRPr="00A047DF">
        <w:rPr>
          <w:rFonts w:cstheme="minorHAnsi"/>
          <w:sz w:val="24"/>
          <w:szCs w:val="24"/>
        </w:rPr>
        <w:t>:</w:t>
      </w:r>
    </w:p>
    <w:p w14:paraId="46408643" w14:textId="77777777" w:rsidR="00C10A72" w:rsidRPr="00A047DF" w:rsidRDefault="00C10A72" w:rsidP="00C10A72">
      <w:pPr>
        <w:spacing w:after="0"/>
        <w:textAlignment w:val="center"/>
        <w:rPr>
          <w:rFonts w:eastAsia="Times New Roman" w:cstheme="minorHAnsi"/>
          <w:color w:val="000000"/>
          <w:sz w:val="24"/>
          <w:szCs w:val="24"/>
        </w:rPr>
      </w:pPr>
    </w:p>
    <w:p w14:paraId="346B8F08" w14:textId="77777777" w:rsidR="00C10A72" w:rsidRPr="00A047DF" w:rsidRDefault="00C10A72" w:rsidP="00F128AF">
      <w:pPr>
        <w:spacing w:after="0"/>
        <w:ind w:left="720"/>
        <w:jc w:val="both"/>
        <w:textAlignment w:val="center"/>
        <w:rPr>
          <w:rFonts w:eastAsia="Times New Roman" w:cstheme="minorHAnsi"/>
          <w:color w:val="000000"/>
          <w:sz w:val="24"/>
          <w:szCs w:val="24"/>
        </w:rPr>
      </w:pPr>
      <w:r w:rsidRPr="00A047DF">
        <w:rPr>
          <w:rFonts w:eastAsia="Times New Roman" w:cstheme="minorHAnsi"/>
          <w:color w:val="000000"/>
          <w:sz w:val="24"/>
          <w:szCs w:val="24"/>
        </w:rPr>
        <w:t>Environmental sustainability is critical to our university mission, yet practices often undertaken by the university commonly proceed without proactively considering issues of sustainability in a comprehensive fashion</w:t>
      </w:r>
      <w:r w:rsidR="001C363B" w:rsidRPr="00A047DF">
        <w:rPr>
          <w:rFonts w:eastAsia="Times New Roman" w:cstheme="minorHAnsi"/>
          <w:color w:val="000000"/>
          <w:sz w:val="24"/>
          <w:szCs w:val="24"/>
        </w:rPr>
        <w:t>..</w:t>
      </w:r>
      <w:r w:rsidRPr="00A047DF">
        <w:rPr>
          <w:rFonts w:eastAsia="Times New Roman" w:cstheme="minorHAnsi"/>
          <w:color w:val="000000"/>
          <w:sz w:val="24"/>
          <w:szCs w:val="24"/>
        </w:rPr>
        <w:t>. The ESC brings together individuals with the intellect and experience to ensure our mission of environmental sustainability is honored in a shared governance manner… We recommend that the structure of the committee and its relationship with other campus constituents be redefined. We envision a c</w:t>
      </w:r>
      <w:r w:rsidR="001C363B" w:rsidRPr="00A047DF">
        <w:rPr>
          <w:rFonts w:eastAsia="Times New Roman" w:cstheme="minorHAnsi"/>
          <w:color w:val="000000"/>
          <w:sz w:val="24"/>
          <w:szCs w:val="24"/>
        </w:rPr>
        <w:t>entral office</w:t>
      </w:r>
      <w:r w:rsidRPr="00A047DF">
        <w:rPr>
          <w:rFonts w:eastAsia="Times New Roman" w:cstheme="minorHAnsi"/>
          <w:color w:val="000000"/>
          <w:sz w:val="24"/>
          <w:szCs w:val="24"/>
        </w:rPr>
        <w:t xml:space="preserve"> that houses these functions and serves as a facilitator for the institution</w:t>
      </w:r>
      <w:r w:rsidRPr="00A047DF">
        <w:rPr>
          <w:rFonts w:eastAsia="Times New Roman" w:cstheme="minorHAnsi"/>
          <w:sz w:val="24"/>
          <w:szCs w:val="24"/>
        </w:rPr>
        <w:t>.</w:t>
      </w:r>
      <w:r w:rsidR="00FD5909" w:rsidRPr="00A047DF">
        <w:rPr>
          <w:rFonts w:eastAsia="Times New Roman" w:cstheme="minorHAnsi"/>
          <w:sz w:val="24"/>
          <w:szCs w:val="24"/>
        </w:rPr>
        <w:t xml:space="preserve"> </w:t>
      </w:r>
    </w:p>
    <w:p w14:paraId="1D5B05D1" w14:textId="77777777" w:rsidR="00DC6D6D" w:rsidRPr="00A047DF" w:rsidRDefault="00DC6D6D" w:rsidP="00DC6D6D">
      <w:pPr>
        <w:spacing w:after="0"/>
        <w:ind w:left="1800"/>
        <w:jc w:val="both"/>
        <w:textAlignment w:val="center"/>
        <w:rPr>
          <w:rFonts w:eastAsia="Times New Roman" w:cstheme="minorHAnsi"/>
          <w:color w:val="000000"/>
          <w:sz w:val="24"/>
          <w:szCs w:val="24"/>
        </w:rPr>
      </w:pPr>
    </w:p>
    <w:p w14:paraId="47FAE995" w14:textId="77777777" w:rsidR="00FD5909" w:rsidRPr="00A047DF" w:rsidRDefault="001C363B" w:rsidP="008D07A8">
      <w:pPr>
        <w:textAlignment w:val="center"/>
        <w:rPr>
          <w:rFonts w:eastAsia="Times New Roman" w:cstheme="minorHAnsi"/>
          <w:color w:val="000000"/>
          <w:sz w:val="24"/>
          <w:szCs w:val="24"/>
        </w:rPr>
      </w:pPr>
      <w:r w:rsidRPr="00A047DF">
        <w:rPr>
          <w:rFonts w:eastAsia="Times New Roman" w:cstheme="minorHAnsi"/>
          <w:color w:val="000000"/>
          <w:sz w:val="24"/>
          <w:szCs w:val="24"/>
        </w:rPr>
        <w:t xml:space="preserve">The </w:t>
      </w:r>
      <w:r w:rsidR="008D07A8" w:rsidRPr="00A047DF">
        <w:rPr>
          <w:rFonts w:eastAsia="Times New Roman" w:cstheme="minorHAnsi"/>
          <w:color w:val="000000"/>
          <w:sz w:val="24"/>
          <w:szCs w:val="24"/>
        </w:rPr>
        <w:t>clearinghouse</w:t>
      </w:r>
      <w:r w:rsidRPr="00A047DF">
        <w:rPr>
          <w:rFonts w:eastAsia="Times New Roman" w:cstheme="minorHAnsi"/>
          <w:color w:val="000000"/>
          <w:sz w:val="24"/>
          <w:szCs w:val="24"/>
        </w:rPr>
        <w:t xml:space="preserve"> would</w:t>
      </w:r>
      <w:r w:rsidR="00C010D9" w:rsidRPr="00A047DF">
        <w:rPr>
          <w:rFonts w:eastAsia="Times New Roman" w:cstheme="minorHAnsi"/>
          <w:color w:val="000000"/>
          <w:sz w:val="24"/>
          <w:szCs w:val="24"/>
        </w:rPr>
        <w:t xml:space="preserve"> formalize the planning, development, </w:t>
      </w:r>
      <w:r w:rsidR="00C10A72" w:rsidRPr="00A047DF">
        <w:rPr>
          <w:rFonts w:eastAsia="Times New Roman" w:cstheme="minorHAnsi"/>
          <w:color w:val="000000"/>
          <w:sz w:val="24"/>
          <w:szCs w:val="24"/>
        </w:rPr>
        <w:t>and use of our property</w:t>
      </w:r>
      <w:r w:rsidRPr="00A047DF">
        <w:rPr>
          <w:rFonts w:eastAsia="Times New Roman" w:cstheme="minorHAnsi"/>
          <w:color w:val="000000"/>
          <w:sz w:val="24"/>
          <w:szCs w:val="24"/>
        </w:rPr>
        <w:t xml:space="preserve">, ensuring </w:t>
      </w:r>
      <w:r w:rsidR="00DC6D6D" w:rsidRPr="00A047DF">
        <w:rPr>
          <w:rFonts w:eastAsia="Times New Roman" w:cstheme="minorHAnsi"/>
          <w:color w:val="000000"/>
          <w:sz w:val="24"/>
          <w:szCs w:val="24"/>
        </w:rPr>
        <w:t>they are</w:t>
      </w:r>
      <w:r w:rsidR="00C010D9" w:rsidRPr="00A047DF">
        <w:rPr>
          <w:rFonts w:eastAsia="Times New Roman" w:cstheme="minorHAnsi"/>
          <w:color w:val="000000"/>
          <w:sz w:val="24"/>
          <w:szCs w:val="24"/>
        </w:rPr>
        <w:t xml:space="preserve"> guided by sustainable development principles</w:t>
      </w:r>
      <w:r w:rsidR="00710AF8" w:rsidRPr="00A047DF">
        <w:rPr>
          <w:rFonts w:eastAsia="Times New Roman" w:cstheme="minorHAnsi"/>
          <w:color w:val="000000"/>
          <w:sz w:val="24"/>
          <w:szCs w:val="24"/>
        </w:rPr>
        <w:t>, and</w:t>
      </w:r>
      <w:r w:rsidRPr="00A047DF">
        <w:rPr>
          <w:rFonts w:eastAsia="Times New Roman" w:cstheme="minorHAnsi"/>
          <w:color w:val="000000"/>
          <w:sz w:val="24"/>
          <w:szCs w:val="24"/>
        </w:rPr>
        <w:t xml:space="preserve"> coordinate land-use </w:t>
      </w:r>
      <w:r w:rsidR="00EB1990" w:rsidRPr="00A047DF">
        <w:rPr>
          <w:rFonts w:eastAsia="Times New Roman" w:cstheme="minorHAnsi"/>
          <w:color w:val="000000"/>
          <w:sz w:val="24"/>
          <w:szCs w:val="24"/>
        </w:rPr>
        <w:t>decisions as they relate to</w:t>
      </w:r>
      <w:r w:rsidRPr="00A047DF">
        <w:rPr>
          <w:rFonts w:eastAsia="Times New Roman" w:cstheme="minorHAnsi"/>
          <w:color w:val="000000"/>
          <w:sz w:val="24"/>
          <w:szCs w:val="24"/>
        </w:rPr>
        <w:t xml:space="preserve"> </w:t>
      </w:r>
      <w:r w:rsidR="00DC6D6D" w:rsidRPr="00A047DF">
        <w:rPr>
          <w:rFonts w:eastAsia="Times New Roman" w:cstheme="minorHAnsi"/>
          <w:color w:val="000000"/>
          <w:sz w:val="24"/>
          <w:szCs w:val="24"/>
        </w:rPr>
        <w:t xml:space="preserve"> Nature Trails, research in sensitive habitats, campus projects, landscaping, etc.</w:t>
      </w:r>
      <w:r w:rsidR="00BA35F9" w:rsidRPr="00A047DF">
        <w:rPr>
          <w:rFonts w:eastAsia="Times New Roman" w:cstheme="minorHAnsi"/>
          <w:color w:val="000000"/>
          <w:sz w:val="24"/>
          <w:szCs w:val="24"/>
        </w:rPr>
        <w:t>,</w:t>
      </w:r>
      <w:r w:rsidR="00DC6D6D" w:rsidRPr="00A047DF">
        <w:rPr>
          <w:rFonts w:eastAsia="Times New Roman" w:cstheme="minorHAnsi"/>
          <w:color w:val="000000"/>
          <w:sz w:val="24"/>
          <w:szCs w:val="24"/>
        </w:rPr>
        <w:t xml:space="preserve"> </w:t>
      </w:r>
      <w:r w:rsidR="00EB1990" w:rsidRPr="00A047DF">
        <w:rPr>
          <w:rFonts w:eastAsia="Times New Roman" w:cstheme="minorHAnsi"/>
          <w:color w:val="000000"/>
          <w:sz w:val="24"/>
          <w:szCs w:val="24"/>
        </w:rPr>
        <w:t xml:space="preserve">so that long-term management is </w:t>
      </w:r>
      <w:r w:rsidR="00DC6D6D" w:rsidRPr="00A047DF">
        <w:rPr>
          <w:rFonts w:eastAsia="Times New Roman" w:cstheme="minorHAnsi"/>
          <w:color w:val="000000"/>
          <w:sz w:val="24"/>
          <w:szCs w:val="24"/>
        </w:rPr>
        <w:t>“consistent with best practices and needs for the greater region.”</w:t>
      </w:r>
      <w:r w:rsidR="00BD6D6B" w:rsidRPr="00A047DF">
        <w:rPr>
          <w:rStyle w:val="FootnoteReference"/>
          <w:rFonts w:eastAsia="Times New Roman" w:cstheme="minorHAnsi"/>
          <w:color w:val="000000"/>
          <w:sz w:val="24"/>
          <w:szCs w:val="24"/>
        </w:rPr>
        <w:footnoteReference w:id="3"/>
      </w:r>
      <w:r w:rsidR="00DC6D6D" w:rsidRPr="00A047DF">
        <w:rPr>
          <w:rFonts w:eastAsia="Times New Roman" w:cstheme="minorHAnsi"/>
          <w:sz w:val="24"/>
          <w:szCs w:val="24"/>
        </w:rPr>
        <w:t xml:space="preserve">  </w:t>
      </w:r>
      <w:r w:rsidR="008D07A8" w:rsidRPr="00A047DF">
        <w:rPr>
          <w:rFonts w:eastAsia="Times New Roman" w:cstheme="minorHAnsi"/>
          <w:sz w:val="24"/>
          <w:szCs w:val="24"/>
        </w:rPr>
        <w:t>W</w:t>
      </w:r>
      <w:r w:rsidR="00EB1990" w:rsidRPr="00A047DF">
        <w:rPr>
          <w:rFonts w:eastAsia="Times New Roman" w:cstheme="minorHAnsi"/>
          <w:color w:val="000000"/>
          <w:sz w:val="24"/>
          <w:szCs w:val="24"/>
        </w:rPr>
        <w:t xml:space="preserve">e recommend that a </w:t>
      </w:r>
      <w:r w:rsidR="00F34664" w:rsidRPr="00A047DF">
        <w:rPr>
          <w:rFonts w:eastAsia="Times New Roman" w:cstheme="minorHAnsi"/>
          <w:color w:val="000000"/>
          <w:sz w:val="24"/>
          <w:szCs w:val="24"/>
        </w:rPr>
        <w:t xml:space="preserve">framework for integrating </w:t>
      </w:r>
      <w:r w:rsidR="006F2D64" w:rsidRPr="00A047DF">
        <w:rPr>
          <w:rFonts w:eastAsia="Times New Roman" w:cstheme="minorHAnsi"/>
          <w:color w:val="000000"/>
          <w:sz w:val="24"/>
          <w:szCs w:val="24"/>
        </w:rPr>
        <w:t>sustainability</w:t>
      </w:r>
      <w:r w:rsidR="00FD5909" w:rsidRPr="00A047DF">
        <w:rPr>
          <w:rFonts w:eastAsia="Times New Roman" w:cstheme="minorHAnsi"/>
          <w:color w:val="000000"/>
          <w:sz w:val="24"/>
          <w:szCs w:val="24"/>
        </w:rPr>
        <w:t xml:space="preserve"> into facilit</w:t>
      </w:r>
      <w:r w:rsidR="00FE7FBD" w:rsidRPr="00A047DF">
        <w:rPr>
          <w:rFonts w:eastAsia="Times New Roman" w:cstheme="minorHAnsi"/>
          <w:color w:val="000000"/>
          <w:sz w:val="24"/>
          <w:szCs w:val="24"/>
        </w:rPr>
        <w:t>y</w:t>
      </w:r>
      <w:r w:rsidR="00320534" w:rsidRPr="00A047DF">
        <w:rPr>
          <w:rFonts w:eastAsia="Times New Roman" w:cstheme="minorHAnsi"/>
          <w:color w:val="000000"/>
          <w:sz w:val="24"/>
          <w:szCs w:val="24"/>
        </w:rPr>
        <w:t xml:space="preserve"> design,</w:t>
      </w:r>
      <w:r w:rsidR="00FD5909" w:rsidRPr="00A047DF">
        <w:rPr>
          <w:rFonts w:eastAsia="Times New Roman" w:cstheme="minorHAnsi"/>
          <w:color w:val="000000"/>
          <w:sz w:val="24"/>
          <w:szCs w:val="24"/>
        </w:rPr>
        <w:t xml:space="preserve"> </w:t>
      </w:r>
      <w:r w:rsidR="003D698D" w:rsidRPr="00A047DF">
        <w:rPr>
          <w:rFonts w:eastAsia="Times New Roman" w:cstheme="minorHAnsi"/>
          <w:color w:val="000000"/>
          <w:sz w:val="24"/>
          <w:szCs w:val="24"/>
        </w:rPr>
        <w:t>land planning</w:t>
      </w:r>
      <w:r w:rsidR="00FD5909" w:rsidRPr="00A047DF">
        <w:rPr>
          <w:rFonts w:eastAsia="Times New Roman" w:cstheme="minorHAnsi"/>
          <w:color w:val="000000"/>
          <w:sz w:val="24"/>
          <w:szCs w:val="24"/>
        </w:rPr>
        <w:t xml:space="preserve">, and </w:t>
      </w:r>
      <w:r w:rsidR="006F2D64" w:rsidRPr="00A047DF">
        <w:rPr>
          <w:rFonts w:eastAsia="Times New Roman" w:cstheme="minorHAnsi"/>
          <w:color w:val="000000"/>
          <w:sz w:val="24"/>
          <w:szCs w:val="24"/>
        </w:rPr>
        <w:t xml:space="preserve">academic and </w:t>
      </w:r>
      <w:r w:rsidR="00FD5909" w:rsidRPr="00A047DF">
        <w:rPr>
          <w:rFonts w:eastAsia="Times New Roman" w:cstheme="minorHAnsi"/>
          <w:color w:val="000000"/>
          <w:sz w:val="24"/>
          <w:szCs w:val="24"/>
        </w:rPr>
        <w:t xml:space="preserve">research processes be evaluated and adapted as needed to function </w:t>
      </w:r>
      <w:r w:rsidR="00FD5909" w:rsidRPr="00A047DF">
        <w:rPr>
          <w:rFonts w:eastAsia="Times New Roman" w:cstheme="minorHAnsi"/>
          <w:color w:val="000000"/>
          <w:sz w:val="24"/>
          <w:szCs w:val="24"/>
        </w:rPr>
        <w:lastRenderedPageBreak/>
        <w:t xml:space="preserve">properly. </w:t>
      </w:r>
      <w:r w:rsidR="00710AF8" w:rsidRPr="00A047DF">
        <w:rPr>
          <w:rFonts w:eastAsia="Times New Roman" w:cstheme="minorHAnsi"/>
          <w:color w:val="000000"/>
          <w:sz w:val="24"/>
          <w:szCs w:val="24"/>
        </w:rPr>
        <w:t xml:space="preserve">We </w:t>
      </w:r>
      <w:r w:rsidR="00717BD1" w:rsidRPr="00A047DF">
        <w:rPr>
          <w:rFonts w:eastAsia="Times New Roman" w:cstheme="minorHAnsi"/>
          <w:color w:val="000000"/>
          <w:sz w:val="24"/>
          <w:szCs w:val="24"/>
        </w:rPr>
        <w:t xml:space="preserve">also </w:t>
      </w:r>
      <w:r w:rsidR="00710AF8" w:rsidRPr="00A047DF">
        <w:rPr>
          <w:rFonts w:eastAsia="Times New Roman" w:cstheme="minorHAnsi"/>
          <w:color w:val="000000"/>
          <w:sz w:val="24"/>
          <w:szCs w:val="24"/>
        </w:rPr>
        <w:t>request greater communication and coordination between university entities responsible for these areas.</w:t>
      </w:r>
    </w:p>
    <w:p w14:paraId="7FDFDDFB" w14:textId="77777777" w:rsidR="00103E0B" w:rsidRPr="00A047DF" w:rsidRDefault="00BD6D6B" w:rsidP="00BD6D6B">
      <w:pPr>
        <w:textAlignment w:val="center"/>
        <w:rPr>
          <w:rFonts w:eastAsia="Times New Roman" w:cstheme="minorHAnsi"/>
          <w:color w:val="000000"/>
          <w:sz w:val="24"/>
          <w:szCs w:val="24"/>
        </w:rPr>
      </w:pPr>
      <w:r w:rsidRPr="00A047DF">
        <w:rPr>
          <w:rFonts w:eastAsia="Times New Roman" w:cstheme="minorHAnsi"/>
          <w:color w:val="000000"/>
          <w:sz w:val="24"/>
          <w:szCs w:val="24"/>
        </w:rPr>
        <w:t>Specific strategies for institutionalize sustainability campus wide more effectively are as follows:</w:t>
      </w:r>
    </w:p>
    <w:p w14:paraId="4A53D2C1" w14:textId="77777777" w:rsidR="00103E0B" w:rsidRPr="00A047DF" w:rsidRDefault="00103E0B" w:rsidP="00103E0B">
      <w:pPr>
        <w:pStyle w:val="ListParagraph"/>
        <w:numPr>
          <w:ilvl w:val="0"/>
          <w:numId w:val="10"/>
        </w:numPr>
        <w:spacing w:line="256" w:lineRule="auto"/>
        <w:rPr>
          <w:rFonts w:asciiTheme="minorHAnsi" w:eastAsiaTheme="minorHAnsi" w:hAnsiTheme="minorHAnsi" w:cstheme="minorHAnsi"/>
        </w:rPr>
      </w:pPr>
      <w:r w:rsidRPr="00A047DF">
        <w:rPr>
          <w:rFonts w:asciiTheme="minorHAnsi" w:hAnsiTheme="minorHAnsi" w:cstheme="minorHAnsi"/>
        </w:rPr>
        <w:t>Give campus sustainability</w:t>
      </w:r>
      <w:r w:rsidRPr="00A047DF">
        <w:rPr>
          <w:rFonts w:asciiTheme="minorHAnsi" w:hAnsiTheme="minorHAnsi" w:cstheme="minorHAnsi"/>
          <w:vertAlign w:val="superscript"/>
        </w:rPr>
        <w:footnoteReference w:id="4"/>
      </w:r>
      <w:r w:rsidRPr="00A047DF">
        <w:rPr>
          <w:rFonts w:asciiTheme="minorHAnsi" w:hAnsiTheme="minorHAnsi" w:cstheme="minorHAnsi"/>
        </w:rPr>
        <w:t xml:space="preserve"> stakeholders an active role in planning, prioritization, and decision making for all new development and newly budgeted projects by:</w:t>
      </w:r>
    </w:p>
    <w:p w14:paraId="0CC91799" w14:textId="77777777" w:rsidR="00103E0B" w:rsidRPr="00A047DF" w:rsidRDefault="00103E0B" w:rsidP="00BD6D6B">
      <w:pPr>
        <w:pStyle w:val="ListParagraph"/>
        <w:numPr>
          <w:ilvl w:val="1"/>
          <w:numId w:val="20"/>
        </w:numPr>
        <w:spacing w:line="256" w:lineRule="auto"/>
        <w:rPr>
          <w:rFonts w:asciiTheme="minorHAnsi" w:hAnsiTheme="minorHAnsi" w:cstheme="minorHAnsi"/>
        </w:rPr>
      </w:pPr>
      <w:r w:rsidRPr="00A047DF">
        <w:rPr>
          <w:rFonts w:asciiTheme="minorHAnsi" w:hAnsiTheme="minorHAnsi" w:cstheme="minorHAnsi"/>
        </w:rPr>
        <w:t xml:space="preserve">Tasking someone with a broad knowledge of sustainability at FGCU to ensure that the appropriate sustainability expert(s) sit on every steering committee. </w:t>
      </w:r>
    </w:p>
    <w:p w14:paraId="199B0820" w14:textId="77777777" w:rsidR="00103E0B" w:rsidRPr="00A047DF" w:rsidRDefault="00103E0B" w:rsidP="00BD6D6B">
      <w:pPr>
        <w:pStyle w:val="ListParagraph"/>
        <w:numPr>
          <w:ilvl w:val="1"/>
          <w:numId w:val="20"/>
        </w:numPr>
        <w:spacing w:line="256" w:lineRule="auto"/>
        <w:rPr>
          <w:rFonts w:asciiTheme="minorHAnsi" w:hAnsiTheme="minorHAnsi" w:cstheme="minorHAnsi"/>
        </w:rPr>
      </w:pPr>
      <w:r w:rsidRPr="00A047DF">
        <w:rPr>
          <w:rFonts w:asciiTheme="minorHAnsi" w:hAnsiTheme="minorHAnsi" w:cstheme="minorHAnsi"/>
        </w:rPr>
        <w:t>Announcing steering committee members so that campus constituents can easily connect with their representatives, and reminding representatives to report back to their constituents at regular intervals.</w:t>
      </w:r>
    </w:p>
    <w:p w14:paraId="6B93684C" w14:textId="46550FC0" w:rsidR="00103E0B" w:rsidRPr="00A047DF" w:rsidRDefault="00103E0B" w:rsidP="00103E0B">
      <w:pPr>
        <w:pStyle w:val="ListParagraph"/>
        <w:numPr>
          <w:ilvl w:val="0"/>
          <w:numId w:val="10"/>
        </w:numPr>
        <w:spacing w:after="160" w:line="256" w:lineRule="auto"/>
        <w:rPr>
          <w:rFonts w:asciiTheme="minorHAnsi" w:hAnsiTheme="minorHAnsi" w:cstheme="minorHAnsi"/>
        </w:rPr>
      </w:pPr>
      <w:r w:rsidRPr="00A047DF">
        <w:rPr>
          <w:rFonts w:asciiTheme="minorHAnsi" w:hAnsiTheme="minorHAnsi" w:cstheme="minorHAnsi"/>
        </w:rPr>
        <w:t>Reinstitute quarterly meetings between the ESC and the President as there was with E</w:t>
      </w:r>
      <w:r w:rsidR="00B4445B">
        <w:rPr>
          <w:rFonts w:asciiTheme="minorHAnsi" w:hAnsiTheme="minorHAnsi" w:cstheme="minorHAnsi"/>
        </w:rPr>
        <w:t xml:space="preserve">nvironmental </w:t>
      </w:r>
      <w:r w:rsidR="00B4445B" w:rsidRPr="00A047DF">
        <w:rPr>
          <w:rFonts w:asciiTheme="minorHAnsi" w:hAnsiTheme="minorHAnsi" w:cstheme="minorHAnsi"/>
        </w:rPr>
        <w:t>S</w:t>
      </w:r>
      <w:r w:rsidR="00B4445B">
        <w:rPr>
          <w:rFonts w:asciiTheme="minorHAnsi" w:hAnsiTheme="minorHAnsi" w:cstheme="minorHAnsi"/>
        </w:rPr>
        <w:t xml:space="preserve">ustainability </w:t>
      </w:r>
      <w:r w:rsidRPr="00A047DF">
        <w:rPr>
          <w:rFonts w:asciiTheme="minorHAnsi" w:hAnsiTheme="minorHAnsi" w:cstheme="minorHAnsi"/>
        </w:rPr>
        <w:t>A</w:t>
      </w:r>
      <w:r w:rsidR="00B4445B">
        <w:rPr>
          <w:rFonts w:asciiTheme="minorHAnsi" w:hAnsiTheme="minorHAnsi" w:cstheme="minorHAnsi"/>
        </w:rPr>
        <w:t xml:space="preserve">dvisory </w:t>
      </w:r>
      <w:r w:rsidRPr="00A047DF">
        <w:rPr>
          <w:rFonts w:asciiTheme="minorHAnsi" w:hAnsiTheme="minorHAnsi" w:cstheme="minorHAnsi"/>
        </w:rPr>
        <w:t>C</w:t>
      </w:r>
      <w:r w:rsidR="00B4445B">
        <w:rPr>
          <w:rFonts w:asciiTheme="minorHAnsi" w:hAnsiTheme="minorHAnsi" w:cstheme="minorHAnsi"/>
        </w:rPr>
        <w:t>ouncil (ESAC)</w:t>
      </w:r>
      <w:r w:rsidRPr="00A047DF">
        <w:rPr>
          <w:rFonts w:asciiTheme="minorHAnsi" w:hAnsiTheme="minorHAnsi" w:cstheme="minorHAnsi"/>
        </w:rPr>
        <w:t>.</w:t>
      </w:r>
    </w:p>
    <w:p w14:paraId="1115200D" w14:textId="77777777" w:rsidR="00103E0B" w:rsidRPr="00A047DF" w:rsidRDefault="00103E0B" w:rsidP="00103E0B">
      <w:pPr>
        <w:pStyle w:val="ListParagraph"/>
        <w:numPr>
          <w:ilvl w:val="0"/>
          <w:numId w:val="10"/>
        </w:numPr>
        <w:spacing w:line="256" w:lineRule="auto"/>
        <w:rPr>
          <w:rFonts w:asciiTheme="minorHAnsi" w:hAnsiTheme="minorHAnsi" w:cstheme="minorHAnsi"/>
        </w:rPr>
      </w:pPr>
      <w:r w:rsidRPr="00A047DF">
        <w:rPr>
          <w:rFonts w:asciiTheme="minorHAnsi" w:hAnsiTheme="minorHAnsi" w:cstheme="minorHAnsi"/>
        </w:rPr>
        <w:t>Task a person or department to bridge op</w:t>
      </w:r>
      <w:bookmarkStart w:id="0" w:name="_GoBack"/>
      <w:bookmarkEnd w:id="0"/>
      <w:r w:rsidRPr="00A047DF">
        <w:rPr>
          <w:rFonts w:asciiTheme="minorHAnsi" w:hAnsiTheme="minorHAnsi" w:cstheme="minorHAnsi"/>
        </w:rPr>
        <w:t xml:space="preserve">erational and curricular activities, provide ongoing guidance, and coordinate inter-divisional dialogue between General Counsel, Advancement, Financing Corporation, Student Affairs, Academic Affairs, and Administrative Services &amp; Finance.  This person or department would help each division in successfully integrating sustainability by spearheading tasks such as: </w:t>
      </w:r>
    </w:p>
    <w:p w14:paraId="727B50B0"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 xml:space="preserve">Writing sustainability into the job descriptions and functions of appropriate employee(s) and/or teams. Maintaining a master list of all employees with sustainability job functions to aid in project coordination and ongoing professional development. </w:t>
      </w:r>
    </w:p>
    <w:p w14:paraId="7FD35217"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 xml:space="preserve">Offering optional sustainability training as a part of the new employee on-boarding process through HR and managing a voluntary Green Office Certification program. </w:t>
      </w:r>
    </w:p>
    <w:p w14:paraId="69013AC2"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lastRenderedPageBreak/>
        <w:t>Coordinate efforts to increase curricular offerings, research, and scholarship in sustainability.</w:t>
      </w:r>
    </w:p>
    <w:p w14:paraId="6F380ECC"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Identifying areas of critical need in which hiring new sustainability staff members is recommended such as, but not limited to, a Transportation Demand Manager or Coordinator in Parking Services as suggested in the 2015-20 Campus Master Plan. Providing guidance and assisting in candidate search and selection of these employees.</w:t>
      </w:r>
    </w:p>
    <w:p w14:paraId="549C9EA5"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Providing ongoing opportunities for members of the campus community to understand and become involved with campus master planning, strategic planning, and shared governance processes so that they are prepared to be engaged, environmentally conscious citizens.</w:t>
      </w:r>
    </w:p>
    <w:p w14:paraId="177F0792"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 xml:space="preserve">Maintaining a database of ongoing sustainability projects and performance benchmarks to ensure accountability and communicate progress both internally and externally. </w:t>
      </w:r>
    </w:p>
    <w:p w14:paraId="7F522787" w14:textId="77777777" w:rsidR="00103E0B" w:rsidRPr="00A047DF" w:rsidRDefault="00103E0B" w:rsidP="00BD6D6B">
      <w:pPr>
        <w:pStyle w:val="ListParagraph"/>
        <w:numPr>
          <w:ilvl w:val="1"/>
          <w:numId w:val="21"/>
        </w:numPr>
        <w:spacing w:line="256" w:lineRule="auto"/>
        <w:rPr>
          <w:rFonts w:asciiTheme="minorHAnsi" w:hAnsiTheme="minorHAnsi" w:cstheme="minorHAnsi"/>
        </w:rPr>
      </w:pPr>
      <w:r w:rsidRPr="00A047DF">
        <w:rPr>
          <w:rFonts w:asciiTheme="minorHAnsi" w:hAnsiTheme="minorHAnsi" w:cstheme="minorHAnsi"/>
        </w:rPr>
        <w:t xml:space="preserve">Regularly updating the ESC and other committees on progress and seek advice when needed. </w:t>
      </w:r>
    </w:p>
    <w:p w14:paraId="0DC36ECA" w14:textId="77777777" w:rsidR="00FD5909" w:rsidRPr="00A047DF" w:rsidRDefault="00FD5909" w:rsidP="00FD5909">
      <w:pPr>
        <w:pStyle w:val="ListParagraph"/>
        <w:ind w:left="1440"/>
        <w:textAlignment w:val="center"/>
        <w:rPr>
          <w:rFonts w:asciiTheme="minorHAnsi" w:eastAsia="Times New Roman" w:hAnsiTheme="minorHAnsi" w:cstheme="minorHAnsi"/>
          <w:color w:val="000000"/>
        </w:rPr>
      </w:pPr>
    </w:p>
    <w:p w14:paraId="1D7E01E5" w14:textId="77777777" w:rsidR="00BC4873" w:rsidRPr="00A047DF" w:rsidRDefault="00A047DF" w:rsidP="00A047DF">
      <w:pPr>
        <w:rPr>
          <w:rFonts w:eastAsia="Times New Roman" w:cstheme="minorHAnsi"/>
          <w:b/>
          <w:sz w:val="28"/>
          <w:szCs w:val="28"/>
        </w:rPr>
      </w:pPr>
      <w:r w:rsidRPr="00A047DF">
        <w:rPr>
          <w:rFonts w:eastAsia="Times New Roman" w:cstheme="minorHAnsi"/>
          <w:b/>
          <w:sz w:val="28"/>
          <w:szCs w:val="28"/>
        </w:rPr>
        <w:t xml:space="preserve">2. </w:t>
      </w:r>
      <w:r w:rsidR="00243AD1" w:rsidRPr="00A047DF">
        <w:rPr>
          <w:rFonts w:eastAsia="Times New Roman" w:cstheme="minorHAnsi"/>
          <w:b/>
          <w:sz w:val="28"/>
          <w:szCs w:val="28"/>
          <w:u w:val="single"/>
        </w:rPr>
        <w:t>Identify</w:t>
      </w:r>
      <w:r w:rsidR="008D07A8" w:rsidRPr="00A047DF">
        <w:rPr>
          <w:rFonts w:eastAsia="Times New Roman" w:cstheme="minorHAnsi"/>
          <w:b/>
          <w:sz w:val="28"/>
          <w:szCs w:val="28"/>
          <w:u w:val="single"/>
        </w:rPr>
        <w:t>, document, and recognize</w:t>
      </w:r>
      <w:r w:rsidR="00243AD1" w:rsidRPr="00A047DF">
        <w:rPr>
          <w:rFonts w:eastAsia="Times New Roman" w:cstheme="minorHAnsi"/>
          <w:b/>
          <w:sz w:val="28"/>
          <w:szCs w:val="28"/>
          <w:u w:val="single"/>
        </w:rPr>
        <w:t xml:space="preserve"> all courses with a </w:t>
      </w:r>
      <w:r w:rsidR="00722D6D" w:rsidRPr="00A047DF">
        <w:rPr>
          <w:rFonts w:eastAsia="Times New Roman" w:cstheme="minorHAnsi"/>
          <w:b/>
          <w:sz w:val="28"/>
          <w:szCs w:val="28"/>
          <w:u w:val="single"/>
        </w:rPr>
        <w:t>sustainability</w:t>
      </w:r>
      <w:r w:rsidR="00243AD1" w:rsidRPr="00A047DF">
        <w:rPr>
          <w:rFonts w:eastAsia="Times New Roman" w:cstheme="minorHAnsi"/>
          <w:b/>
          <w:sz w:val="28"/>
          <w:szCs w:val="28"/>
          <w:u w:val="single"/>
        </w:rPr>
        <w:t xml:space="preserve"> focus or with </w:t>
      </w:r>
      <w:r w:rsidR="00722D6D" w:rsidRPr="00A047DF">
        <w:rPr>
          <w:rFonts w:eastAsia="Times New Roman" w:cstheme="minorHAnsi"/>
          <w:b/>
          <w:sz w:val="28"/>
          <w:szCs w:val="28"/>
          <w:u w:val="single"/>
        </w:rPr>
        <w:t>sustainability</w:t>
      </w:r>
      <w:r w:rsidR="00243AD1" w:rsidRPr="00A047DF">
        <w:rPr>
          <w:rFonts w:eastAsia="Times New Roman" w:cstheme="minorHAnsi"/>
          <w:b/>
          <w:sz w:val="28"/>
          <w:szCs w:val="28"/>
          <w:u w:val="single"/>
        </w:rPr>
        <w:t xml:space="preserve"> content through the same framework use</w:t>
      </w:r>
      <w:r w:rsidR="00EF11B1" w:rsidRPr="00A047DF">
        <w:rPr>
          <w:rFonts w:eastAsia="Times New Roman" w:cstheme="minorHAnsi"/>
          <w:b/>
          <w:sz w:val="28"/>
          <w:szCs w:val="28"/>
          <w:u w:val="single"/>
        </w:rPr>
        <w:t>d</w:t>
      </w:r>
      <w:r w:rsidR="00243AD1" w:rsidRPr="00A047DF">
        <w:rPr>
          <w:rFonts w:eastAsia="Times New Roman" w:cstheme="minorHAnsi"/>
          <w:b/>
          <w:sz w:val="28"/>
          <w:szCs w:val="28"/>
          <w:u w:val="single"/>
        </w:rPr>
        <w:t xml:space="preserve"> to identify </w:t>
      </w:r>
      <w:r w:rsidR="00D6099C" w:rsidRPr="00A047DF">
        <w:rPr>
          <w:rFonts w:eastAsia="Times New Roman" w:cstheme="minorHAnsi"/>
          <w:b/>
          <w:sz w:val="28"/>
          <w:szCs w:val="28"/>
          <w:u w:val="single"/>
        </w:rPr>
        <w:t>course attributes</w:t>
      </w:r>
      <w:r w:rsidR="000D369B" w:rsidRPr="00A047DF">
        <w:rPr>
          <w:rFonts w:eastAsia="Times New Roman" w:cstheme="minorHAnsi"/>
          <w:b/>
          <w:sz w:val="28"/>
          <w:szCs w:val="28"/>
          <w:u w:val="single"/>
        </w:rPr>
        <w:t>.</w:t>
      </w:r>
      <w:r w:rsidR="002C7C0A" w:rsidRPr="00A047DF">
        <w:rPr>
          <w:rFonts w:eastAsia="Times New Roman" w:cstheme="minorHAnsi"/>
          <w:b/>
          <w:sz w:val="28"/>
          <w:szCs w:val="28"/>
        </w:rPr>
        <w:t xml:space="preserve">  </w:t>
      </w:r>
    </w:p>
    <w:p w14:paraId="061B5EC0" w14:textId="77777777" w:rsidR="00803657" w:rsidRPr="00A047DF" w:rsidRDefault="00803657" w:rsidP="00803657">
      <w:pPr>
        <w:spacing w:after="0" w:line="240" w:lineRule="auto"/>
        <w:ind w:left="1440"/>
        <w:textAlignment w:val="center"/>
        <w:rPr>
          <w:rFonts w:eastAsia="Times New Roman" w:cstheme="minorHAnsi"/>
          <w:color w:val="000000"/>
          <w:sz w:val="24"/>
          <w:szCs w:val="24"/>
        </w:rPr>
      </w:pPr>
    </w:p>
    <w:p w14:paraId="630E93D6" w14:textId="77777777" w:rsidR="00A26FF7" w:rsidRPr="00A047DF" w:rsidRDefault="00A047DF" w:rsidP="00A047DF">
      <w:pPr>
        <w:textAlignment w:val="center"/>
        <w:rPr>
          <w:rFonts w:eastAsia="Times New Roman" w:cstheme="minorHAnsi"/>
          <w:b/>
          <w:color w:val="000000"/>
          <w:sz w:val="28"/>
          <w:szCs w:val="28"/>
        </w:rPr>
      </w:pPr>
      <w:r w:rsidRPr="00A047DF">
        <w:rPr>
          <w:rFonts w:eastAsia="Times New Roman" w:cstheme="minorHAnsi"/>
          <w:b/>
          <w:color w:val="000000"/>
          <w:sz w:val="28"/>
          <w:szCs w:val="28"/>
        </w:rPr>
        <w:t xml:space="preserve">3. </w:t>
      </w:r>
      <w:r w:rsidR="00803657" w:rsidRPr="00A047DF">
        <w:rPr>
          <w:rFonts w:eastAsia="Times New Roman" w:cstheme="minorHAnsi"/>
          <w:b/>
          <w:color w:val="000000"/>
          <w:sz w:val="28"/>
          <w:szCs w:val="28"/>
          <w:u w:val="single"/>
        </w:rPr>
        <w:t xml:space="preserve">For all disciplines, identify by Department the research related to </w:t>
      </w:r>
      <w:r w:rsidR="003F5D0E" w:rsidRPr="00A047DF">
        <w:rPr>
          <w:rFonts w:eastAsia="Times New Roman" w:cstheme="minorHAnsi"/>
          <w:b/>
          <w:color w:val="000000"/>
          <w:sz w:val="28"/>
          <w:szCs w:val="28"/>
          <w:u w:val="single"/>
        </w:rPr>
        <w:t>sustainability occurring at FGCU.</w:t>
      </w:r>
    </w:p>
    <w:p w14:paraId="414A5966" w14:textId="77777777" w:rsidR="00803657" w:rsidRPr="00A047DF" w:rsidRDefault="00803657" w:rsidP="00FD5909">
      <w:pPr>
        <w:spacing w:after="0" w:line="240" w:lineRule="auto"/>
        <w:textAlignment w:val="center"/>
        <w:rPr>
          <w:rFonts w:eastAsia="Times New Roman" w:cstheme="minorHAnsi"/>
          <w:color w:val="000000"/>
          <w:sz w:val="24"/>
          <w:szCs w:val="24"/>
        </w:rPr>
      </w:pPr>
    </w:p>
    <w:p w14:paraId="5C548408" w14:textId="77777777" w:rsidR="00803657" w:rsidRPr="00A047DF" w:rsidRDefault="00A047DF" w:rsidP="00A047DF">
      <w:pPr>
        <w:textAlignment w:val="center"/>
        <w:rPr>
          <w:rFonts w:eastAsia="Times New Roman" w:cstheme="minorHAnsi"/>
          <w:b/>
          <w:color w:val="000000"/>
          <w:sz w:val="28"/>
          <w:szCs w:val="28"/>
          <w:u w:val="single"/>
        </w:rPr>
      </w:pPr>
      <w:r w:rsidRPr="00A047DF">
        <w:rPr>
          <w:rFonts w:eastAsia="Times New Roman" w:cstheme="minorHAnsi"/>
          <w:b/>
          <w:color w:val="000000"/>
          <w:sz w:val="28"/>
          <w:szCs w:val="28"/>
        </w:rPr>
        <w:t xml:space="preserve">4. </w:t>
      </w:r>
      <w:r w:rsidR="00803657" w:rsidRPr="00A047DF">
        <w:rPr>
          <w:rFonts w:eastAsia="Times New Roman" w:cstheme="minorHAnsi"/>
          <w:b/>
          <w:color w:val="000000"/>
          <w:sz w:val="28"/>
          <w:szCs w:val="28"/>
          <w:u w:val="single"/>
        </w:rPr>
        <w:t>Establish a Green Revolving Fund (GRF).</w:t>
      </w:r>
    </w:p>
    <w:p w14:paraId="315A08EA" w14:textId="77777777" w:rsidR="00A047DF" w:rsidRPr="00A047DF" w:rsidRDefault="00B00486" w:rsidP="00A047DF">
      <w:pPr>
        <w:pStyle w:val="ListParagraph"/>
        <w:numPr>
          <w:ilvl w:val="0"/>
          <w:numId w:val="22"/>
        </w:numPr>
        <w:textAlignment w:val="center"/>
        <w:rPr>
          <w:rFonts w:asciiTheme="minorHAnsi" w:eastAsia="Times New Roman" w:hAnsiTheme="minorHAnsi" w:cstheme="minorHAnsi"/>
          <w:color w:val="000000"/>
        </w:rPr>
      </w:pPr>
      <w:r w:rsidRPr="00A047DF">
        <w:rPr>
          <w:rFonts w:asciiTheme="minorHAnsi" w:eastAsia="Times New Roman" w:hAnsiTheme="minorHAnsi" w:cstheme="minorHAnsi"/>
          <w:color w:val="000000"/>
        </w:rPr>
        <w:t xml:space="preserve">A Green Revolving Fund is a type of internal financing mechanism that helps organizations generate cost-savings and greenhouse gas emission reductions through sustainability projects.  Savings generated from energy efficiencies, renewable energy, and other types of projects are tracked and reinvested into the fund so that it is continually replenished, steadily growing, and available for </w:t>
      </w:r>
      <w:r w:rsidRPr="00A047DF">
        <w:rPr>
          <w:rFonts w:asciiTheme="minorHAnsi" w:eastAsia="Times New Roman" w:hAnsiTheme="minorHAnsi" w:cstheme="minorHAnsi"/>
          <w:color w:val="000000"/>
        </w:rPr>
        <w:lastRenderedPageBreak/>
        <w:t>future sustainab</w:t>
      </w:r>
      <w:r w:rsidR="00EF11B1" w:rsidRPr="00A047DF">
        <w:rPr>
          <w:rFonts w:asciiTheme="minorHAnsi" w:eastAsia="Times New Roman" w:hAnsiTheme="minorHAnsi" w:cstheme="minorHAnsi"/>
          <w:color w:val="000000"/>
        </w:rPr>
        <w:t>ilit</w:t>
      </w:r>
      <w:r w:rsidRPr="00A047DF">
        <w:rPr>
          <w:rFonts w:asciiTheme="minorHAnsi" w:eastAsia="Times New Roman" w:hAnsiTheme="minorHAnsi" w:cstheme="minorHAnsi"/>
          <w:color w:val="000000"/>
        </w:rPr>
        <w:t xml:space="preserve">y projects.   </w:t>
      </w:r>
      <w:r w:rsidR="00803657" w:rsidRPr="00A047DF">
        <w:rPr>
          <w:rFonts w:asciiTheme="minorHAnsi" w:eastAsia="Times New Roman" w:hAnsiTheme="minorHAnsi" w:cstheme="minorHAnsi"/>
          <w:color w:val="000000"/>
        </w:rPr>
        <w:t xml:space="preserve">As the May 2015 feature article in the National Association of College and University Business Officers (NACUBO) monthly </w:t>
      </w:r>
      <w:r w:rsidR="00803657" w:rsidRPr="00A047DF">
        <w:rPr>
          <w:rFonts w:asciiTheme="minorHAnsi" w:eastAsia="Times New Roman" w:hAnsiTheme="minorHAnsi" w:cstheme="minorHAnsi"/>
          <w:i/>
          <w:color w:val="000000"/>
        </w:rPr>
        <w:t>Business Officer</w:t>
      </w:r>
      <w:r w:rsidR="00803657" w:rsidRPr="00A047DF">
        <w:rPr>
          <w:rFonts w:asciiTheme="minorHAnsi" w:eastAsia="Times New Roman" w:hAnsiTheme="minorHAnsi" w:cstheme="minorHAnsi"/>
          <w:color w:val="000000"/>
        </w:rPr>
        <w:t xml:space="preserve"> magazine highlights, universities, colleges, and private businesses around the world are recognizing the need to have a dedicated, committed funding source to maintain the continuity of their sustainability initiatives. The result allows organizations to realize environmental and educational missions while saving money, and earning recognition for innovation and leadership.</w:t>
      </w:r>
      <w:r w:rsidR="0087733C">
        <w:rPr>
          <w:rStyle w:val="FootnoteReference"/>
          <w:rFonts w:asciiTheme="minorHAnsi" w:eastAsia="Times New Roman" w:hAnsiTheme="minorHAnsi" w:cstheme="minorHAnsi"/>
          <w:color w:val="000000"/>
        </w:rPr>
        <w:footnoteReference w:id="5"/>
      </w:r>
      <w:r w:rsidR="00803657" w:rsidRPr="00A047DF">
        <w:rPr>
          <w:rFonts w:asciiTheme="minorHAnsi" w:eastAsia="Times New Roman" w:hAnsiTheme="minorHAnsi" w:cstheme="minorHAnsi"/>
          <w:color w:val="000000"/>
        </w:rPr>
        <w:t xml:space="preserve"> The Physical Plant and Office of Housing &amp; Residence Life are already using their operating budget</w:t>
      </w:r>
      <w:r w:rsidR="00893627" w:rsidRPr="00A047DF">
        <w:rPr>
          <w:rFonts w:asciiTheme="minorHAnsi" w:eastAsia="Times New Roman" w:hAnsiTheme="minorHAnsi" w:cstheme="minorHAnsi"/>
          <w:color w:val="000000"/>
        </w:rPr>
        <w:t>s</w:t>
      </w:r>
      <w:r w:rsidR="00803657" w:rsidRPr="00A047DF">
        <w:rPr>
          <w:rFonts w:asciiTheme="minorHAnsi" w:eastAsia="Times New Roman" w:hAnsiTheme="minorHAnsi" w:cstheme="minorHAnsi"/>
          <w:color w:val="000000"/>
        </w:rPr>
        <w:t xml:space="preserve"> to invest in many energy efficiency projects.  However, t</w:t>
      </w:r>
      <w:r w:rsidR="00803657" w:rsidRPr="00A047DF">
        <w:rPr>
          <w:rFonts w:asciiTheme="minorHAnsi" w:eastAsia="Times New Roman" w:hAnsiTheme="minorHAnsi" w:cstheme="minorHAnsi"/>
          <w:bCs/>
          <w:color w:val="000000"/>
        </w:rPr>
        <w:t xml:space="preserve">hrough ongoing energy auditing and monitoring, we are aware of additional projects that, despite demonstrating a relatively fast payback period and high return on investment, would require supplementary funding outside of the current operating budgets.  A </w:t>
      </w:r>
      <w:r w:rsidR="00803657" w:rsidRPr="00A047DF">
        <w:rPr>
          <w:rFonts w:asciiTheme="minorHAnsi" w:eastAsia="Times New Roman" w:hAnsiTheme="minorHAnsi" w:cstheme="minorHAnsi"/>
          <w:color w:val="000000"/>
        </w:rPr>
        <w:t>GRF would facilitate the continual improvement of our campus by creating a mechanism th</w:t>
      </w:r>
      <w:r w:rsidR="00893627" w:rsidRPr="00A047DF">
        <w:rPr>
          <w:rFonts w:asciiTheme="minorHAnsi" w:eastAsia="Times New Roman" w:hAnsiTheme="minorHAnsi" w:cstheme="minorHAnsi"/>
          <w:color w:val="000000"/>
        </w:rPr>
        <w:t>r</w:t>
      </w:r>
      <w:r w:rsidR="00803657" w:rsidRPr="00A047DF">
        <w:rPr>
          <w:rFonts w:asciiTheme="minorHAnsi" w:eastAsia="Times New Roman" w:hAnsiTheme="minorHAnsi" w:cstheme="minorHAnsi"/>
          <w:color w:val="000000"/>
        </w:rPr>
        <w:t xml:space="preserve">ough which these projects could be realized and students could become more involved in these projects.  </w:t>
      </w:r>
    </w:p>
    <w:p w14:paraId="6614C2F6" w14:textId="77777777" w:rsidR="00803657" w:rsidRPr="00A047DF" w:rsidRDefault="00803657" w:rsidP="00A047DF">
      <w:pPr>
        <w:pStyle w:val="ListParagraph"/>
        <w:numPr>
          <w:ilvl w:val="0"/>
          <w:numId w:val="22"/>
        </w:numPr>
        <w:textAlignment w:val="center"/>
        <w:rPr>
          <w:rFonts w:eastAsia="Times New Roman" w:cstheme="minorHAnsi"/>
          <w:color w:val="000000"/>
        </w:rPr>
      </w:pPr>
      <w:r w:rsidRPr="00A047DF">
        <w:rPr>
          <w:rFonts w:asciiTheme="minorHAnsi" w:hAnsiTheme="minorHAnsi" w:cstheme="minorHAnsi"/>
          <w:bCs/>
          <w:color w:val="000000"/>
        </w:rPr>
        <w:t>A GRF would institutionalize our approach to carbon emission reductions and help us save money.  It would also assist us in taking on a leadership</w:t>
      </w:r>
      <w:r w:rsidR="00A87D43">
        <w:rPr>
          <w:rFonts w:asciiTheme="minorHAnsi" w:hAnsiTheme="minorHAnsi" w:cstheme="minorHAnsi"/>
          <w:bCs/>
          <w:color w:val="000000"/>
        </w:rPr>
        <w:t xml:space="preserve"> role</w:t>
      </w:r>
      <w:r w:rsidRPr="00A047DF">
        <w:rPr>
          <w:rFonts w:asciiTheme="minorHAnsi" w:hAnsiTheme="minorHAnsi" w:cstheme="minorHAnsi"/>
          <w:bCs/>
          <w:color w:val="000000"/>
        </w:rPr>
        <w:t xml:space="preserve"> in the arena of sustainability, enabling us to better fulfill our niche as </w:t>
      </w:r>
      <w:r w:rsidR="00EF11B1" w:rsidRPr="00A047DF">
        <w:rPr>
          <w:rFonts w:asciiTheme="minorHAnsi" w:hAnsiTheme="minorHAnsi" w:cstheme="minorHAnsi"/>
          <w:bCs/>
          <w:color w:val="000000"/>
        </w:rPr>
        <w:t xml:space="preserve">a </w:t>
      </w:r>
      <w:r w:rsidRPr="00A047DF">
        <w:rPr>
          <w:rFonts w:asciiTheme="minorHAnsi" w:hAnsiTheme="minorHAnsi" w:cstheme="minorHAnsi"/>
          <w:bCs/>
          <w:color w:val="000000"/>
        </w:rPr>
        <w:t xml:space="preserve">top-rated institution for environmental and sustainability education.  </w:t>
      </w:r>
    </w:p>
    <w:p w14:paraId="45883BEC" w14:textId="77777777" w:rsidR="00103E0B" w:rsidRPr="00A047DF" w:rsidRDefault="00103E0B" w:rsidP="00103E0B">
      <w:pPr>
        <w:pStyle w:val="NormalWeb"/>
        <w:numPr>
          <w:ilvl w:val="0"/>
          <w:numId w:val="22"/>
        </w:numPr>
        <w:shd w:val="clear" w:color="auto" w:fill="FFFFFF"/>
        <w:rPr>
          <w:rFonts w:asciiTheme="minorHAnsi" w:hAnsiTheme="minorHAnsi" w:cstheme="minorHAnsi"/>
          <w:color w:val="000000"/>
        </w:rPr>
      </w:pPr>
      <w:r w:rsidRPr="00A047DF">
        <w:rPr>
          <w:rFonts w:asciiTheme="minorHAnsi" w:hAnsiTheme="minorHAnsi" w:cstheme="minorHAnsi"/>
          <w:color w:val="000000"/>
        </w:rPr>
        <w:t xml:space="preserve">We envision a self-sustaining Green Revolving Fund of $1 million to be achieved within 7 years.   The fund will provide capital for sustainability projects and will use the realized savings to replenish and grow the fund in perpetuity. We recommend seeding the fund as follows: </w:t>
      </w:r>
    </w:p>
    <w:p w14:paraId="166F9D6F" w14:textId="77777777" w:rsidR="00103E0B" w:rsidRPr="00A047DF" w:rsidRDefault="00103E0B" w:rsidP="00A047DF">
      <w:pPr>
        <w:pStyle w:val="NormalWeb"/>
        <w:shd w:val="clear" w:color="auto" w:fill="FFFFFF"/>
        <w:spacing w:before="0" w:beforeAutospacing="0" w:after="0" w:afterAutospacing="0"/>
        <w:ind w:left="720"/>
        <w:rPr>
          <w:rFonts w:asciiTheme="minorHAnsi" w:hAnsiTheme="minorHAnsi" w:cstheme="minorHAnsi"/>
          <w:color w:val="000000"/>
        </w:rPr>
      </w:pPr>
      <w:r w:rsidRPr="00A047DF">
        <w:rPr>
          <w:rFonts w:asciiTheme="minorHAnsi" w:hAnsiTheme="minorHAnsi" w:cstheme="minorHAnsi"/>
          <w:b/>
          <w:bCs/>
          <w:color w:val="000000"/>
        </w:rPr>
        <w:t>Year 1</w:t>
      </w:r>
      <w:r w:rsidRPr="00A047DF">
        <w:rPr>
          <w:rFonts w:asciiTheme="minorHAnsi" w:hAnsiTheme="minorHAnsi" w:cstheme="minorHAnsi"/>
          <w:color w:val="000000"/>
        </w:rPr>
        <w:t xml:space="preserve"> </w:t>
      </w:r>
    </w:p>
    <w:p w14:paraId="52F776DA" w14:textId="77777777" w:rsidR="00103E0B" w:rsidRPr="00A047DF" w:rsidRDefault="00103E0B" w:rsidP="00103E0B">
      <w:pPr>
        <w:pStyle w:val="NormalWeb"/>
        <w:numPr>
          <w:ilvl w:val="1"/>
          <w:numId w:val="11"/>
        </w:numPr>
        <w:shd w:val="clear" w:color="auto" w:fill="FFFFFF"/>
        <w:spacing w:before="0" w:beforeAutospacing="0" w:after="0" w:afterAutospacing="0"/>
        <w:rPr>
          <w:rFonts w:asciiTheme="minorHAnsi" w:hAnsiTheme="minorHAnsi" w:cstheme="minorHAnsi"/>
          <w:color w:val="000000"/>
        </w:rPr>
      </w:pPr>
      <w:r w:rsidRPr="00A047DF">
        <w:rPr>
          <w:rFonts w:asciiTheme="minorHAnsi" w:eastAsia="Times New Roman" w:hAnsiTheme="minorHAnsi" w:cstheme="minorHAnsi"/>
          <w:color w:val="000000"/>
        </w:rPr>
        <w:t xml:space="preserve">$300,000 in seed money for shovel-ready projects that have been identified through the energy audits completed during the Spring 2015 semester and to continue the </w:t>
      </w:r>
      <w:r w:rsidRPr="00A047DF">
        <w:rPr>
          <w:rFonts w:asciiTheme="minorHAnsi" w:eastAsia="Times New Roman" w:hAnsiTheme="minorHAnsi" w:cstheme="minorHAnsi"/>
          <w:color w:val="000000"/>
        </w:rPr>
        <w:lastRenderedPageBreak/>
        <w:t xml:space="preserve">benchmarking and auditing process needed to identify future projects and savings. Please see examples of shovel-ready projects on the following page or </w:t>
      </w:r>
      <w:hyperlink r:id="rId10" w:history="1">
        <w:r w:rsidRPr="00A047DF">
          <w:rPr>
            <w:rStyle w:val="Hyperlink"/>
            <w:rFonts w:asciiTheme="minorHAnsi" w:eastAsia="Times New Roman" w:hAnsiTheme="minorHAnsi" w:cstheme="minorHAnsi"/>
          </w:rPr>
          <w:t>view the full report online</w:t>
        </w:r>
      </w:hyperlink>
      <w:r w:rsidRPr="00A047DF">
        <w:rPr>
          <w:rStyle w:val="FootnoteReference"/>
          <w:rFonts w:asciiTheme="minorHAnsi" w:eastAsia="Times New Roman" w:hAnsiTheme="minorHAnsi" w:cstheme="minorHAnsi"/>
          <w:color w:val="000000"/>
        </w:rPr>
        <w:footnoteReference w:id="6"/>
      </w:r>
      <w:r w:rsidRPr="00A047DF">
        <w:rPr>
          <w:rFonts w:asciiTheme="minorHAnsi" w:eastAsia="Times New Roman" w:hAnsiTheme="minorHAnsi" w:cstheme="minorHAnsi"/>
          <w:color w:val="000000"/>
        </w:rPr>
        <w:t>.</w:t>
      </w:r>
    </w:p>
    <w:p w14:paraId="7A9766A1" w14:textId="77777777" w:rsidR="00103E0B" w:rsidRPr="00A047DF" w:rsidRDefault="00103E0B" w:rsidP="00103E0B">
      <w:pPr>
        <w:pStyle w:val="NormalWeb"/>
        <w:numPr>
          <w:ilvl w:val="1"/>
          <w:numId w:val="11"/>
        </w:numPr>
        <w:shd w:val="clear" w:color="auto" w:fill="FFFFFF"/>
        <w:spacing w:before="0" w:beforeAutospacing="0" w:after="0" w:afterAutospacing="0"/>
        <w:rPr>
          <w:rFonts w:asciiTheme="minorHAnsi" w:hAnsiTheme="minorHAnsi" w:cstheme="minorHAnsi"/>
          <w:color w:val="000000"/>
        </w:rPr>
      </w:pPr>
      <w:r w:rsidRPr="00A047DF">
        <w:rPr>
          <w:rFonts w:asciiTheme="minorHAnsi" w:eastAsia="Times New Roman" w:hAnsiTheme="minorHAnsi" w:cstheme="minorHAnsi"/>
          <w:color w:val="000000"/>
        </w:rPr>
        <w:t>A guaranteed repayment schedule of seed money (plus interest or a set fee) will be determined on a project-by-project basis as dictated by the projected payback period.</w:t>
      </w:r>
    </w:p>
    <w:p w14:paraId="1D491BBC" w14:textId="77777777" w:rsidR="00103E0B" w:rsidRPr="00A047DF" w:rsidRDefault="00103E0B" w:rsidP="00A047DF">
      <w:pPr>
        <w:pStyle w:val="NormalWeb"/>
        <w:shd w:val="clear" w:color="auto" w:fill="FFFFFF"/>
        <w:spacing w:before="0" w:beforeAutospacing="0" w:after="0" w:afterAutospacing="0"/>
        <w:ind w:left="360" w:firstLine="360"/>
        <w:rPr>
          <w:rFonts w:asciiTheme="minorHAnsi" w:hAnsiTheme="minorHAnsi" w:cstheme="minorHAnsi"/>
          <w:color w:val="000000"/>
        </w:rPr>
      </w:pPr>
      <w:r w:rsidRPr="00A047DF">
        <w:rPr>
          <w:rFonts w:asciiTheme="minorHAnsi" w:hAnsiTheme="minorHAnsi" w:cstheme="minorHAnsi"/>
          <w:b/>
          <w:bCs/>
          <w:color w:val="000000"/>
        </w:rPr>
        <w:t>Year 2:</w:t>
      </w:r>
    </w:p>
    <w:p w14:paraId="18B9CED8" w14:textId="77777777" w:rsidR="00103E0B" w:rsidRPr="00A047DF" w:rsidRDefault="00103E0B" w:rsidP="00103E0B">
      <w:pPr>
        <w:pStyle w:val="NormalWeb"/>
        <w:numPr>
          <w:ilvl w:val="1"/>
          <w:numId w:val="11"/>
        </w:numPr>
        <w:shd w:val="clear" w:color="auto" w:fill="FFFFFF"/>
        <w:spacing w:before="0" w:beforeAutospacing="0" w:after="0" w:afterAutospacing="0"/>
        <w:rPr>
          <w:rFonts w:asciiTheme="minorHAnsi" w:hAnsiTheme="minorHAnsi" w:cstheme="minorHAnsi"/>
          <w:color w:val="000000"/>
        </w:rPr>
      </w:pPr>
      <w:r w:rsidRPr="00A047DF">
        <w:rPr>
          <w:rFonts w:asciiTheme="minorHAnsi" w:eastAsia="Times New Roman" w:hAnsiTheme="minorHAnsi" w:cstheme="minorHAnsi"/>
          <w:color w:val="000000"/>
        </w:rPr>
        <w:t xml:space="preserve">$200,000 to seed projects identified in Year 1 and to begin deeper level audits that arise from Year 1 benchmarks. </w:t>
      </w:r>
    </w:p>
    <w:p w14:paraId="2B40FC40" w14:textId="77777777" w:rsidR="00103E0B" w:rsidRPr="00A047DF" w:rsidRDefault="00103E0B" w:rsidP="00A047DF">
      <w:pPr>
        <w:pStyle w:val="NormalWeb"/>
        <w:shd w:val="clear" w:color="auto" w:fill="FFFFFF"/>
        <w:spacing w:before="0" w:beforeAutospacing="0" w:after="0" w:afterAutospacing="0"/>
        <w:ind w:left="360" w:firstLine="360"/>
        <w:rPr>
          <w:rFonts w:asciiTheme="minorHAnsi" w:hAnsiTheme="minorHAnsi" w:cstheme="minorHAnsi"/>
          <w:color w:val="000000"/>
        </w:rPr>
      </w:pPr>
      <w:r w:rsidRPr="00A047DF">
        <w:rPr>
          <w:rFonts w:asciiTheme="minorHAnsi" w:hAnsiTheme="minorHAnsi" w:cstheme="minorHAnsi"/>
          <w:b/>
          <w:bCs/>
          <w:color w:val="000000"/>
        </w:rPr>
        <w:t>Year 3:</w:t>
      </w:r>
    </w:p>
    <w:p w14:paraId="7719FD89" w14:textId="77777777" w:rsidR="00103E0B" w:rsidRPr="00A047DF" w:rsidRDefault="00103E0B" w:rsidP="00103E0B">
      <w:pPr>
        <w:pStyle w:val="NormalWeb"/>
        <w:numPr>
          <w:ilvl w:val="1"/>
          <w:numId w:val="12"/>
        </w:numPr>
        <w:shd w:val="clear" w:color="auto" w:fill="FFFFFF"/>
        <w:spacing w:before="0" w:beforeAutospacing="0" w:after="0" w:afterAutospacing="0"/>
        <w:rPr>
          <w:rFonts w:asciiTheme="minorHAnsi" w:hAnsiTheme="minorHAnsi" w:cstheme="minorHAnsi"/>
          <w:color w:val="000000"/>
        </w:rPr>
      </w:pPr>
      <w:r w:rsidRPr="00A047DF">
        <w:rPr>
          <w:rFonts w:asciiTheme="minorHAnsi" w:eastAsia="Times New Roman" w:hAnsiTheme="minorHAnsi" w:cstheme="minorHAnsi"/>
          <w:color w:val="000000"/>
        </w:rPr>
        <w:t>100,000 to complete seed money and continue to fund projects identified in year one and in year 2.</w:t>
      </w:r>
    </w:p>
    <w:p w14:paraId="3B206C41" w14:textId="77777777" w:rsidR="00103E0B" w:rsidRPr="00A047DF" w:rsidRDefault="00103E0B" w:rsidP="00A047DF">
      <w:pPr>
        <w:pStyle w:val="NormalWeb"/>
        <w:shd w:val="clear" w:color="auto" w:fill="FFFFFF"/>
        <w:spacing w:before="0" w:beforeAutospacing="0" w:after="0" w:afterAutospacing="0"/>
        <w:ind w:left="360" w:firstLine="360"/>
        <w:rPr>
          <w:rFonts w:asciiTheme="minorHAnsi" w:hAnsiTheme="minorHAnsi" w:cstheme="minorHAnsi"/>
          <w:color w:val="000000"/>
        </w:rPr>
      </w:pPr>
      <w:r w:rsidRPr="00A047DF">
        <w:rPr>
          <w:rFonts w:asciiTheme="minorHAnsi" w:hAnsiTheme="minorHAnsi" w:cstheme="minorHAnsi"/>
          <w:b/>
          <w:color w:val="000000"/>
        </w:rPr>
        <w:t>Year 4-7</w:t>
      </w:r>
      <w:r w:rsidRPr="00A047DF">
        <w:rPr>
          <w:rFonts w:asciiTheme="minorHAnsi" w:hAnsiTheme="minorHAnsi" w:cstheme="minorHAnsi"/>
          <w:color w:val="000000"/>
        </w:rPr>
        <w:t>:</w:t>
      </w:r>
    </w:p>
    <w:p w14:paraId="65E5BA46" w14:textId="77777777" w:rsidR="00103E0B" w:rsidRPr="00A047DF" w:rsidRDefault="00103E0B" w:rsidP="00103E0B">
      <w:pPr>
        <w:pStyle w:val="NormalWeb"/>
        <w:numPr>
          <w:ilvl w:val="1"/>
          <w:numId w:val="12"/>
        </w:numPr>
        <w:shd w:val="clear" w:color="auto" w:fill="FFFFFF"/>
        <w:spacing w:before="0" w:beforeAutospacing="0" w:after="0" w:afterAutospacing="0"/>
        <w:rPr>
          <w:rFonts w:asciiTheme="minorHAnsi" w:hAnsiTheme="minorHAnsi" w:cstheme="minorHAnsi"/>
          <w:color w:val="000000"/>
        </w:rPr>
      </w:pPr>
      <w:r w:rsidRPr="00A047DF">
        <w:rPr>
          <w:rFonts w:asciiTheme="minorHAnsi" w:eastAsia="Times New Roman" w:hAnsiTheme="minorHAnsi" w:cstheme="minorHAnsi"/>
          <w:color w:val="000000"/>
        </w:rPr>
        <w:t xml:space="preserve">Guaranteed payback of seed money plus interest or set fee (amount to be determined) are repaid from 60% or more of the projects seeded in Years 1-3 and subsequent payments are returned as scheduled in previous years to grow the fund over time.  This will continue on a year-after-year schedule.  </w:t>
      </w:r>
    </w:p>
    <w:p w14:paraId="39280644" w14:textId="77777777" w:rsidR="00103E0B" w:rsidRPr="00A047DF" w:rsidRDefault="00103E0B" w:rsidP="00103E0B">
      <w:pPr>
        <w:pStyle w:val="NormalWeb"/>
        <w:shd w:val="clear" w:color="auto" w:fill="FFFFFF"/>
        <w:spacing w:before="0" w:beforeAutospacing="0" w:after="0" w:afterAutospacing="0"/>
        <w:rPr>
          <w:rFonts w:asciiTheme="minorHAnsi" w:hAnsiTheme="minorHAnsi" w:cstheme="minorHAnsi"/>
          <w:color w:val="000000"/>
        </w:rPr>
      </w:pPr>
    </w:p>
    <w:p w14:paraId="4F853BB0"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454FB8BC"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1E6EF06C"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210A16D5"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1B1ABAAE"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6B785BC2"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03650450"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556314A7"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551C2F39" w14:textId="77777777" w:rsidR="00103E0B" w:rsidRPr="00A047DF" w:rsidRDefault="0087733C" w:rsidP="00DF7032">
      <w:pPr>
        <w:spacing w:after="0" w:line="240" w:lineRule="auto"/>
        <w:ind w:left="1440"/>
        <w:textAlignment w:val="center"/>
        <w:rPr>
          <w:rFonts w:eastAsia="Times New Roman" w:cstheme="minorHAnsi"/>
          <w:color w:val="000000"/>
          <w:sz w:val="24"/>
          <w:szCs w:val="24"/>
        </w:rPr>
      </w:pPr>
      <w:r w:rsidRPr="00A047DF">
        <w:rPr>
          <w:rFonts w:cstheme="minorHAnsi"/>
          <w:noProof/>
          <w:sz w:val="24"/>
          <w:szCs w:val="24"/>
        </w:rPr>
        <w:drawing>
          <wp:anchor distT="0" distB="0" distL="114300" distR="114300" simplePos="0" relativeHeight="251659264" behindDoc="0" locked="0" layoutInCell="1" allowOverlap="1" wp14:anchorId="5EC8FFB2" wp14:editId="600639E9">
            <wp:simplePos x="0" y="0"/>
            <wp:positionH relativeFrom="column">
              <wp:posOffset>-1853248</wp:posOffset>
            </wp:positionH>
            <wp:positionV relativeFrom="paragraph">
              <wp:posOffset>333059</wp:posOffset>
            </wp:positionV>
            <wp:extent cx="9696339" cy="4888571"/>
            <wp:effectExtent l="3493" t="0" r="4127" b="4128"/>
            <wp:wrapNone/>
            <wp:docPr id="11" name="Picture 10"/>
            <wp:cNvGraphicFramePr/>
            <a:graphic xmlns:a="http://schemas.openxmlformats.org/drawingml/2006/main">
              <a:graphicData uri="http://schemas.openxmlformats.org/drawingml/2006/picture">
                <pic:pic xmlns:pic="http://schemas.openxmlformats.org/drawingml/2006/picture">
                  <pic:nvPicPr>
                    <pic:cNvPr id="11" name="Picture 10"/>
                    <pic:cNvPicPr/>
                  </pic:nvPicPr>
                  <pic:blipFill>
                    <a:blip r:embed="rId11">
                      <a:extLst>
                        <a:ext uri="{28A0092B-C50C-407E-A947-70E740481C1C}">
                          <a14:useLocalDpi xmlns:a14="http://schemas.microsoft.com/office/drawing/2010/main" val="0"/>
                        </a:ext>
                      </a:extLst>
                    </a:blip>
                    <a:stretch>
                      <a:fillRect/>
                    </a:stretch>
                  </pic:blipFill>
                  <pic:spPr>
                    <a:xfrm rot="16200000">
                      <a:off x="0" y="0"/>
                      <a:ext cx="9696339" cy="4888571"/>
                    </a:xfrm>
                    <a:prstGeom prst="rect">
                      <a:avLst/>
                    </a:prstGeom>
                  </pic:spPr>
                </pic:pic>
              </a:graphicData>
            </a:graphic>
            <wp14:sizeRelH relativeFrom="page">
              <wp14:pctWidth>0</wp14:pctWidth>
            </wp14:sizeRelH>
            <wp14:sizeRelV relativeFrom="page">
              <wp14:pctHeight>0</wp14:pctHeight>
            </wp14:sizeRelV>
          </wp:anchor>
        </w:drawing>
      </w:r>
    </w:p>
    <w:p w14:paraId="354C6E68"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5034574F"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03064F24"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2416B899"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16B498FB"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295DA608" w14:textId="77777777" w:rsidR="00103E0B" w:rsidRPr="00A047DF" w:rsidRDefault="00103E0B" w:rsidP="00DF7032">
      <w:pPr>
        <w:spacing w:after="0" w:line="240" w:lineRule="auto"/>
        <w:ind w:left="1440"/>
        <w:textAlignment w:val="center"/>
        <w:rPr>
          <w:rFonts w:eastAsia="Times New Roman" w:cstheme="minorHAnsi"/>
          <w:color w:val="000000"/>
          <w:sz w:val="24"/>
          <w:szCs w:val="24"/>
        </w:rPr>
      </w:pPr>
    </w:p>
    <w:p w14:paraId="08B75A60" w14:textId="77777777" w:rsidR="00103E0B" w:rsidRPr="00A047DF" w:rsidRDefault="00103E0B" w:rsidP="00413CEE">
      <w:pPr>
        <w:spacing w:after="0" w:line="240" w:lineRule="auto"/>
        <w:textAlignment w:val="center"/>
        <w:rPr>
          <w:rFonts w:eastAsia="Times New Roman" w:cstheme="minorHAnsi"/>
          <w:color w:val="000000"/>
          <w:sz w:val="24"/>
          <w:szCs w:val="24"/>
        </w:rPr>
      </w:pPr>
    </w:p>
    <w:p w14:paraId="7D12C3B4" w14:textId="77777777" w:rsidR="00413CEE" w:rsidRDefault="00413CEE" w:rsidP="00413CEE">
      <w:pPr>
        <w:spacing w:after="0" w:line="240" w:lineRule="auto"/>
        <w:textAlignment w:val="center"/>
        <w:rPr>
          <w:rFonts w:eastAsia="Times New Roman" w:cstheme="minorHAnsi"/>
          <w:color w:val="000000"/>
          <w:sz w:val="24"/>
          <w:szCs w:val="24"/>
        </w:rPr>
      </w:pPr>
    </w:p>
    <w:p w14:paraId="53EABE62" w14:textId="77777777" w:rsidR="00A047DF" w:rsidRDefault="00A047DF" w:rsidP="00413CEE">
      <w:pPr>
        <w:spacing w:after="0" w:line="240" w:lineRule="auto"/>
        <w:textAlignment w:val="center"/>
        <w:rPr>
          <w:rFonts w:eastAsia="Times New Roman" w:cstheme="minorHAnsi"/>
          <w:color w:val="000000"/>
          <w:sz w:val="24"/>
          <w:szCs w:val="24"/>
        </w:rPr>
      </w:pPr>
    </w:p>
    <w:p w14:paraId="6F96A850" w14:textId="77777777" w:rsidR="00A047DF" w:rsidRDefault="00A047DF" w:rsidP="00413CEE">
      <w:pPr>
        <w:spacing w:after="0" w:line="240" w:lineRule="auto"/>
        <w:textAlignment w:val="center"/>
        <w:rPr>
          <w:rFonts w:eastAsia="Times New Roman" w:cstheme="minorHAnsi"/>
          <w:color w:val="000000"/>
          <w:sz w:val="24"/>
          <w:szCs w:val="24"/>
        </w:rPr>
      </w:pPr>
    </w:p>
    <w:p w14:paraId="01C408CA" w14:textId="77777777" w:rsidR="00A047DF" w:rsidRDefault="00A047DF" w:rsidP="00413CEE">
      <w:pPr>
        <w:spacing w:after="0" w:line="240" w:lineRule="auto"/>
        <w:textAlignment w:val="center"/>
        <w:rPr>
          <w:rFonts w:eastAsia="Times New Roman" w:cstheme="minorHAnsi"/>
          <w:color w:val="000000"/>
          <w:sz w:val="24"/>
          <w:szCs w:val="24"/>
        </w:rPr>
      </w:pPr>
    </w:p>
    <w:p w14:paraId="5891ED72" w14:textId="77777777" w:rsidR="00A047DF" w:rsidRDefault="00A047DF" w:rsidP="00413CEE">
      <w:pPr>
        <w:spacing w:after="0" w:line="240" w:lineRule="auto"/>
        <w:textAlignment w:val="center"/>
        <w:rPr>
          <w:rFonts w:eastAsia="Times New Roman" w:cstheme="minorHAnsi"/>
          <w:color w:val="000000"/>
          <w:sz w:val="24"/>
          <w:szCs w:val="24"/>
        </w:rPr>
      </w:pPr>
    </w:p>
    <w:p w14:paraId="714F13DE" w14:textId="77777777" w:rsidR="00A047DF" w:rsidRDefault="00A047DF" w:rsidP="00413CEE">
      <w:pPr>
        <w:spacing w:after="0" w:line="240" w:lineRule="auto"/>
        <w:textAlignment w:val="center"/>
        <w:rPr>
          <w:rFonts w:eastAsia="Times New Roman" w:cstheme="minorHAnsi"/>
          <w:color w:val="000000"/>
          <w:sz w:val="24"/>
          <w:szCs w:val="24"/>
        </w:rPr>
      </w:pPr>
    </w:p>
    <w:p w14:paraId="01BA1A3F" w14:textId="77777777" w:rsidR="00A047DF" w:rsidRDefault="00A047DF" w:rsidP="00413CEE">
      <w:pPr>
        <w:spacing w:after="0" w:line="240" w:lineRule="auto"/>
        <w:textAlignment w:val="center"/>
        <w:rPr>
          <w:rFonts w:eastAsia="Times New Roman" w:cstheme="minorHAnsi"/>
          <w:color w:val="000000"/>
          <w:sz w:val="24"/>
          <w:szCs w:val="24"/>
        </w:rPr>
      </w:pPr>
    </w:p>
    <w:p w14:paraId="5B8D9A42" w14:textId="77777777" w:rsidR="00A047DF" w:rsidRDefault="00A047DF" w:rsidP="00413CEE">
      <w:pPr>
        <w:spacing w:after="0" w:line="240" w:lineRule="auto"/>
        <w:textAlignment w:val="center"/>
        <w:rPr>
          <w:rFonts w:eastAsia="Times New Roman" w:cstheme="minorHAnsi"/>
          <w:color w:val="000000"/>
          <w:sz w:val="24"/>
          <w:szCs w:val="24"/>
        </w:rPr>
      </w:pPr>
    </w:p>
    <w:p w14:paraId="6263B8BC" w14:textId="77777777" w:rsidR="00A047DF" w:rsidRDefault="00A047DF" w:rsidP="00413CEE">
      <w:pPr>
        <w:spacing w:after="0" w:line="240" w:lineRule="auto"/>
        <w:textAlignment w:val="center"/>
        <w:rPr>
          <w:rFonts w:eastAsia="Times New Roman" w:cstheme="minorHAnsi"/>
          <w:color w:val="000000"/>
          <w:sz w:val="24"/>
          <w:szCs w:val="24"/>
        </w:rPr>
      </w:pPr>
    </w:p>
    <w:p w14:paraId="26B2DE36" w14:textId="77777777" w:rsidR="00A047DF" w:rsidRDefault="00A047DF" w:rsidP="00413CEE">
      <w:pPr>
        <w:spacing w:after="0" w:line="240" w:lineRule="auto"/>
        <w:textAlignment w:val="center"/>
        <w:rPr>
          <w:rFonts w:eastAsia="Times New Roman" w:cstheme="minorHAnsi"/>
          <w:color w:val="000000"/>
          <w:sz w:val="24"/>
          <w:szCs w:val="24"/>
        </w:rPr>
      </w:pPr>
    </w:p>
    <w:p w14:paraId="37039642" w14:textId="77777777" w:rsidR="00A047DF" w:rsidRDefault="00A047DF" w:rsidP="00413CEE">
      <w:pPr>
        <w:spacing w:after="0" w:line="240" w:lineRule="auto"/>
        <w:textAlignment w:val="center"/>
        <w:rPr>
          <w:rFonts w:eastAsia="Times New Roman" w:cstheme="minorHAnsi"/>
          <w:color w:val="000000"/>
          <w:sz w:val="24"/>
          <w:szCs w:val="24"/>
        </w:rPr>
      </w:pPr>
    </w:p>
    <w:p w14:paraId="1FA8373F" w14:textId="77777777" w:rsidR="00A047DF" w:rsidRDefault="00A047DF" w:rsidP="00413CEE">
      <w:pPr>
        <w:spacing w:after="0" w:line="240" w:lineRule="auto"/>
        <w:textAlignment w:val="center"/>
        <w:rPr>
          <w:rFonts w:eastAsia="Times New Roman" w:cstheme="minorHAnsi"/>
          <w:color w:val="000000"/>
          <w:sz w:val="24"/>
          <w:szCs w:val="24"/>
        </w:rPr>
      </w:pPr>
    </w:p>
    <w:p w14:paraId="135C3A7D" w14:textId="77777777" w:rsidR="00A047DF" w:rsidRDefault="00A047DF" w:rsidP="00413CEE">
      <w:pPr>
        <w:spacing w:after="0" w:line="240" w:lineRule="auto"/>
        <w:textAlignment w:val="center"/>
        <w:rPr>
          <w:rFonts w:eastAsia="Times New Roman" w:cstheme="minorHAnsi"/>
          <w:color w:val="000000"/>
          <w:sz w:val="24"/>
          <w:szCs w:val="24"/>
        </w:rPr>
      </w:pPr>
    </w:p>
    <w:p w14:paraId="543C95A4" w14:textId="77777777" w:rsidR="00A047DF" w:rsidRDefault="00A047DF" w:rsidP="00413CEE">
      <w:pPr>
        <w:spacing w:after="0" w:line="240" w:lineRule="auto"/>
        <w:textAlignment w:val="center"/>
        <w:rPr>
          <w:rFonts w:eastAsia="Times New Roman" w:cstheme="minorHAnsi"/>
          <w:color w:val="000000"/>
          <w:sz w:val="24"/>
          <w:szCs w:val="24"/>
        </w:rPr>
      </w:pPr>
    </w:p>
    <w:p w14:paraId="33459251" w14:textId="77777777" w:rsidR="00A047DF" w:rsidRDefault="00A047DF" w:rsidP="00413CEE">
      <w:pPr>
        <w:spacing w:after="0" w:line="240" w:lineRule="auto"/>
        <w:textAlignment w:val="center"/>
        <w:rPr>
          <w:rFonts w:eastAsia="Times New Roman" w:cstheme="minorHAnsi"/>
          <w:color w:val="000000"/>
          <w:sz w:val="24"/>
          <w:szCs w:val="24"/>
        </w:rPr>
      </w:pPr>
    </w:p>
    <w:p w14:paraId="0F0AE9D2" w14:textId="77777777" w:rsidR="00A047DF" w:rsidRDefault="00A047DF" w:rsidP="00413CEE">
      <w:pPr>
        <w:spacing w:after="0" w:line="240" w:lineRule="auto"/>
        <w:textAlignment w:val="center"/>
        <w:rPr>
          <w:rFonts w:eastAsia="Times New Roman" w:cstheme="minorHAnsi"/>
          <w:color w:val="000000"/>
          <w:sz w:val="24"/>
          <w:szCs w:val="24"/>
        </w:rPr>
      </w:pPr>
    </w:p>
    <w:p w14:paraId="30B8E034" w14:textId="77777777" w:rsidR="00A047DF" w:rsidRDefault="00A047DF" w:rsidP="00413CEE">
      <w:pPr>
        <w:spacing w:after="0" w:line="240" w:lineRule="auto"/>
        <w:textAlignment w:val="center"/>
        <w:rPr>
          <w:rFonts w:eastAsia="Times New Roman" w:cstheme="minorHAnsi"/>
          <w:color w:val="000000"/>
          <w:sz w:val="24"/>
          <w:szCs w:val="24"/>
        </w:rPr>
      </w:pPr>
    </w:p>
    <w:p w14:paraId="3F7DE63C" w14:textId="77777777" w:rsidR="00A047DF" w:rsidRDefault="00A047DF" w:rsidP="00413CEE">
      <w:pPr>
        <w:spacing w:after="0" w:line="240" w:lineRule="auto"/>
        <w:textAlignment w:val="center"/>
        <w:rPr>
          <w:rFonts w:eastAsia="Times New Roman" w:cstheme="minorHAnsi"/>
          <w:color w:val="000000"/>
          <w:sz w:val="24"/>
          <w:szCs w:val="24"/>
        </w:rPr>
      </w:pPr>
    </w:p>
    <w:p w14:paraId="5BF6603D" w14:textId="77777777" w:rsidR="00A047DF" w:rsidRDefault="00A047DF" w:rsidP="00413CEE">
      <w:pPr>
        <w:spacing w:after="0" w:line="240" w:lineRule="auto"/>
        <w:textAlignment w:val="center"/>
        <w:rPr>
          <w:rFonts w:eastAsia="Times New Roman" w:cstheme="minorHAnsi"/>
          <w:color w:val="000000"/>
          <w:sz w:val="24"/>
          <w:szCs w:val="24"/>
        </w:rPr>
      </w:pPr>
    </w:p>
    <w:p w14:paraId="15D6F933" w14:textId="77777777" w:rsidR="00A047DF" w:rsidRDefault="00A047DF" w:rsidP="00413CEE">
      <w:pPr>
        <w:spacing w:after="0" w:line="240" w:lineRule="auto"/>
        <w:textAlignment w:val="center"/>
        <w:rPr>
          <w:rFonts w:eastAsia="Times New Roman" w:cstheme="minorHAnsi"/>
          <w:color w:val="000000"/>
          <w:sz w:val="24"/>
          <w:szCs w:val="24"/>
        </w:rPr>
      </w:pPr>
    </w:p>
    <w:p w14:paraId="7322E8B9" w14:textId="77777777" w:rsidR="00A047DF" w:rsidRDefault="00A047DF" w:rsidP="00413CEE">
      <w:pPr>
        <w:spacing w:after="0" w:line="240" w:lineRule="auto"/>
        <w:textAlignment w:val="center"/>
        <w:rPr>
          <w:rFonts w:eastAsia="Times New Roman" w:cstheme="minorHAnsi"/>
          <w:color w:val="000000"/>
          <w:sz w:val="24"/>
          <w:szCs w:val="24"/>
        </w:rPr>
      </w:pPr>
    </w:p>
    <w:p w14:paraId="1D470130" w14:textId="77777777" w:rsidR="00A047DF" w:rsidRDefault="00A047DF" w:rsidP="00413CEE">
      <w:pPr>
        <w:spacing w:after="0" w:line="240" w:lineRule="auto"/>
        <w:textAlignment w:val="center"/>
        <w:rPr>
          <w:rFonts w:eastAsia="Times New Roman" w:cstheme="minorHAnsi"/>
          <w:color w:val="000000"/>
          <w:sz w:val="24"/>
          <w:szCs w:val="24"/>
        </w:rPr>
      </w:pPr>
    </w:p>
    <w:p w14:paraId="48054B34" w14:textId="77777777" w:rsidR="00A047DF" w:rsidRDefault="00A047DF" w:rsidP="00413CEE">
      <w:pPr>
        <w:spacing w:after="0" w:line="240" w:lineRule="auto"/>
        <w:textAlignment w:val="center"/>
        <w:rPr>
          <w:rFonts w:eastAsia="Times New Roman" w:cstheme="minorHAnsi"/>
          <w:color w:val="000000"/>
          <w:sz w:val="24"/>
          <w:szCs w:val="24"/>
        </w:rPr>
      </w:pPr>
    </w:p>
    <w:p w14:paraId="0E22EFA6" w14:textId="77777777" w:rsidR="00A047DF" w:rsidRDefault="00A047DF" w:rsidP="00413CEE">
      <w:pPr>
        <w:spacing w:after="0" w:line="240" w:lineRule="auto"/>
        <w:textAlignment w:val="center"/>
        <w:rPr>
          <w:rFonts w:eastAsia="Times New Roman" w:cstheme="minorHAnsi"/>
          <w:color w:val="000000"/>
          <w:sz w:val="24"/>
          <w:szCs w:val="24"/>
        </w:rPr>
      </w:pPr>
    </w:p>
    <w:p w14:paraId="6D505A0A" w14:textId="77777777" w:rsidR="00A047DF" w:rsidRDefault="00A047DF" w:rsidP="00413CEE">
      <w:pPr>
        <w:spacing w:after="0" w:line="240" w:lineRule="auto"/>
        <w:textAlignment w:val="center"/>
        <w:rPr>
          <w:rFonts w:eastAsia="Times New Roman" w:cstheme="minorHAnsi"/>
          <w:color w:val="000000"/>
          <w:sz w:val="24"/>
          <w:szCs w:val="24"/>
        </w:rPr>
      </w:pPr>
    </w:p>
    <w:p w14:paraId="3E9B2E50" w14:textId="77777777" w:rsidR="00A047DF" w:rsidRDefault="00A047DF" w:rsidP="00413CEE">
      <w:pPr>
        <w:spacing w:after="0" w:line="240" w:lineRule="auto"/>
        <w:textAlignment w:val="center"/>
        <w:rPr>
          <w:rFonts w:eastAsia="Times New Roman" w:cstheme="minorHAnsi"/>
          <w:color w:val="000000"/>
          <w:sz w:val="24"/>
          <w:szCs w:val="24"/>
        </w:rPr>
      </w:pPr>
    </w:p>
    <w:p w14:paraId="624C967E" w14:textId="77777777" w:rsidR="00A047DF" w:rsidRDefault="00A047DF" w:rsidP="00413CEE">
      <w:pPr>
        <w:spacing w:after="0" w:line="240" w:lineRule="auto"/>
        <w:textAlignment w:val="center"/>
        <w:rPr>
          <w:rFonts w:eastAsia="Times New Roman" w:cstheme="minorHAnsi"/>
          <w:color w:val="000000"/>
          <w:sz w:val="24"/>
          <w:szCs w:val="24"/>
        </w:rPr>
      </w:pPr>
    </w:p>
    <w:p w14:paraId="2F363B0A" w14:textId="77777777" w:rsidR="00A047DF" w:rsidRDefault="00A047DF" w:rsidP="00413CEE">
      <w:pPr>
        <w:spacing w:after="0" w:line="240" w:lineRule="auto"/>
        <w:textAlignment w:val="center"/>
        <w:rPr>
          <w:rFonts w:eastAsia="Times New Roman" w:cstheme="minorHAnsi"/>
          <w:color w:val="000000"/>
          <w:sz w:val="24"/>
          <w:szCs w:val="24"/>
        </w:rPr>
      </w:pPr>
    </w:p>
    <w:p w14:paraId="4E83AB40" w14:textId="77777777" w:rsidR="00103E0B" w:rsidRPr="00A047DF" w:rsidRDefault="00103E0B" w:rsidP="0087733C">
      <w:pPr>
        <w:spacing w:after="0" w:line="240" w:lineRule="auto"/>
        <w:textAlignment w:val="center"/>
        <w:rPr>
          <w:rFonts w:eastAsia="Times New Roman" w:cstheme="minorHAnsi"/>
          <w:color w:val="000000"/>
          <w:sz w:val="24"/>
          <w:szCs w:val="24"/>
        </w:rPr>
      </w:pPr>
    </w:p>
    <w:p w14:paraId="2C4D8E11" w14:textId="77777777" w:rsidR="00AE6389" w:rsidRPr="0087733C" w:rsidRDefault="0087733C" w:rsidP="0087733C">
      <w:pPr>
        <w:spacing w:after="0" w:line="240" w:lineRule="auto"/>
        <w:textAlignment w:val="center"/>
        <w:rPr>
          <w:rFonts w:eastAsia="Times New Roman" w:cstheme="minorHAnsi"/>
          <w:color w:val="000000"/>
          <w:sz w:val="28"/>
          <w:szCs w:val="28"/>
        </w:rPr>
      </w:pPr>
      <w:r w:rsidRPr="0087733C">
        <w:rPr>
          <w:rFonts w:eastAsia="Times New Roman" w:cstheme="minorHAnsi"/>
          <w:b/>
          <w:color w:val="000000"/>
          <w:sz w:val="28"/>
          <w:szCs w:val="28"/>
        </w:rPr>
        <w:t xml:space="preserve">5. </w:t>
      </w:r>
      <w:r w:rsidR="00243AD1" w:rsidRPr="0087733C">
        <w:rPr>
          <w:rFonts w:eastAsia="Times New Roman" w:cstheme="minorHAnsi"/>
          <w:b/>
          <w:color w:val="000000"/>
          <w:sz w:val="28"/>
          <w:szCs w:val="28"/>
          <w:u w:val="single"/>
        </w:rPr>
        <w:t>I</w:t>
      </w:r>
      <w:r w:rsidR="00BC4873" w:rsidRPr="0087733C">
        <w:rPr>
          <w:rFonts w:eastAsia="Times New Roman" w:cstheme="minorHAnsi"/>
          <w:b/>
          <w:color w:val="000000"/>
          <w:sz w:val="28"/>
          <w:szCs w:val="28"/>
          <w:u w:val="single"/>
        </w:rPr>
        <w:t>ntegrate</w:t>
      </w:r>
      <w:r w:rsidR="00243AD1" w:rsidRPr="0087733C">
        <w:rPr>
          <w:rFonts w:eastAsia="Times New Roman" w:cstheme="minorHAnsi"/>
          <w:b/>
          <w:color w:val="000000"/>
          <w:sz w:val="28"/>
          <w:szCs w:val="28"/>
          <w:u w:val="single"/>
        </w:rPr>
        <w:t xml:space="preserve"> </w:t>
      </w:r>
      <w:r w:rsidR="000D369B" w:rsidRPr="0087733C">
        <w:rPr>
          <w:rFonts w:eastAsia="Times New Roman" w:cstheme="minorHAnsi"/>
          <w:b/>
          <w:color w:val="000000"/>
          <w:sz w:val="28"/>
          <w:szCs w:val="28"/>
          <w:u w:val="single"/>
        </w:rPr>
        <w:t xml:space="preserve">our commitment to </w:t>
      </w:r>
      <w:r w:rsidR="00243AD1" w:rsidRPr="0087733C">
        <w:rPr>
          <w:rFonts w:eastAsia="Times New Roman" w:cstheme="minorHAnsi"/>
          <w:b/>
          <w:color w:val="000000"/>
          <w:sz w:val="28"/>
          <w:szCs w:val="28"/>
          <w:u w:val="single"/>
        </w:rPr>
        <w:t>sustainability into our endowment</w:t>
      </w:r>
      <w:r w:rsidR="00BC4873" w:rsidRPr="0087733C">
        <w:rPr>
          <w:rFonts w:eastAsia="Times New Roman" w:cstheme="minorHAnsi"/>
          <w:color w:val="000000"/>
          <w:sz w:val="28"/>
          <w:szCs w:val="28"/>
          <w:u w:val="single"/>
        </w:rPr>
        <w:t xml:space="preserve">.  </w:t>
      </w:r>
    </w:p>
    <w:p w14:paraId="364FF785" w14:textId="77777777" w:rsidR="00103E0B" w:rsidRPr="0087733C" w:rsidRDefault="00103E0B" w:rsidP="0087733C">
      <w:pPr>
        <w:pStyle w:val="ListParagraph"/>
        <w:numPr>
          <w:ilvl w:val="0"/>
          <w:numId w:val="23"/>
        </w:numPr>
        <w:spacing w:line="256" w:lineRule="auto"/>
        <w:rPr>
          <w:rFonts w:asciiTheme="minorHAnsi" w:hAnsiTheme="minorHAnsi" w:cstheme="minorHAnsi"/>
          <w:b/>
        </w:rPr>
      </w:pPr>
      <w:r w:rsidRPr="0087733C">
        <w:rPr>
          <w:rFonts w:asciiTheme="minorHAnsi" w:hAnsiTheme="minorHAnsi" w:cstheme="minorHAnsi"/>
          <w:b/>
        </w:rPr>
        <w:t>History of Responsible University Investment</w:t>
      </w:r>
    </w:p>
    <w:p w14:paraId="34D77EE3" w14:textId="77777777" w:rsidR="00103E0B" w:rsidRPr="00A047DF" w:rsidRDefault="00103E0B" w:rsidP="00103E0B">
      <w:pPr>
        <w:numPr>
          <w:ilvl w:val="1"/>
          <w:numId w:val="13"/>
        </w:numPr>
        <w:spacing w:after="0" w:line="256" w:lineRule="auto"/>
        <w:rPr>
          <w:rFonts w:cstheme="minorHAnsi"/>
          <w:sz w:val="24"/>
          <w:szCs w:val="24"/>
        </w:rPr>
      </w:pPr>
      <w:r w:rsidRPr="00A047DF">
        <w:rPr>
          <w:rFonts w:cstheme="minorHAnsi"/>
          <w:sz w:val="24"/>
          <w:szCs w:val="24"/>
        </w:rPr>
        <w:lastRenderedPageBreak/>
        <w:t>Universities have used their economic decision-making power to influence political decisions on the Sudan, Middle East, prison management, and fossil fuels.</w:t>
      </w:r>
      <w:r w:rsidRPr="00A047DF">
        <w:rPr>
          <w:rFonts w:cstheme="minorHAnsi"/>
          <w:sz w:val="24"/>
          <w:szCs w:val="24"/>
          <w:vertAlign w:val="superscript"/>
        </w:rPr>
        <w:footnoteReference w:id="7"/>
      </w:r>
    </w:p>
    <w:p w14:paraId="4A2B8E93" w14:textId="77777777" w:rsidR="00103E0B" w:rsidRPr="00A047DF" w:rsidRDefault="00103E0B" w:rsidP="00103E0B">
      <w:pPr>
        <w:numPr>
          <w:ilvl w:val="1"/>
          <w:numId w:val="13"/>
        </w:numPr>
        <w:spacing w:after="0" w:line="256" w:lineRule="auto"/>
        <w:rPr>
          <w:rFonts w:cstheme="minorHAnsi"/>
          <w:sz w:val="24"/>
          <w:szCs w:val="24"/>
        </w:rPr>
      </w:pPr>
      <w:r w:rsidRPr="00A047DF">
        <w:rPr>
          <w:rFonts w:cstheme="minorHAnsi"/>
          <w:sz w:val="24"/>
          <w:szCs w:val="24"/>
        </w:rPr>
        <w:t>Divestment is credited with playing a role in moving South Africa toward the end of apartheid.</w:t>
      </w:r>
      <w:r w:rsidRPr="00A047DF">
        <w:rPr>
          <w:rFonts w:cstheme="minorHAnsi"/>
          <w:sz w:val="24"/>
          <w:szCs w:val="24"/>
          <w:vertAlign w:val="superscript"/>
        </w:rPr>
        <w:footnoteReference w:id="8"/>
      </w:r>
    </w:p>
    <w:p w14:paraId="04097B84" w14:textId="77777777" w:rsidR="00103E0B" w:rsidRPr="00A047DF" w:rsidRDefault="00103E0B" w:rsidP="00103E0B">
      <w:pPr>
        <w:numPr>
          <w:ilvl w:val="0"/>
          <w:numId w:val="13"/>
        </w:numPr>
        <w:spacing w:after="0" w:line="256" w:lineRule="auto"/>
        <w:rPr>
          <w:rFonts w:cstheme="minorHAnsi"/>
          <w:b/>
          <w:sz w:val="24"/>
          <w:szCs w:val="24"/>
        </w:rPr>
      </w:pPr>
      <w:r w:rsidRPr="00A047DF">
        <w:rPr>
          <w:rFonts w:cstheme="minorHAnsi"/>
          <w:b/>
          <w:sz w:val="24"/>
          <w:szCs w:val="24"/>
        </w:rPr>
        <w:t>Challenges to Responsible Investment Policy</w:t>
      </w:r>
    </w:p>
    <w:p w14:paraId="7AD42FD2" w14:textId="77777777" w:rsidR="00103E0B" w:rsidRPr="00A047DF" w:rsidRDefault="00103E0B" w:rsidP="00103E0B">
      <w:pPr>
        <w:numPr>
          <w:ilvl w:val="1"/>
          <w:numId w:val="13"/>
        </w:numPr>
        <w:spacing w:after="0" w:line="256" w:lineRule="auto"/>
        <w:rPr>
          <w:rFonts w:cstheme="minorHAnsi"/>
          <w:sz w:val="24"/>
          <w:szCs w:val="24"/>
        </w:rPr>
      </w:pPr>
      <w:r w:rsidRPr="00A047DF">
        <w:rPr>
          <w:rFonts w:cstheme="minorHAnsi"/>
          <w:sz w:val="24"/>
          <w:szCs w:val="24"/>
        </w:rPr>
        <w:t>Defining environmentally and socially responsible investment.</w:t>
      </w:r>
    </w:p>
    <w:p w14:paraId="393B8652" w14:textId="77777777" w:rsidR="00103E0B" w:rsidRPr="00A047DF" w:rsidRDefault="00103E0B" w:rsidP="00103E0B">
      <w:pPr>
        <w:numPr>
          <w:ilvl w:val="1"/>
          <w:numId w:val="13"/>
        </w:numPr>
        <w:spacing w:after="0" w:line="256" w:lineRule="auto"/>
        <w:rPr>
          <w:rFonts w:cstheme="minorHAnsi"/>
          <w:sz w:val="24"/>
          <w:szCs w:val="24"/>
        </w:rPr>
      </w:pPr>
      <w:r w:rsidRPr="00A047DF">
        <w:rPr>
          <w:rFonts w:cstheme="minorHAnsi"/>
          <w:sz w:val="24"/>
          <w:szCs w:val="24"/>
        </w:rPr>
        <w:t xml:space="preserve">Investing responsibly in relation to </w:t>
      </w:r>
      <w:hyperlink r:id="rId12" w:history="1">
        <w:r w:rsidRPr="00A047DF">
          <w:rPr>
            <w:rStyle w:val="Hyperlink"/>
            <w:rFonts w:cstheme="minorHAnsi"/>
            <w:sz w:val="24"/>
            <w:szCs w:val="24"/>
          </w:rPr>
          <w:t>Environmental, Social &amp; Governance</w:t>
        </w:r>
      </w:hyperlink>
      <w:r w:rsidRPr="00A047DF">
        <w:rPr>
          <w:rFonts w:cstheme="minorHAnsi"/>
          <w:sz w:val="24"/>
          <w:szCs w:val="24"/>
        </w:rPr>
        <w:t xml:space="preserve"> criteria while maintaining a good ROI and minimizing risk.</w:t>
      </w:r>
      <w:r w:rsidRPr="00A047DF">
        <w:rPr>
          <w:rFonts w:cstheme="minorHAnsi"/>
          <w:sz w:val="24"/>
          <w:szCs w:val="24"/>
          <w:vertAlign w:val="superscript"/>
        </w:rPr>
        <w:footnoteReference w:id="9"/>
      </w:r>
    </w:p>
    <w:p w14:paraId="3B9CDB85" w14:textId="77777777" w:rsidR="00103E0B" w:rsidRPr="00A047DF" w:rsidRDefault="00103E0B" w:rsidP="00103E0B">
      <w:pPr>
        <w:numPr>
          <w:ilvl w:val="0"/>
          <w:numId w:val="14"/>
        </w:numPr>
        <w:spacing w:after="0" w:line="256" w:lineRule="auto"/>
        <w:rPr>
          <w:rFonts w:cstheme="minorHAnsi"/>
          <w:b/>
          <w:sz w:val="24"/>
          <w:szCs w:val="24"/>
        </w:rPr>
      </w:pPr>
      <w:r w:rsidRPr="00A047DF">
        <w:rPr>
          <w:rFonts w:cstheme="minorHAnsi"/>
          <w:b/>
          <w:sz w:val="24"/>
          <w:szCs w:val="24"/>
        </w:rPr>
        <w:t>Specific Recommendations:</w:t>
      </w:r>
    </w:p>
    <w:p w14:paraId="0B9E4E18" w14:textId="77777777" w:rsidR="00DB480E" w:rsidRPr="00A047DF" w:rsidRDefault="00103E0B" w:rsidP="00DB480E">
      <w:pPr>
        <w:numPr>
          <w:ilvl w:val="1"/>
          <w:numId w:val="14"/>
        </w:numPr>
        <w:spacing w:line="256" w:lineRule="auto"/>
        <w:rPr>
          <w:rFonts w:cstheme="minorHAnsi"/>
          <w:sz w:val="24"/>
          <w:szCs w:val="24"/>
        </w:rPr>
      </w:pPr>
      <w:r w:rsidRPr="00A047DF">
        <w:rPr>
          <w:rFonts w:cstheme="minorHAnsi"/>
          <w:sz w:val="24"/>
          <w:szCs w:val="24"/>
        </w:rPr>
        <w:t>Establish a Committee on Investor Responsibility (CIR) as required to receive full credit on AASHE STARS reporting.  This will be a standing subcommittee of the ESC and interface with the Foundation Finance Committee (FFC).  The CIR’s charge would be to bring the appropriate stakeholders together to define what environmentally and socially responsible investment means to FGCU and make recommendations.</w:t>
      </w:r>
      <w:r w:rsidR="00DB480E" w:rsidRPr="00A047DF">
        <w:rPr>
          <w:rFonts w:cstheme="minorHAnsi"/>
          <w:sz w:val="24"/>
          <w:szCs w:val="24"/>
        </w:rPr>
        <w:t xml:space="preserve"> Explore feasible opportunities for increasing investments in the following areas:</w:t>
      </w:r>
    </w:p>
    <w:p w14:paraId="53269ADA"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Investments in renewable energy, sustainable forestry, or other such industries</w:t>
      </w:r>
    </w:p>
    <w:p w14:paraId="0B0F7683"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Businesses selected for exemplary sustainability performance</w:t>
      </w:r>
    </w:p>
    <w:p w14:paraId="6B4246D8"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Sustainability investment funds</w:t>
      </w:r>
    </w:p>
    <w:p w14:paraId="68A4C2B4"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Community Development Financial Institutions (CDFI)</w:t>
      </w:r>
    </w:p>
    <w:p w14:paraId="13CE6582"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lastRenderedPageBreak/>
        <w:t>Positively screened mutual funds</w:t>
      </w:r>
    </w:p>
    <w:p w14:paraId="7018F834" w14:textId="77777777" w:rsidR="00DB480E"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Green Revolving Funds funded from the endowment</w:t>
      </w:r>
    </w:p>
    <w:p w14:paraId="08F6C3C7" w14:textId="77777777" w:rsidR="00103E0B" w:rsidRPr="00A047DF" w:rsidRDefault="00DB480E" w:rsidP="0087733C">
      <w:pPr>
        <w:numPr>
          <w:ilvl w:val="2"/>
          <w:numId w:val="18"/>
        </w:numPr>
        <w:spacing w:after="0" w:line="256" w:lineRule="auto"/>
        <w:rPr>
          <w:rFonts w:cstheme="minorHAnsi"/>
          <w:sz w:val="24"/>
          <w:szCs w:val="24"/>
        </w:rPr>
      </w:pPr>
      <w:r w:rsidRPr="00A047DF">
        <w:rPr>
          <w:rFonts w:cstheme="minorHAnsi"/>
          <w:sz w:val="24"/>
          <w:szCs w:val="24"/>
        </w:rPr>
        <w:t xml:space="preserve">Offer donors the opportunity to finance specific sustainability projects or initiatives </w:t>
      </w:r>
    </w:p>
    <w:p w14:paraId="7DC15785" w14:textId="77777777" w:rsidR="00103E0B" w:rsidRPr="00A047DF" w:rsidRDefault="00103E0B" w:rsidP="00103E0B">
      <w:pPr>
        <w:numPr>
          <w:ilvl w:val="1"/>
          <w:numId w:val="14"/>
        </w:numPr>
        <w:spacing w:after="0" w:line="256" w:lineRule="auto"/>
        <w:rPr>
          <w:rFonts w:cstheme="minorHAnsi"/>
          <w:sz w:val="24"/>
          <w:szCs w:val="24"/>
        </w:rPr>
      </w:pPr>
      <w:r w:rsidRPr="00A047DF">
        <w:rPr>
          <w:rFonts w:cstheme="minorHAnsi"/>
          <w:sz w:val="24"/>
          <w:szCs w:val="24"/>
        </w:rPr>
        <w:t>Encourage student-centered live learn lab projects where faculty and staff guide students in piloting small-scale sustainability fund management.</w:t>
      </w:r>
    </w:p>
    <w:p w14:paraId="7D478C4A" w14:textId="77777777" w:rsidR="00103E0B" w:rsidRPr="00A047DF" w:rsidRDefault="00103E0B" w:rsidP="00103E0B">
      <w:pPr>
        <w:numPr>
          <w:ilvl w:val="2"/>
          <w:numId w:val="14"/>
        </w:numPr>
        <w:spacing w:after="0" w:line="256" w:lineRule="auto"/>
        <w:rPr>
          <w:rFonts w:cstheme="minorHAnsi"/>
          <w:sz w:val="24"/>
          <w:szCs w:val="24"/>
        </w:rPr>
      </w:pPr>
      <w:r w:rsidRPr="00A047DF">
        <w:rPr>
          <w:rFonts w:cstheme="minorHAnsi"/>
          <w:sz w:val="24"/>
          <w:szCs w:val="24"/>
        </w:rPr>
        <w:t xml:space="preserve">Progress has already been made with the ESC committee members partnering with Professor Travis Jones and his FIN 6930 and 4934 courses to begin this process. </w:t>
      </w:r>
    </w:p>
    <w:p w14:paraId="3CDDE034" w14:textId="77777777" w:rsidR="00103E0B" w:rsidRPr="00A047DF" w:rsidRDefault="00103E0B" w:rsidP="00103E0B">
      <w:pPr>
        <w:numPr>
          <w:ilvl w:val="2"/>
          <w:numId w:val="14"/>
        </w:numPr>
        <w:spacing w:after="0" w:line="256" w:lineRule="auto"/>
        <w:rPr>
          <w:rFonts w:cstheme="minorHAnsi"/>
          <w:sz w:val="24"/>
          <w:szCs w:val="24"/>
        </w:rPr>
      </w:pPr>
      <w:r w:rsidRPr="00A047DF">
        <w:rPr>
          <w:rFonts w:cstheme="minorHAnsi"/>
          <w:sz w:val="24"/>
          <w:szCs w:val="24"/>
        </w:rPr>
        <w:t>Appoint students, faculty, and staff associated with these projects to the CIR.</w:t>
      </w:r>
    </w:p>
    <w:p w14:paraId="26EF0555" w14:textId="77777777" w:rsidR="00103E0B" w:rsidRPr="00A047DF" w:rsidRDefault="00103E0B" w:rsidP="00103E0B">
      <w:pPr>
        <w:numPr>
          <w:ilvl w:val="1"/>
          <w:numId w:val="14"/>
        </w:numPr>
        <w:spacing w:after="0" w:line="256" w:lineRule="auto"/>
        <w:rPr>
          <w:rFonts w:cstheme="minorHAnsi"/>
          <w:sz w:val="24"/>
          <w:szCs w:val="24"/>
        </w:rPr>
      </w:pPr>
      <w:r w:rsidRPr="00A047DF">
        <w:rPr>
          <w:rFonts w:cstheme="minorHAnsi"/>
          <w:sz w:val="24"/>
          <w:szCs w:val="24"/>
        </w:rPr>
        <w:t xml:space="preserve">Increase transparency by making a snapshot of the amount invested in each fund </w:t>
      </w:r>
      <w:r w:rsidR="00413CEE" w:rsidRPr="00A047DF">
        <w:rPr>
          <w:rFonts w:cstheme="minorHAnsi"/>
          <w:sz w:val="24"/>
          <w:szCs w:val="24"/>
        </w:rPr>
        <w:t xml:space="preserve">(as a percentage of total investment pool) </w:t>
      </w:r>
      <w:r w:rsidRPr="00A047DF">
        <w:rPr>
          <w:rFonts w:cstheme="minorHAnsi"/>
          <w:sz w:val="24"/>
          <w:szCs w:val="24"/>
        </w:rPr>
        <w:t>that our Foundation holds in the endowment annually.</w:t>
      </w:r>
    </w:p>
    <w:p w14:paraId="3AAC4A92" w14:textId="77777777" w:rsidR="00103E0B" w:rsidRPr="00A047DF" w:rsidRDefault="00103E0B" w:rsidP="00103E0B">
      <w:pPr>
        <w:numPr>
          <w:ilvl w:val="2"/>
          <w:numId w:val="14"/>
        </w:numPr>
        <w:spacing w:after="0" w:line="256" w:lineRule="auto"/>
        <w:rPr>
          <w:rFonts w:cstheme="minorHAnsi"/>
          <w:sz w:val="24"/>
          <w:szCs w:val="24"/>
        </w:rPr>
      </w:pPr>
      <w:r w:rsidRPr="00A047DF">
        <w:rPr>
          <w:rFonts w:cstheme="minorHAnsi"/>
          <w:sz w:val="24"/>
          <w:szCs w:val="24"/>
        </w:rPr>
        <w:t xml:space="preserve">Over 20% of all STARS 2.0 Reporting institutions are currently doing this.  About 16 % disclose 100% of their holdings and the remaining schools disclose portions of their holdings. </w:t>
      </w:r>
    </w:p>
    <w:p w14:paraId="7EB5A1D2" w14:textId="77777777" w:rsidR="00103E0B" w:rsidRPr="00A047DF" w:rsidRDefault="00103E0B" w:rsidP="00103E0B">
      <w:pPr>
        <w:numPr>
          <w:ilvl w:val="2"/>
          <w:numId w:val="14"/>
        </w:numPr>
        <w:spacing w:after="0" w:line="256" w:lineRule="auto"/>
        <w:rPr>
          <w:rFonts w:cstheme="minorHAnsi"/>
          <w:sz w:val="24"/>
          <w:szCs w:val="24"/>
        </w:rPr>
      </w:pPr>
      <w:r w:rsidRPr="00A047DF">
        <w:rPr>
          <w:rFonts w:cstheme="minorHAnsi"/>
          <w:sz w:val="24"/>
          <w:szCs w:val="24"/>
        </w:rPr>
        <w:t>This could be used as a marketing tool.  Donors would know that x% of their donation would be invested in environmentally and socially responsible funds.</w:t>
      </w:r>
    </w:p>
    <w:p w14:paraId="190DECE1" w14:textId="77777777" w:rsidR="00103E0B" w:rsidRPr="00A047DF" w:rsidRDefault="00103E0B" w:rsidP="00103E0B">
      <w:pPr>
        <w:numPr>
          <w:ilvl w:val="1"/>
          <w:numId w:val="14"/>
        </w:numPr>
        <w:spacing w:after="0" w:line="256" w:lineRule="auto"/>
        <w:rPr>
          <w:rFonts w:cstheme="minorHAnsi"/>
          <w:sz w:val="24"/>
          <w:szCs w:val="24"/>
        </w:rPr>
      </w:pPr>
      <w:r w:rsidRPr="00A047DF">
        <w:rPr>
          <w:rFonts w:cstheme="minorHAnsi"/>
          <w:sz w:val="24"/>
          <w:szCs w:val="24"/>
        </w:rPr>
        <w:t xml:space="preserve">Become a signatory of the United Nations Principles for Responsible Investment Commitment.  Establishing a CIR and making snapshots of investments publicly available will allow us to meet the </w:t>
      </w:r>
      <w:hyperlink r:id="rId13" w:history="1">
        <w:r w:rsidRPr="00A047DF">
          <w:rPr>
            <w:rStyle w:val="Hyperlink"/>
            <w:rFonts w:cstheme="minorHAnsi"/>
            <w:sz w:val="24"/>
            <w:szCs w:val="24"/>
          </w:rPr>
          <w:t>requisite criteria</w:t>
        </w:r>
      </w:hyperlink>
      <w:r w:rsidRPr="00A047DF">
        <w:rPr>
          <w:rFonts w:cstheme="minorHAnsi"/>
          <w:sz w:val="24"/>
          <w:szCs w:val="24"/>
        </w:rPr>
        <w:t xml:space="preserve"> to be a signatory and gain positive recognition for our efforts.</w:t>
      </w:r>
      <w:r w:rsidRPr="00A047DF">
        <w:rPr>
          <w:rFonts w:cstheme="minorHAnsi"/>
          <w:sz w:val="24"/>
          <w:szCs w:val="24"/>
          <w:vertAlign w:val="superscript"/>
        </w:rPr>
        <w:footnoteReference w:id="10"/>
      </w:r>
    </w:p>
    <w:p w14:paraId="46452351" w14:textId="77777777" w:rsidR="00103E0B" w:rsidRPr="00A047DF" w:rsidRDefault="00103E0B" w:rsidP="00FD5909">
      <w:pPr>
        <w:pStyle w:val="ListParagraph"/>
        <w:ind w:left="2160"/>
        <w:rPr>
          <w:rFonts w:asciiTheme="minorHAnsi" w:eastAsia="Times New Roman" w:hAnsiTheme="minorHAnsi" w:cstheme="minorHAnsi"/>
          <w:color w:val="000000"/>
        </w:rPr>
      </w:pPr>
    </w:p>
    <w:p w14:paraId="6568C160" w14:textId="77777777" w:rsidR="00FD5909" w:rsidRPr="0087733C" w:rsidRDefault="0087733C" w:rsidP="0087733C">
      <w:pPr>
        <w:textAlignment w:val="center"/>
        <w:rPr>
          <w:rFonts w:eastAsia="Times New Roman" w:cstheme="minorHAnsi"/>
          <w:b/>
          <w:color w:val="000000"/>
          <w:sz w:val="28"/>
          <w:szCs w:val="28"/>
        </w:rPr>
      </w:pPr>
      <w:r w:rsidRPr="0087733C">
        <w:rPr>
          <w:rFonts w:eastAsia="Times New Roman" w:cstheme="minorHAnsi"/>
          <w:b/>
          <w:color w:val="000000"/>
          <w:sz w:val="28"/>
          <w:szCs w:val="28"/>
        </w:rPr>
        <w:lastRenderedPageBreak/>
        <w:t xml:space="preserve">6. </w:t>
      </w:r>
      <w:r w:rsidR="00FD5909" w:rsidRPr="0087733C">
        <w:rPr>
          <w:rFonts w:eastAsia="Times New Roman" w:cstheme="minorHAnsi"/>
          <w:b/>
          <w:color w:val="000000"/>
          <w:sz w:val="28"/>
          <w:szCs w:val="28"/>
          <w:u w:val="single"/>
        </w:rPr>
        <w:t>Update our Climate Action</w:t>
      </w:r>
      <w:r w:rsidR="00EF11B1" w:rsidRPr="0087733C">
        <w:rPr>
          <w:rFonts w:eastAsia="Times New Roman" w:cstheme="minorHAnsi"/>
          <w:b/>
          <w:color w:val="000000"/>
          <w:sz w:val="28"/>
          <w:szCs w:val="28"/>
          <w:u w:val="single"/>
        </w:rPr>
        <w:t xml:space="preserve"> Plan with the American College &amp; University</w:t>
      </w:r>
      <w:r w:rsidR="00FD5909" w:rsidRPr="0087733C">
        <w:rPr>
          <w:rFonts w:eastAsia="Times New Roman" w:cstheme="minorHAnsi"/>
          <w:b/>
          <w:color w:val="000000"/>
          <w:sz w:val="28"/>
          <w:szCs w:val="28"/>
          <w:u w:val="single"/>
        </w:rPr>
        <w:t xml:space="preserve"> Presidents’ Climate Commitment.</w:t>
      </w:r>
    </w:p>
    <w:p w14:paraId="7ECF6FBD" w14:textId="77777777" w:rsidR="00FD5909" w:rsidRPr="0087733C" w:rsidRDefault="00FD5909" w:rsidP="0087733C">
      <w:pPr>
        <w:pStyle w:val="ListParagraph"/>
        <w:numPr>
          <w:ilvl w:val="0"/>
          <w:numId w:val="14"/>
        </w:numPr>
        <w:textAlignment w:val="center"/>
        <w:rPr>
          <w:rFonts w:asciiTheme="minorHAnsi" w:hAnsiTheme="minorHAnsi" w:cstheme="minorHAnsi"/>
        </w:rPr>
      </w:pPr>
      <w:r w:rsidRPr="0087733C">
        <w:rPr>
          <w:rFonts w:asciiTheme="minorHAnsi" w:eastAsia="Times New Roman" w:hAnsiTheme="minorHAnsi" w:cstheme="minorHAnsi"/>
          <w:color w:val="000000"/>
        </w:rPr>
        <w:t>This requires key stakeholders setting achievable benchmarks and goals beyond 2020 that will serve us on our</w:t>
      </w:r>
      <w:r w:rsidR="00EF11B1" w:rsidRPr="0087733C">
        <w:rPr>
          <w:rFonts w:asciiTheme="minorHAnsi" w:eastAsia="Times New Roman" w:hAnsiTheme="minorHAnsi" w:cstheme="minorHAnsi"/>
          <w:color w:val="000000"/>
        </w:rPr>
        <w:t xml:space="preserve"> publicized</w:t>
      </w:r>
      <w:r w:rsidRPr="0087733C">
        <w:rPr>
          <w:rFonts w:asciiTheme="minorHAnsi" w:eastAsia="Times New Roman" w:hAnsiTheme="minorHAnsi" w:cstheme="minorHAnsi"/>
          <w:color w:val="000000"/>
        </w:rPr>
        <w:t xml:space="preserve"> path to climate neutrality by 2050.  </w:t>
      </w:r>
    </w:p>
    <w:p w14:paraId="76FEAD21" w14:textId="77777777" w:rsidR="00FD5909" w:rsidRPr="0087733C" w:rsidRDefault="00FD5909" w:rsidP="00FD5909">
      <w:pPr>
        <w:pStyle w:val="ListParagraph"/>
        <w:ind w:left="2160"/>
        <w:rPr>
          <w:rFonts w:asciiTheme="minorHAnsi" w:eastAsia="Times New Roman" w:hAnsiTheme="minorHAnsi" w:cstheme="minorHAnsi"/>
          <w:color w:val="000000"/>
          <w:sz w:val="28"/>
          <w:szCs w:val="28"/>
        </w:rPr>
      </w:pPr>
    </w:p>
    <w:p w14:paraId="2344B46A" w14:textId="77777777" w:rsidR="00FD5909" w:rsidRPr="0087733C" w:rsidRDefault="0087733C" w:rsidP="0087733C">
      <w:pPr>
        <w:textAlignment w:val="center"/>
        <w:rPr>
          <w:rFonts w:eastAsia="Times New Roman" w:cstheme="minorHAnsi"/>
          <w:b/>
          <w:color w:val="000000"/>
          <w:sz w:val="28"/>
          <w:szCs w:val="28"/>
        </w:rPr>
      </w:pPr>
      <w:r w:rsidRPr="0087733C">
        <w:rPr>
          <w:rFonts w:eastAsia="Times New Roman" w:cstheme="minorHAnsi"/>
          <w:b/>
          <w:color w:val="000000"/>
          <w:sz w:val="28"/>
          <w:szCs w:val="28"/>
        </w:rPr>
        <w:t xml:space="preserve">7. </w:t>
      </w:r>
      <w:r w:rsidR="00FD5909" w:rsidRPr="0087733C">
        <w:rPr>
          <w:rFonts w:eastAsia="Times New Roman" w:cstheme="minorHAnsi"/>
          <w:b/>
          <w:color w:val="000000"/>
          <w:sz w:val="28"/>
          <w:szCs w:val="28"/>
          <w:u w:val="single"/>
        </w:rPr>
        <w:t>Provide opportunities for professional staff development in sustainability, and integrate sustainability into daily job functions for employees whenever appropriate and feasible.</w:t>
      </w:r>
    </w:p>
    <w:p w14:paraId="1DCA0FDD" w14:textId="77777777" w:rsidR="0087733C" w:rsidRPr="0087733C" w:rsidRDefault="002B1AF6" w:rsidP="0087733C">
      <w:pPr>
        <w:pStyle w:val="ListParagraph"/>
        <w:numPr>
          <w:ilvl w:val="0"/>
          <w:numId w:val="14"/>
        </w:numPr>
        <w:textAlignment w:val="center"/>
        <w:rPr>
          <w:rFonts w:asciiTheme="minorHAnsi" w:eastAsia="Times New Roman" w:hAnsiTheme="minorHAnsi" w:cstheme="minorHAnsi"/>
          <w:color w:val="000000"/>
        </w:rPr>
      </w:pPr>
      <w:r w:rsidRPr="0087733C">
        <w:rPr>
          <w:rFonts w:asciiTheme="minorHAnsi" w:eastAsia="Times New Roman" w:hAnsiTheme="minorHAnsi" w:cstheme="minorHAnsi"/>
          <w:color w:val="000000"/>
        </w:rPr>
        <w:t xml:space="preserve">Welcome all new hires by introducing them to sustainability at FGCU and </w:t>
      </w:r>
      <w:r w:rsidR="004E023A" w:rsidRPr="0087733C">
        <w:rPr>
          <w:rFonts w:asciiTheme="minorHAnsi" w:eastAsia="Times New Roman" w:hAnsiTheme="minorHAnsi" w:cstheme="minorHAnsi"/>
          <w:color w:val="000000"/>
        </w:rPr>
        <w:t>showcasing</w:t>
      </w:r>
      <w:r w:rsidRPr="0087733C">
        <w:rPr>
          <w:rFonts w:asciiTheme="minorHAnsi" w:eastAsia="Times New Roman" w:hAnsiTheme="minorHAnsi" w:cstheme="minorHAnsi"/>
          <w:color w:val="000000"/>
        </w:rPr>
        <w:t xml:space="preserve"> </w:t>
      </w:r>
      <w:r w:rsidR="00997471" w:rsidRPr="0087733C">
        <w:rPr>
          <w:rFonts w:asciiTheme="minorHAnsi" w:eastAsia="Times New Roman" w:hAnsiTheme="minorHAnsi" w:cstheme="minorHAnsi"/>
          <w:color w:val="000000"/>
        </w:rPr>
        <w:t>the</w:t>
      </w:r>
      <w:r w:rsidRPr="0087733C">
        <w:rPr>
          <w:rFonts w:asciiTheme="minorHAnsi" w:eastAsia="Times New Roman" w:hAnsiTheme="minorHAnsi" w:cstheme="minorHAnsi"/>
          <w:color w:val="000000"/>
        </w:rPr>
        <w:t xml:space="preserve"> programs</w:t>
      </w:r>
      <w:r w:rsidR="00997471" w:rsidRPr="0087733C">
        <w:rPr>
          <w:rFonts w:asciiTheme="minorHAnsi" w:eastAsia="Times New Roman" w:hAnsiTheme="minorHAnsi" w:cstheme="minorHAnsi"/>
          <w:color w:val="000000"/>
        </w:rPr>
        <w:t xml:space="preserve"> and campus features</w:t>
      </w:r>
      <w:r w:rsidRPr="0087733C">
        <w:rPr>
          <w:rFonts w:asciiTheme="minorHAnsi" w:eastAsia="Times New Roman" w:hAnsiTheme="minorHAnsi" w:cstheme="minorHAnsi"/>
          <w:color w:val="000000"/>
        </w:rPr>
        <w:t xml:space="preserve"> that </w:t>
      </w:r>
      <w:r w:rsidR="004E023A" w:rsidRPr="0087733C">
        <w:rPr>
          <w:rFonts w:asciiTheme="minorHAnsi" w:eastAsia="Times New Roman" w:hAnsiTheme="minorHAnsi" w:cstheme="minorHAnsi"/>
          <w:color w:val="000000"/>
        </w:rPr>
        <w:t>can</w:t>
      </w:r>
      <w:r w:rsidRPr="0087733C">
        <w:rPr>
          <w:rFonts w:asciiTheme="minorHAnsi" w:eastAsia="Times New Roman" w:hAnsiTheme="minorHAnsi" w:cstheme="minorHAnsi"/>
          <w:color w:val="000000"/>
        </w:rPr>
        <w:t xml:space="preserve"> benefit them as employees</w:t>
      </w:r>
      <w:r w:rsidR="00997471" w:rsidRPr="0087733C">
        <w:rPr>
          <w:rFonts w:asciiTheme="minorHAnsi" w:eastAsia="Times New Roman" w:hAnsiTheme="minorHAnsi" w:cstheme="minorHAnsi"/>
          <w:color w:val="000000"/>
        </w:rPr>
        <w:t xml:space="preserve"> </w:t>
      </w:r>
      <w:r w:rsidR="004E023A" w:rsidRPr="0087733C">
        <w:rPr>
          <w:rFonts w:asciiTheme="minorHAnsi" w:eastAsia="Times New Roman" w:hAnsiTheme="minorHAnsi" w:cstheme="minorHAnsi"/>
          <w:color w:val="000000"/>
        </w:rPr>
        <w:t>(e.g. access to carpooling program and bike repair stations, person</w:t>
      </w:r>
      <w:r w:rsidR="00997471" w:rsidRPr="0087733C">
        <w:rPr>
          <w:rFonts w:asciiTheme="minorHAnsi" w:eastAsia="Times New Roman" w:hAnsiTheme="minorHAnsi" w:cstheme="minorHAnsi"/>
          <w:color w:val="000000"/>
        </w:rPr>
        <w:t>al shred and e-waste collection events</w:t>
      </w:r>
      <w:r w:rsidR="004E023A" w:rsidRPr="0087733C">
        <w:rPr>
          <w:rFonts w:asciiTheme="minorHAnsi" w:eastAsia="Times New Roman" w:hAnsiTheme="minorHAnsi" w:cstheme="minorHAnsi"/>
          <w:color w:val="000000"/>
        </w:rPr>
        <w:t xml:space="preserve">, the revered spaces that provide </w:t>
      </w:r>
      <w:r w:rsidR="00997471" w:rsidRPr="0087733C">
        <w:rPr>
          <w:rFonts w:asciiTheme="minorHAnsi" w:eastAsia="Times New Roman" w:hAnsiTheme="minorHAnsi" w:cstheme="minorHAnsi"/>
          <w:color w:val="000000"/>
        </w:rPr>
        <w:t>us</w:t>
      </w:r>
      <w:r w:rsidR="004E023A" w:rsidRPr="0087733C">
        <w:rPr>
          <w:rFonts w:asciiTheme="minorHAnsi" w:eastAsia="Times New Roman" w:hAnsiTheme="minorHAnsi" w:cstheme="minorHAnsi"/>
          <w:color w:val="000000"/>
        </w:rPr>
        <w:t xml:space="preserve"> with important ecosystem services, living with wildlife, etc.).  O</w:t>
      </w:r>
      <w:r w:rsidRPr="0087733C">
        <w:rPr>
          <w:rFonts w:asciiTheme="minorHAnsi" w:eastAsia="Times New Roman" w:hAnsiTheme="minorHAnsi" w:cstheme="minorHAnsi"/>
          <w:color w:val="000000"/>
        </w:rPr>
        <w:t>ffer additional introductory training to certain</w:t>
      </w:r>
      <w:r w:rsidR="004E023A" w:rsidRPr="0087733C">
        <w:rPr>
          <w:rFonts w:asciiTheme="minorHAnsi" w:eastAsia="Times New Roman" w:hAnsiTheme="minorHAnsi" w:cstheme="minorHAnsi"/>
          <w:color w:val="000000"/>
        </w:rPr>
        <w:t xml:space="preserve"> </w:t>
      </w:r>
      <w:r w:rsidRPr="0087733C">
        <w:rPr>
          <w:rFonts w:asciiTheme="minorHAnsi" w:eastAsia="Times New Roman" w:hAnsiTheme="minorHAnsi" w:cstheme="minorHAnsi"/>
          <w:color w:val="000000"/>
        </w:rPr>
        <w:t xml:space="preserve">positions, such as those responsible for purchasing. </w:t>
      </w:r>
    </w:p>
    <w:p w14:paraId="6BCF6474" w14:textId="77777777" w:rsidR="0087733C" w:rsidRPr="0087733C" w:rsidRDefault="00FD5909" w:rsidP="0087733C">
      <w:pPr>
        <w:pStyle w:val="ListParagraph"/>
        <w:numPr>
          <w:ilvl w:val="0"/>
          <w:numId w:val="14"/>
        </w:numPr>
        <w:textAlignment w:val="center"/>
        <w:rPr>
          <w:rFonts w:asciiTheme="minorHAnsi" w:eastAsia="Times New Roman" w:hAnsiTheme="minorHAnsi" w:cstheme="minorHAnsi"/>
          <w:color w:val="000000"/>
        </w:rPr>
      </w:pPr>
      <w:r w:rsidRPr="0087733C">
        <w:rPr>
          <w:rFonts w:asciiTheme="minorHAnsi" w:eastAsia="Times New Roman" w:hAnsiTheme="minorHAnsi" w:cstheme="minorHAnsi"/>
          <w:color w:val="000000"/>
        </w:rPr>
        <w:t xml:space="preserve">Internally offer </w:t>
      </w:r>
      <w:r w:rsidR="004E023A" w:rsidRPr="0087733C">
        <w:rPr>
          <w:rFonts w:asciiTheme="minorHAnsi" w:eastAsia="Times New Roman" w:hAnsiTheme="minorHAnsi" w:cstheme="minorHAnsi"/>
          <w:color w:val="000000"/>
        </w:rPr>
        <w:t xml:space="preserve">ongoing </w:t>
      </w:r>
      <w:r w:rsidRPr="0087733C">
        <w:rPr>
          <w:rFonts w:asciiTheme="minorHAnsi" w:eastAsia="Times New Roman" w:hAnsiTheme="minorHAnsi" w:cstheme="minorHAnsi"/>
          <w:color w:val="000000"/>
        </w:rPr>
        <w:t xml:space="preserve">sustainability job training for employees, creating sustainability experts to help decrease our institution’s ecological footprint, increase our commitment to civic engagement and diversity, and contribute to the development of a robust and thriving local economy.  </w:t>
      </w:r>
    </w:p>
    <w:p w14:paraId="0E4DA7CF" w14:textId="77777777" w:rsidR="006C665F" w:rsidRPr="0087733C" w:rsidRDefault="00FD5909" w:rsidP="0087733C">
      <w:pPr>
        <w:pStyle w:val="ListParagraph"/>
        <w:numPr>
          <w:ilvl w:val="0"/>
          <w:numId w:val="14"/>
        </w:numPr>
        <w:textAlignment w:val="center"/>
        <w:rPr>
          <w:rFonts w:asciiTheme="minorHAnsi" w:eastAsia="Times New Roman" w:hAnsiTheme="minorHAnsi" w:cstheme="minorHAnsi"/>
          <w:color w:val="000000"/>
        </w:rPr>
      </w:pPr>
      <w:r w:rsidRPr="0087733C">
        <w:rPr>
          <w:rFonts w:asciiTheme="minorHAnsi" w:eastAsia="Times New Roman" w:hAnsiTheme="minorHAnsi" w:cstheme="minorHAnsi"/>
          <w:color w:val="000000"/>
        </w:rPr>
        <w:t xml:space="preserve">Encourage employees to actively participate in regional and national external professional sustainability organizations such as the Sustainable Purchasing Leadership Council, Green Sports Alliance, Intentional Endowments Network, etc. Doing so will give employees the expertise needed to successfully incorporate sustainability into every facet of the institution and increase FGCU’s visibility as </w:t>
      </w:r>
      <w:r w:rsidR="00EF11B1" w:rsidRPr="0087733C">
        <w:rPr>
          <w:rFonts w:asciiTheme="minorHAnsi" w:eastAsia="Times New Roman" w:hAnsiTheme="minorHAnsi" w:cstheme="minorHAnsi"/>
          <w:color w:val="000000"/>
        </w:rPr>
        <w:t xml:space="preserve">a </w:t>
      </w:r>
      <w:r w:rsidRPr="0087733C">
        <w:rPr>
          <w:rFonts w:asciiTheme="minorHAnsi" w:eastAsia="Times New Roman" w:hAnsiTheme="minorHAnsi" w:cstheme="minorHAnsi"/>
          <w:color w:val="000000"/>
        </w:rPr>
        <w:t>sustainability leader.</w:t>
      </w:r>
    </w:p>
    <w:p w14:paraId="542B78CE" w14:textId="77777777" w:rsidR="0087733C" w:rsidRPr="0087733C" w:rsidRDefault="0087733C" w:rsidP="0087733C">
      <w:pPr>
        <w:pStyle w:val="ListParagraph"/>
        <w:textAlignment w:val="center"/>
        <w:rPr>
          <w:rFonts w:eastAsia="Times New Roman" w:cstheme="minorHAnsi"/>
          <w:color w:val="000000"/>
        </w:rPr>
      </w:pPr>
    </w:p>
    <w:p w14:paraId="22C6510D" w14:textId="77777777" w:rsidR="002E0151" w:rsidRPr="0087733C" w:rsidRDefault="0087733C" w:rsidP="00401B79">
      <w:pPr>
        <w:rPr>
          <w:rFonts w:eastAsia="Times New Roman" w:cstheme="minorHAnsi"/>
          <w:b/>
          <w:color w:val="0070C0"/>
          <w:sz w:val="28"/>
          <w:szCs w:val="28"/>
        </w:rPr>
      </w:pPr>
      <w:r w:rsidRPr="0087733C">
        <w:rPr>
          <w:rFonts w:eastAsia="Times New Roman" w:cstheme="minorHAnsi"/>
          <w:b/>
          <w:color w:val="0070C0"/>
          <w:sz w:val="28"/>
          <w:szCs w:val="28"/>
        </w:rPr>
        <w:t xml:space="preserve">CONCLUSION </w:t>
      </w:r>
    </w:p>
    <w:p w14:paraId="2D202DE0" w14:textId="77777777" w:rsidR="002E0151" w:rsidRPr="00A047DF" w:rsidRDefault="008C093E" w:rsidP="002E0151">
      <w:pPr>
        <w:textAlignment w:val="center"/>
        <w:rPr>
          <w:rFonts w:eastAsia="Times New Roman" w:cstheme="minorHAnsi"/>
          <w:color w:val="000000"/>
          <w:sz w:val="24"/>
          <w:szCs w:val="24"/>
        </w:rPr>
      </w:pPr>
      <w:r w:rsidRPr="00A047DF">
        <w:rPr>
          <w:rFonts w:eastAsia="Times New Roman" w:cstheme="minorHAnsi"/>
          <w:color w:val="000000"/>
          <w:sz w:val="24"/>
          <w:szCs w:val="24"/>
        </w:rPr>
        <w:t xml:space="preserve">FGCU is regionally and </w:t>
      </w:r>
      <w:r w:rsidR="00C80D12" w:rsidRPr="00A047DF">
        <w:rPr>
          <w:rFonts w:eastAsia="Times New Roman" w:cstheme="minorHAnsi"/>
          <w:color w:val="000000"/>
          <w:sz w:val="24"/>
          <w:szCs w:val="24"/>
        </w:rPr>
        <w:t xml:space="preserve">nationally recognized </w:t>
      </w:r>
      <w:r w:rsidR="009A3E61" w:rsidRPr="00A047DF">
        <w:rPr>
          <w:rFonts w:eastAsia="Times New Roman" w:cstheme="minorHAnsi"/>
          <w:color w:val="000000"/>
          <w:sz w:val="24"/>
          <w:szCs w:val="24"/>
        </w:rPr>
        <w:t xml:space="preserve">for </w:t>
      </w:r>
      <w:r w:rsidRPr="00A047DF">
        <w:rPr>
          <w:rFonts w:eastAsia="Times New Roman" w:cstheme="minorHAnsi"/>
          <w:color w:val="000000"/>
          <w:sz w:val="24"/>
          <w:szCs w:val="24"/>
        </w:rPr>
        <w:t>many of</w:t>
      </w:r>
      <w:r w:rsidR="00C80D12" w:rsidRPr="00A047DF">
        <w:rPr>
          <w:rFonts w:eastAsia="Times New Roman" w:cstheme="minorHAnsi"/>
          <w:color w:val="000000"/>
          <w:sz w:val="24"/>
          <w:szCs w:val="24"/>
        </w:rPr>
        <w:t xml:space="preserve"> our </w:t>
      </w:r>
      <w:r w:rsidR="00722D6D" w:rsidRPr="00A047DF">
        <w:rPr>
          <w:rFonts w:eastAsia="Times New Roman" w:cstheme="minorHAnsi"/>
          <w:color w:val="000000"/>
          <w:sz w:val="24"/>
          <w:szCs w:val="24"/>
        </w:rPr>
        <w:t>sustainability</w:t>
      </w:r>
      <w:r w:rsidR="00C80D12" w:rsidRPr="00A047DF">
        <w:rPr>
          <w:rFonts w:eastAsia="Times New Roman" w:cstheme="minorHAnsi"/>
          <w:color w:val="000000"/>
          <w:sz w:val="24"/>
          <w:szCs w:val="24"/>
        </w:rPr>
        <w:t xml:space="preserve"> efforts</w:t>
      </w:r>
      <w:r w:rsidR="002E0151" w:rsidRPr="00A047DF">
        <w:rPr>
          <w:rFonts w:eastAsia="Times New Roman" w:cstheme="minorHAnsi"/>
          <w:color w:val="000000"/>
          <w:sz w:val="24"/>
          <w:szCs w:val="24"/>
        </w:rPr>
        <w:t xml:space="preserve">.  </w:t>
      </w:r>
      <w:r w:rsidR="00162AF6" w:rsidRPr="00A047DF">
        <w:rPr>
          <w:rFonts w:eastAsia="Times New Roman" w:cstheme="minorHAnsi"/>
          <w:color w:val="000000"/>
          <w:sz w:val="24"/>
          <w:szCs w:val="24"/>
        </w:rPr>
        <w:t xml:space="preserve">By </w:t>
      </w:r>
      <w:r w:rsidRPr="00A047DF">
        <w:rPr>
          <w:rFonts w:eastAsia="Times New Roman" w:cstheme="minorHAnsi"/>
          <w:color w:val="000000"/>
          <w:sz w:val="24"/>
          <w:szCs w:val="24"/>
        </w:rPr>
        <w:t xml:space="preserve">analyzing </w:t>
      </w:r>
      <w:r w:rsidR="00162AF6" w:rsidRPr="00A047DF">
        <w:rPr>
          <w:rFonts w:eastAsia="Times New Roman" w:cstheme="minorHAnsi"/>
          <w:color w:val="000000"/>
          <w:sz w:val="24"/>
          <w:szCs w:val="24"/>
        </w:rPr>
        <w:t>the progress made towards the goals</w:t>
      </w:r>
      <w:r w:rsidR="00EF11B1" w:rsidRPr="00A047DF">
        <w:rPr>
          <w:rFonts w:eastAsia="Times New Roman" w:cstheme="minorHAnsi"/>
          <w:color w:val="000000"/>
          <w:sz w:val="24"/>
          <w:szCs w:val="24"/>
        </w:rPr>
        <w:t>, we were</w:t>
      </w:r>
      <w:r w:rsidR="00162AF6" w:rsidRPr="00A047DF">
        <w:rPr>
          <w:rFonts w:eastAsia="Times New Roman" w:cstheme="minorHAnsi"/>
          <w:color w:val="000000"/>
          <w:sz w:val="24"/>
          <w:szCs w:val="24"/>
        </w:rPr>
        <w:t xml:space="preserve"> </w:t>
      </w:r>
      <w:r w:rsidR="00162AF6" w:rsidRPr="00A047DF">
        <w:rPr>
          <w:rFonts w:eastAsia="Times New Roman" w:cstheme="minorHAnsi"/>
          <w:color w:val="000000"/>
          <w:sz w:val="24"/>
          <w:szCs w:val="24"/>
        </w:rPr>
        <w:lastRenderedPageBreak/>
        <w:t xml:space="preserve">able to identify where we have established </w:t>
      </w:r>
      <w:r w:rsidRPr="00A047DF">
        <w:rPr>
          <w:rFonts w:eastAsia="Times New Roman" w:cstheme="minorHAnsi"/>
          <w:color w:val="000000"/>
          <w:sz w:val="24"/>
          <w:szCs w:val="24"/>
        </w:rPr>
        <w:t>successful</w:t>
      </w:r>
      <w:r w:rsidR="00162AF6" w:rsidRPr="00A047DF">
        <w:rPr>
          <w:rFonts w:eastAsia="Times New Roman" w:cstheme="minorHAnsi"/>
          <w:color w:val="000000"/>
          <w:sz w:val="24"/>
          <w:szCs w:val="24"/>
        </w:rPr>
        <w:t xml:space="preserve"> and ongoing programs and where we could afford to improve. </w:t>
      </w:r>
      <w:r w:rsidR="002E0151" w:rsidRPr="00A047DF">
        <w:rPr>
          <w:rFonts w:eastAsia="Times New Roman" w:cstheme="minorHAnsi"/>
          <w:color w:val="000000"/>
          <w:sz w:val="24"/>
          <w:szCs w:val="24"/>
        </w:rPr>
        <w:t xml:space="preserve">The ESC </w:t>
      </w:r>
      <w:r w:rsidRPr="00A047DF">
        <w:rPr>
          <w:rFonts w:eastAsia="Times New Roman" w:cstheme="minorHAnsi"/>
          <w:color w:val="000000"/>
          <w:sz w:val="24"/>
          <w:szCs w:val="24"/>
        </w:rPr>
        <w:t>suggests</w:t>
      </w:r>
      <w:r w:rsidR="002E0151" w:rsidRPr="00A047DF">
        <w:rPr>
          <w:rFonts w:eastAsia="Times New Roman" w:cstheme="minorHAnsi"/>
          <w:color w:val="000000"/>
          <w:sz w:val="24"/>
          <w:szCs w:val="24"/>
        </w:rPr>
        <w:t xml:space="preserve"> that the aforementioned recommendations be integrated into our overall campus Strategic Planning process</w:t>
      </w:r>
      <w:r w:rsidR="0083261A" w:rsidRPr="00A047DF">
        <w:rPr>
          <w:rFonts w:eastAsia="Times New Roman" w:cstheme="minorHAnsi"/>
          <w:color w:val="000000"/>
          <w:sz w:val="24"/>
          <w:szCs w:val="24"/>
        </w:rPr>
        <w:t xml:space="preserve"> and that departments be encouraged to report on their sustainab</w:t>
      </w:r>
      <w:r w:rsidR="001B3859" w:rsidRPr="00A047DF">
        <w:rPr>
          <w:rFonts w:eastAsia="Times New Roman" w:cstheme="minorHAnsi"/>
          <w:color w:val="000000"/>
          <w:sz w:val="24"/>
          <w:szCs w:val="24"/>
        </w:rPr>
        <w:t>i</w:t>
      </w:r>
      <w:r w:rsidR="0083261A" w:rsidRPr="00A047DF">
        <w:rPr>
          <w:rFonts w:eastAsia="Times New Roman" w:cstheme="minorHAnsi"/>
          <w:color w:val="000000"/>
          <w:sz w:val="24"/>
          <w:szCs w:val="24"/>
        </w:rPr>
        <w:t>l</w:t>
      </w:r>
      <w:r w:rsidR="001B3859" w:rsidRPr="00A047DF">
        <w:rPr>
          <w:rFonts w:eastAsia="Times New Roman" w:cstheme="minorHAnsi"/>
          <w:color w:val="000000"/>
          <w:sz w:val="24"/>
          <w:szCs w:val="24"/>
        </w:rPr>
        <w:t>it</w:t>
      </w:r>
      <w:r w:rsidR="0083261A" w:rsidRPr="00A047DF">
        <w:rPr>
          <w:rFonts w:eastAsia="Times New Roman" w:cstheme="minorHAnsi"/>
          <w:color w:val="000000"/>
          <w:sz w:val="24"/>
          <w:szCs w:val="24"/>
        </w:rPr>
        <w:t>y goals</w:t>
      </w:r>
      <w:r w:rsidR="00FE49D9" w:rsidRPr="00A047DF">
        <w:rPr>
          <w:rFonts w:eastAsia="Times New Roman" w:cstheme="minorHAnsi"/>
          <w:color w:val="000000"/>
          <w:sz w:val="24"/>
          <w:szCs w:val="24"/>
        </w:rPr>
        <w:t>,</w:t>
      </w:r>
      <w:r w:rsidR="0083261A" w:rsidRPr="00A047DF">
        <w:rPr>
          <w:rFonts w:eastAsia="Times New Roman" w:cstheme="minorHAnsi"/>
          <w:color w:val="000000"/>
          <w:sz w:val="24"/>
          <w:szCs w:val="24"/>
        </w:rPr>
        <w:t xml:space="preserve"> </w:t>
      </w:r>
      <w:r w:rsidR="002E0151" w:rsidRPr="00A047DF">
        <w:rPr>
          <w:rFonts w:eastAsia="Times New Roman" w:cstheme="minorHAnsi"/>
          <w:color w:val="000000"/>
          <w:sz w:val="24"/>
          <w:szCs w:val="24"/>
        </w:rPr>
        <w:t>so they may be realized</w:t>
      </w:r>
      <w:r w:rsidR="00FE49D9" w:rsidRPr="00A047DF">
        <w:rPr>
          <w:rFonts w:eastAsia="Times New Roman" w:cstheme="minorHAnsi"/>
          <w:color w:val="000000"/>
          <w:sz w:val="24"/>
          <w:szCs w:val="24"/>
        </w:rPr>
        <w:t>,</w:t>
      </w:r>
      <w:r w:rsidR="00162AF6" w:rsidRPr="00A047DF">
        <w:rPr>
          <w:rFonts w:eastAsia="Times New Roman" w:cstheme="minorHAnsi"/>
          <w:color w:val="000000"/>
          <w:sz w:val="24"/>
          <w:szCs w:val="24"/>
        </w:rPr>
        <w:t xml:space="preserve"> and we can </w:t>
      </w:r>
      <w:r w:rsidR="0032254D" w:rsidRPr="00A047DF">
        <w:rPr>
          <w:rFonts w:eastAsia="Times New Roman" w:cstheme="minorHAnsi"/>
          <w:color w:val="000000"/>
          <w:sz w:val="24"/>
          <w:szCs w:val="24"/>
        </w:rPr>
        <w:t xml:space="preserve">maintain our </w:t>
      </w:r>
      <w:r w:rsidR="00710AF8" w:rsidRPr="00A047DF">
        <w:rPr>
          <w:rFonts w:eastAsia="Times New Roman" w:cstheme="minorHAnsi"/>
          <w:color w:val="000000"/>
          <w:sz w:val="24"/>
          <w:szCs w:val="24"/>
        </w:rPr>
        <w:t>recognition</w:t>
      </w:r>
      <w:r w:rsidR="0032254D" w:rsidRPr="00A047DF">
        <w:rPr>
          <w:rFonts w:eastAsia="Times New Roman" w:cstheme="minorHAnsi"/>
          <w:color w:val="000000"/>
          <w:sz w:val="24"/>
          <w:szCs w:val="24"/>
        </w:rPr>
        <w:t xml:space="preserve"> as a leader in campus sustainability.</w:t>
      </w:r>
    </w:p>
    <w:p w14:paraId="468CAF29" w14:textId="77777777" w:rsidR="00350A6F" w:rsidRPr="00A047DF" w:rsidRDefault="00350A6F" w:rsidP="002E0151">
      <w:pPr>
        <w:textAlignment w:val="center"/>
        <w:rPr>
          <w:rFonts w:eastAsia="Times New Roman" w:cstheme="minorHAnsi"/>
          <w:color w:val="000000"/>
          <w:sz w:val="24"/>
          <w:szCs w:val="24"/>
        </w:rPr>
      </w:pPr>
    </w:p>
    <w:sectPr w:rsidR="00350A6F" w:rsidRPr="00A047DF" w:rsidSect="00A13A61">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AE716" w14:textId="77777777" w:rsidR="005C50BD" w:rsidRDefault="005C50BD" w:rsidP="005D7990">
      <w:pPr>
        <w:spacing w:after="0" w:line="240" w:lineRule="auto"/>
      </w:pPr>
      <w:r>
        <w:separator/>
      </w:r>
    </w:p>
  </w:endnote>
  <w:endnote w:type="continuationSeparator" w:id="0">
    <w:p w14:paraId="7DA47429" w14:textId="77777777" w:rsidR="005C50BD" w:rsidRDefault="005C50BD" w:rsidP="005D7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736852"/>
      <w:docPartObj>
        <w:docPartGallery w:val="Page Numbers (Bottom of Page)"/>
        <w:docPartUnique/>
      </w:docPartObj>
    </w:sdtPr>
    <w:sdtEndPr>
      <w:rPr>
        <w:noProof/>
      </w:rPr>
    </w:sdtEndPr>
    <w:sdtContent>
      <w:p w14:paraId="1AB7745C" w14:textId="77777777" w:rsidR="0087733C" w:rsidRDefault="0087733C">
        <w:pPr>
          <w:pStyle w:val="Footer"/>
          <w:jc w:val="right"/>
        </w:pPr>
        <w:r>
          <w:fldChar w:fldCharType="begin"/>
        </w:r>
        <w:r>
          <w:instrText xml:space="preserve"> PAGE   \* MERGEFORMAT </w:instrText>
        </w:r>
        <w:r>
          <w:fldChar w:fldCharType="separate"/>
        </w:r>
        <w:r w:rsidR="00B4445B">
          <w:rPr>
            <w:noProof/>
          </w:rPr>
          <w:t>4</w:t>
        </w:r>
        <w:r>
          <w:rPr>
            <w:noProof/>
          </w:rPr>
          <w:fldChar w:fldCharType="end"/>
        </w:r>
      </w:p>
    </w:sdtContent>
  </w:sdt>
  <w:p w14:paraId="0AF79F54" w14:textId="77777777" w:rsidR="0087733C" w:rsidRDefault="00877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3A738" w14:textId="77777777" w:rsidR="005C50BD" w:rsidRDefault="005C50BD" w:rsidP="005D7990">
      <w:pPr>
        <w:spacing w:after="0" w:line="240" w:lineRule="auto"/>
      </w:pPr>
      <w:r>
        <w:separator/>
      </w:r>
    </w:p>
  </w:footnote>
  <w:footnote w:type="continuationSeparator" w:id="0">
    <w:p w14:paraId="6EAFBCC6" w14:textId="77777777" w:rsidR="005C50BD" w:rsidRDefault="005C50BD" w:rsidP="005D7990">
      <w:pPr>
        <w:spacing w:after="0" w:line="240" w:lineRule="auto"/>
      </w:pPr>
      <w:r>
        <w:continuationSeparator/>
      </w:r>
    </w:p>
  </w:footnote>
  <w:footnote w:id="1">
    <w:p w14:paraId="23067BD6" w14:textId="77777777" w:rsidR="00BD6D6B" w:rsidRPr="00BD6D6B" w:rsidRDefault="00BD6D6B" w:rsidP="00BD6D6B">
      <w:pPr>
        <w:rPr>
          <w:rFonts w:cstheme="minorHAnsi"/>
          <w:sz w:val="20"/>
          <w:szCs w:val="20"/>
        </w:rPr>
      </w:pPr>
      <w:r>
        <w:rPr>
          <w:rStyle w:val="FootnoteReference"/>
        </w:rPr>
        <w:footnoteRef/>
      </w:r>
      <w:r w:rsidRPr="00BD6D6B">
        <w:rPr>
          <w:sz w:val="20"/>
          <w:szCs w:val="20"/>
        </w:rPr>
        <w:t xml:space="preserve"> </w:t>
      </w:r>
      <w:r w:rsidRPr="00BD6D6B">
        <w:rPr>
          <w:rFonts w:cstheme="minorHAnsi"/>
          <w:sz w:val="20"/>
          <w:szCs w:val="20"/>
        </w:rPr>
        <w:t xml:space="preserve">Approved 10/27/2011; for references imbedded in the definition, please access the full definition </w:t>
      </w:r>
      <w:r>
        <w:rPr>
          <w:rFonts w:cstheme="minorHAnsi"/>
          <w:sz w:val="20"/>
          <w:szCs w:val="20"/>
        </w:rPr>
        <w:t xml:space="preserve">available at </w:t>
      </w:r>
      <w:hyperlink r:id="rId1" w:history="1">
        <w:r w:rsidRPr="00BD6D6B">
          <w:rPr>
            <w:rStyle w:val="Hyperlink"/>
            <w:rFonts w:cstheme="minorHAnsi"/>
            <w:sz w:val="20"/>
            <w:szCs w:val="20"/>
          </w:rPr>
          <w:t>http://www.fgcu.edu/Provost/files/Env-Sustainability-Definition_approved-102711.pdf</w:t>
        </w:r>
      </w:hyperlink>
    </w:p>
    <w:p w14:paraId="4AC989B9" w14:textId="77777777" w:rsidR="00BD6D6B" w:rsidRDefault="00BD6D6B">
      <w:pPr>
        <w:pStyle w:val="FootnoteText"/>
      </w:pPr>
    </w:p>
  </w:footnote>
  <w:footnote w:id="2">
    <w:p w14:paraId="30B554E6" w14:textId="77777777" w:rsidR="00BD6D6B" w:rsidRDefault="00BD6D6B" w:rsidP="00BD6D6B">
      <w:pPr>
        <w:pStyle w:val="FootnoteText"/>
      </w:pPr>
      <w:r>
        <w:rPr>
          <w:rStyle w:val="FootnoteReference"/>
        </w:rPr>
        <w:footnoteRef/>
      </w:r>
      <w:r>
        <w:t xml:space="preserve"> The strategies and frameworks described in this section were informed by Second Nature’s recent publication available at </w:t>
      </w:r>
      <w:hyperlink r:id="rId2" w:history="1">
        <w:r>
          <w:rPr>
            <w:rStyle w:val="Hyperlink"/>
          </w:rPr>
          <w:t>http://secondnature.org/climate-guidance/sustainability-planning-and-climate-action-guide/</w:t>
        </w:r>
      </w:hyperlink>
      <w:r>
        <w:t xml:space="preserve"> and raw data pulled from the AASHE STARS reports from institutions with 10,000-20,000 FTE students.  Second Nature and AASHE are the leading authorities on integrating and implementing sustainability across higher education.</w:t>
      </w:r>
    </w:p>
  </w:footnote>
  <w:footnote w:id="3">
    <w:p w14:paraId="3786DB77" w14:textId="77777777" w:rsidR="00BD6D6B" w:rsidRDefault="00BD6D6B">
      <w:pPr>
        <w:pStyle w:val="FootnoteText"/>
      </w:pPr>
      <w:r>
        <w:rPr>
          <w:rStyle w:val="FootnoteReference"/>
        </w:rPr>
        <w:footnoteRef/>
      </w:r>
      <w:r>
        <w:t xml:space="preserve"> Florida Gulf Coast University Environmental Sustainability Committee (2013). “</w:t>
      </w:r>
      <w:r w:rsidRPr="005B04B5">
        <w:t>Florida Gulf Coast Univ</w:t>
      </w:r>
      <w:r>
        <w:t xml:space="preserve">ersity Campus Land Use.” Available online at </w:t>
      </w:r>
      <w:hyperlink r:id="rId3" w:history="1">
        <w:r w:rsidRPr="00501483">
          <w:rPr>
            <w:rStyle w:val="Hyperlink"/>
          </w:rPr>
          <w:t>http://www.fgcu.edu/Provost/files/Final_Campus_Land_Use_Report.pdf</w:t>
        </w:r>
      </w:hyperlink>
      <w:r>
        <w:t>.</w:t>
      </w:r>
    </w:p>
  </w:footnote>
  <w:footnote w:id="4">
    <w:p w14:paraId="4B9E2AE3" w14:textId="77777777" w:rsidR="00103E0B" w:rsidRDefault="00103E0B" w:rsidP="00103E0B">
      <w:pPr>
        <w:pStyle w:val="FootnoteText"/>
      </w:pPr>
      <w:r>
        <w:rPr>
          <w:rStyle w:val="FootnoteReference"/>
        </w:rPr>
        <w:footnoteRef/>
      </w:r>
      <w:r>
        <w:t xml:space="preserve"> Florida Gulf Coast University Definition of Environmental Sustainability (Approved in October, 2011). Available at </w:t>
      </w:r>
      <w:hyperlink r:id="rId4" w:history="1">
        <w:r>
          <w:rPr>
            <w:rStyle w:val="Hyperlink"/>
          </w:rPr>
          <w:t>http://www.fgcu.edu/Provost/files/Env-Sustainability-Definition_approved-102711.pdf</w:t>
        </w:r>
      </w:hyperlink>
      <w:r>
        <w:t xml:space="preserve"> </w:t>
      </w:r>
    </w:p>
  </w:footnote>
  <w:footnote w:id="5">
    <w:p w14:paraId="0DE02B52" w14:textId="77777777" w:rsidR="0087733C" w:rsidRDefault="0087733C">
      <w:pPr>
        <w:pStyle w:val="FootnoteText"/>
      </w:pPr>
      <w:r>
        <w:rPr>
          <w:rStyle w:val="FootnoteReference"/>
        </w:rPr>
        <w:footnoteRef/>
      </w:r>
      <w:r>
        <w:t xml:space="preserve"> Hignite, K. (2015). “Pay it Onward.”  </w:t>
      </w:r>
      <w:r w:rsidRPr="005D7990">
        <w:rPr>
          <w:i/>
        </w:rPr>
        <w:t>Business Officer</w:t>
      </w:r>
      <w:r>
        <w:t xml:space="preserve">, Vol. 48, No. 10. Available online at </w:t>
      </w:r>
      <w:hyperlink r:id="rId5" w:history="1">
        <w:r w:rsidRPr="00461B04">
          <w:rPr>
            <w:rStyle w:val="Hyperlink"/>
          </w:rPr>
          <w:t>http://www.nacubo.org/Business_Officer_Magazine/Current_Issue/May2015/Pay_It_Onward.html</w:t>
        </w:r>
      </w:hyperlink>
      <w:r>
        <w:t>.</w:t>
      </w:r>
    </w:p>
  </w:footnote>
  <w:footnote w:id="6">
    <w:p w14:paraId="6BEAAEFF" w14:textId="77777777" w:rsidR="00103E0B" w:rsidRDefault="00103E0B" w:rsidP="00103E0B">
      <w:pPr>
        <w:pStyle w:val="FootnoteText"/>
      </w:pPr>
      <w:r>
        <w:rPr>
          <w:rStyle w:val="FootnoteReference"/>
        </w:rPr>
        <w:footnoteRef/>
      </w:r>
      <w:r>
        <w:t xml:space="preserve"> Komisar, S. (2015).  Energy Efficiency: A Key Component of Environmental Sustainability Efforts and a Source of Substantial Cost Savings for FGCU.  Available at </w:t>
      </w:r>
      <w:hyperlink r:id="rId6" w:history="1">
        <w:r>
          <w:rPr>
            <w:rStyle w:val="Hyperlink"/>
          </w:rPr>
          <w:t>http://www.fgcu.edu/EHS/Files/ESC_Energy_ReportApril2015.pdf</w:t>
        </w:r>
      </w:hyperlink>
      <w:r>
        <w:t xml:space="preserve"> </w:t>
      </w:r>
    </w:p>
  </w:footnote>
  <w:footnote w:id="7">
    <w:p w14:paraId="25484E0C" w14:textId="77777777" w:rsidR="00103E0B" w:rsidRDefault="00103E0B" w:rsidP="00103E0B">
      <w:pPr>
        <w:pStyle w:val="FootnoteText"/>
      </w:pPr>
      <w:r>
        <w:rPr>
          <w:rStyle w:val="FootnoteReference"/>
        </w:rPr>
        <w:footnoteRef/>
      </w:r>
      <w:r>
        <w:t xml:space="preserve"> Patey, L. A. (2009). Against the Asian tide: The Sudan divestment campaign. </w:t>
      </w:r>
      <w:r>
        <w:rPr>
          <w:i/>
        </w:rPr>
        <w:t>The Journal of Modern African Studies</w:t>
      </w:r>
      <w:r>
        <w:t xml:space="preserve">, </w:t>
      </w:r>
      <w:r>
        <w:rPr>
          <w:i/>
        </w:rPr>
        <w:t>47</w:t>
      </w:r>
      <w:r>
        <w:t>(04), 551-573.</w:t>
      </w:r>
    </w:p>
    <w:p w14:paraId="61E6DAEE" w14:textId="77777777" w:rsidR="00103E0B" w:rsidRDefault="00103E0B" w:rsidP="00103E0B">
      <w:pPr>
        <w:pStyle w:val="FootnoteText"/>
      </w:pPr>
      <w:r>
        <w:t>Free, F. (2015). What is Fossil Fuel Divestment.</w:t>
      </w:r>
    </w:p>
  </w:footnote>
  <w:footnote w:id="8">
    <w:p w14:paraId="7069BB9E" w14:textId="77777777" w:rsidR="00103E0B" w:rsidRDefault="00103E0B" w:rsidP="00103E0B">
      <w:pPr>
        <w:pStyle w:val="FootnoteText"/>
      </w:pPr>
      <w:r>
        <w:rPr>
          <w:rStyle w:val="FootnoteReference"/>
        </w:rPr>
        <w:footnoteRef/>
      </w:r>
      <w:r>
        <w:t xml:space="preserve"> Feldberg, M. (1978). </w:t>
      </w:r>
      <w:r>
        <w:rPr>
          <w:i/>
        </w:rPr>
        <w:t>American universities: divestment of stock in US corporations with South African affiliates</w:t>
      </w:r>
      <w:r>
        <w:t>. Graduate School of Business, University of Cape Town.</w:t>
      </w:r>
    </w:p>
  </w:footnote>
  <w:footnote w:id="9">
    <w:p w14:paraId="234F9077" w14:textId="77777777" w:rsidR="00103E0B" w:rsidRDefault="00103E0B" w:rsidP="00103E0B">
      <w:pPr>
        <w:pStyle w:val="FootnoteText"/>
      </w:pPr>
      <w:r>
        <w:rPr>
          <w:rStyle w:val="FootnoteReference"/>
        </w:rPr>
        <w:footnoteRef/>
      </w:r>
      <w:r>
        <w:t xml:space="preserve"> Investopedia (n.d.). Environmental, Social &amp; Governance (ESG) Criteria. Available at  </w:t>
      </w:r>
      <w:hyperlink r:id="rId7" w:history="1">
        <w:r>
          <w:rPr>
            <w:rStyle w:val="Hyperlink"/>
          </w:rPr>
          <w:t>http://www.investopedia.com/terms/e/environmental-social-and-governance-esg-criteria.asp?header_alt=true</w:t>
        </w:r>
      </w:hyperlink>
      <w:r>
        <w:t xml:space="preserve"> </w:t>
      </w:r>
    </w:p>
  </w:footnote>
  <w:footnote w:id="10">
    <w:p w14:paraId="3E65E6A5" w14:textId="77777777" w:rsidR="00103E0B" w:rsidRDefault="00103E0B" w:rsidP="00103E0B">
      <w:pPr>
        <w:pStyle w:val="FootnoteText"/>
      </w:pPr>
      <w:r>
        <w:rPr>
          <w:rStyle w:val="FootnoteReference"/>
        </w:rPr>
        <w:footnoteRef/>
      </w:r>
      <w:r>
        <w:t xml:space="preserve"> The requite criteria includes six principles that are available at </w:t>
      </w:r>
      <w:hyperlink r:id="rId8" w:history="1">
        <w:r>
          <w:rPr>
            <w:rStyle w:val="Hyperlink"/>
          </w:rPr>
          <w:t>http://www.unpri.org/about-pri/the-six-principles/</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A2054"/>
    <w:multiLevelType w:val="hybridMultilevel"/>
    <w:tmpl w:val="379A99AE"/>
    <w:lvl w:ilvl="0" w:tplc="0409000B">
      <w:start w:val="1"/>
      <w:numFmt w:val="bullet"/>
      <w:lvlText w:val=""/>
      <w:lvlJc w:val="left"/>
      <w:pPr>
        <w:ind w:left="720" w:hanging="360"/>
      </w:pPr>
      <w:rPr>
        <w:rFonts w:ascii="Wingdings" w:hAnsi="Wingdings"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F4313BE"/>
    <w:multiLevelType w:val="hybridMultilevel"/>
    <w:tmpl w:val="32BCCC8C"/>
    <w:lvl w:ilvl="0" w:tplc="B53AEAE4">
      <w:start w:val="1"/>
      <w:numFmt w:val="decimal"/>
      <w:lvlText w:val="%1."/>
      <w:lvlJc w:val="left"/>
      <w:pPr>
        <w:ind w:left="720" w:hanging="360"/>
      </w:pPr>
      <w:rPr>
        <w:rFonts w:asciiTheme="minorHAnsi" w:eastAsia="Times New Roman" w:hAnsiTheme="minorHAnsi" w:cstheme="minorHAnsi"/>
        <w:sz w:val="22"/>
        <w:szCs w:val="22"/>
      </w:rPr>
    </w:lvl>
    <w:lvl w:ilvl="1" w:tplc="A2C8552E">
      <w:start w:val="1"/>
      <w:numFmt w:val="lowerLetter"/>
      <w:lvlText w:val="%2)"/>
      <w:lvlJc w:val="left"/>
      <w:pPr>
        <w:ind w:left="1440" w:hanging="360"/>
      </w:pPr>
      <w:rPr>
        <w:rFonts w:asciiTheme="minorHAnsi" w:hAnsiTheme="minorHAnsi" w:cstheme="minorHAnsi" w:hint="default"/>
        <w:b w:val="0"/>
        <w:sz w:val="22"/>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2D578F"/>
    <w:multiLevelType w:val="hybridMultilevel"/>
    <w:tmpl w:val="B6A8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0221BB"/>
    <w:multiLevelType w:val="hybridMultilevel"/>
    <w:tmpl w:val="80909F2C"/>
    <w:lvl w:ilvl="0" w:tplc="0409000B">
      <w:start w:val="1"/>
      <w:numFmt w:val="bullet"/>
      <w:lvlText w:val=""/>
      <w:lvlJc w:val="left"/>
      <w:pPr>
        <w:ind w:left="720" w:hanging="360"/>
      </w:pPr>
      <w:rPr>
        <w:rFonts w:ascii="Wingdings" w:hAnsi="Wingding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3586976"/>
    <w:multiLevelType w:val="hybridMultilevel"/>
    <w:tmpl w:val="61FC9B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6367302"/>
    <w:multiLevelType w:val="hybridMultilevel"/>
    <w:tmpl w:val="F78ECA94"/>
    <w:lvl w:ilvl="0" w:tplc="0409000B">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850072C"/>
    <w:multiLevelType w:val="hybridMultilevel"/>
    <w:tmpl w:val="A5EAAAE2"/>
    <w:lvl w:ilvl="0" w:tplc="0409000B">
      <w:start w:val="1"/>
      <w:numFmt w:val="bullet"/>
      <w:lvlText w:val=""/>
      <w:lvlJc w:val="left"/>
      <w:pPr>
        <w:ind w:left="720" w:hanging="360"/>
      </w:pPr>
      <w:rPr>
        <w:rFonts w:ascii="Wingdings" w:hAnsi="Wingdings" w:hint="default"/>
      </w:r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CCE7487"/>
    <w:multiLevelType w:val="hybridMultilevel"/>
    <w:tmpl w:val="5C98B6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AA842FB"/>
    <w:multiLevelType w:val="hybridMultilevel"/>
    <w:tmpl w:val="9BEC1A42"/>
    <w:lvl w:ilvl="0" w:tplc="0409000F">
      <w:start w:val="1"/>
      <w:numFmt w:val="decimal"/>
      <w:lvlText w:val="%1."/>
      <w:lvlJc w:val="left"/>
      <w:pPr>
        <w:ind w:left="720" w:hanging="360"/>
      </w:pPr>
      <w:rPr>
        <w:rFonts w:hint="default"/>
      </w:rPr>
    </w:lvl>
    <w:lvl w:ilvl="1" w:tplc="BE52FAA2">
      <w:start w:val="1"/>
      <w:numFmt w:val="lowerLetter"/>
      <w:lvlText w:val="%2."/>
      <w:lvlJc w:val="left"/>
      <w:pPr>
        <w:ind w:left="1440" w:hanging="360"/>
      </w:pPr>
      <w:rPr>
        <w:rFonts w:asciiTheme="minorHAnsi" w:eastAsia="Times New Roman" w:hAnsiTheme="minorHAnsi" w:cs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C0C9D"/>
    <w:multiLevelType w:val="hybridMultilevel"/>
    <w:tmpl w:val="00E0CA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304868"/>
    <w:multiLevelType w:val="hybridMultilevel"/>
    <w:tmpl w:val="EFECB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8807EC"/>
    <w:multiLevelType w:val="hybridMultilevel"/>
    <w:tmpl w:val="40A202B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D53000C"/>
    <w:multiLevelType w:val="hybridMultilevel"/>
    <w:tmpl w:val="94F03BC6"/>
    <w:lvl w:ilvl="0" w:tplc="98B4C6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553AB3"/>
    <w:multiLevelType w:val="hybridMultilevel"/>
    <w:tmpl w:val="E424C47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B3657AC"/>
    <w:multiLevelType w:val="multilevel"/>
    <w:tmpl w:val="654EC6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24521EA"/>
    <w:multiLevelType w:val="hybridMultilevel"/>
    <w:tmpl w:val="691A67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448B8"/>
    <w:multiLevelType w:val="hybridMultilevel"/>
    <w:tmpl w:val="1ACC6D3C"/>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7A351677"/>
    <w:multiLevelType w:val="hybridMultilevel"/>
    <w:tmpl w:val="26004D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7B37456D"/>
    <w:multiLevelType w:val="hybridMultilevel"/>
    <w:tmpl w:val="CF70B63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CA93286"/>
    <w:multiLevelType w:val="hybridMultilevel"/>
    <w:tmpl w:val="D32025BA"/>
    <w:lvl w:ilvl="0" w:tplc="0409000F">
      <w:start w:val="1"/>
      <w:numFmt w:val="decimal"/>
      <w:lvlText w:val="%1."/>
      <w:lvlJc w:val="left"/>
      <w:pPr>
        <w:ind w:left="720" w:hanging="360"/>
      </w:pPr>
      <w:rPr>
        <w:rFonts w:hint="default"/>
      </w:rPr>
    </w:lvl>
    <w:lvl w:ilvl="1" w:tplc="A7862B62">
      <w:start w:val="1"/>
      <w:numFmt w:val="lowerLetter"/>
      <w:lvlText w:val="%2."/>
      <w:lvlJc w:val="left"/>
      <w:pPr>
        <w:ind w:left="1440" w:hanging="360"/>
      </w:pPr>
      <w:rPr>
        <w:rFonts w:asciiTheme="minorHAnsi" w:hAnsiTheme="minorHAns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DA025D1"/>
    <w:multiLevelType w:val="multilevel"/>
    <w:tmpl w:val="DCA66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20"/>
  </w:num>
  <w:num w:numId="4">
    <w:abstractNumId w:val="4"/>
  </w:num>
  <w:num w:numId="5">
    <w:abstractNumId w:val="14"/>
  </w:num>
  <w:num w:numId="6">
    <w:abstractNumId w:val="10"/>
  </w:num>
  <w:num w:numId="7">
    <w:abstractNumId w:val="12"/>
  </w:num>
  <w:num w:numId="8">
    <w:abstractNumId w:val="19"/>
  </w:num>
  <w:num w:numId="9">
    <w:abstractNumId w:val="8"/>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num>
  <w:num w:numId="13">
    <w:abstractNumId w:val="18"/>
  </w:num>
  <w:num w:numId="14">
    <w:abstractNumId w:val="0"/>
  </w:num>
  <w:num w:numId="15">
    <w:abstractNumId w:val="0"/>
  </w:num>
  <w:num w:numId="16">
    <w:abstractNumId w:val="17"/>
  </w:num>
  <w:num w:numId="17">
    <w:abstractNumId w:val="5"/>
  </w:num>
  <w:num w:numId="18">
    <w:abstractNumId w:val="16"/>
  </w:num>
  <w:num w:numId="19">
    <w:abstractNumId w:val="11"/>
  </w:num>
  <w:num w:numId="20">
    <w:abstractNumId w:val="6"/>
  </w:num>
  <w:num w:numId="21">
    <w:abstractNumId w:val="3"/>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FDF"/>
    <w:rsid w:val="00040B0A"/>
    <w:rsid w:val="00043102"/>
    <w:rsid w:val="00054BD6"/>
    <w:rsid w:val="000956B2"/>
    <w:rsid w:val="00095747"/>
    <w:rsid w:val="00096DFB"/>
    <w:rsid w:val="000D369B"/>
    <w:rsid w:val="00100D71"/>
    <w:rsid w:val="00103E0B"/>
    <w:rsid w:val="00162AF6"/>
    <w:rsid w:val="001776D0"/>
    <w:rsid w:val="001B31D8"/>
    <w:rsid w:val="001B3859"/>
    <w:rsid w:val="001C363B"/>
    <w:rsid w:val="001D5BC4"/>
    <w:rsid w:val="001E3B0E"/>
    <w:rsid w:val="00202C99"/>
    <w:rsid w:val="00227161"/>
    <w:rsid w:val="00236BFB"/>
    <w:rsid w:val="00243AD1"/>
    <w:rsid w:val="002550A8"/>
    <w:rsid w:val="002B1AF6"/>
    <w:rsid w:val="002C7C0A"/>
    <w:rsid w:val="002E0151"/>
    <w:rsid w:val="00301BCA"/>
    <w:rsid w:val="0030453C"/>
    <w:rsid w:val="00320534"/>
    <w:rsid w:val="0032254D"/>
    <w:rsid w:val="003472A0"/>
    <w:rsid w:val="00350A6F"/>
    <w:rsid w:val="0036455E"/>
    <w:rsid w:val="00365452"/>
    <w:rsid w:val="003730EF"/>
    <w:rsid w:val="003C6FE4"/>
    <w:rsid w:val="003D698D"/>
    <w:rsid w:val="003F5D0E"/>
    <w:rsid w:val="00401B79"/>
    <w:rsid w:val="00413CEE"/>
    <w:rsid w:val="00454ACA"/>
    <w:rsid w:val="004610A3"/>
    <w:rsid w:val="00476F80"/>
    <w:rsid w:val="00487C0F"/>
    <w:rsid w:val="004A0B62"/>
    <w:rsid w:val="004A71CF"/>
    <w:rsid w:val="004D22D5"/>
    <w:rsid w:val="004E023A"/>
    <w:rsid w:val="0053451A"/>
    <w:rsid w:val="00562E84"/>
    <w:rsid w:val="005B04B5"/>
    <w:rsid w:val="005B099C"/>
    <w:rsid w:val="005B76A8"/>
    <w:rsid w:val="005C50BD"/>
    <w:rsid w:val="005D7990"/>
    <w:rsid w:val="006806DE"/>
    <w:rsid w:val="00690DBC"/>
    <w:rsid w:val="006A4F29"/>
    <w:rsid w:val="006B0B78"/>
    <w:rsid w:val="006C665F"/>
    <w:rsid w:val="006F2D64"/>
    <w:rsid w:val="00710AF8"/>
    <w:rsid w:val="00717BD1"/>
    <w:rsid w:val="00722D6D"/>
    <w:rsid w:val="00725046"/>
    <w:rsid w:val="00745FAE"/>
    <w:rsid w:val="0076198E"/>
    <w:rsid w:val="007935D3"/>
    <w:rsid w:val="007C6F85"/>
    <w:rsid w:val="007D2D8F"/>
    <w:rsid w:val="00803657"/>
    <w:rsid w:val="008254A9"/>
    <w:rsid w:val="00830687"/>
    <w:rsid w:val="0083261A"/>
    <w:rsid w:val="00842194"/>
    <w:rsid w:val="00855B3A"/>
    <w:rsid w:val="0087733C"/>
    <w:rsid w:val="00893627"/>
    <w:rsid w:val="008C093E"/>
    <w:rsid w:val="008C32A4"/>
    <w:rsid w:val="008D07A8"/>
    <w:rsid w:val="00996E04"/>
    <w:rsid w:val="00997471"/>
    <w:rsid w:val="00997824"/>
    <w:rsid w:val="009A3E61"/>
    <w:rsid w:val="009F186A"/>
    <w:rsid w:val="00A047DF"/>
    <w:rsid w:val="00A13A61"/>
    <w:rsid w:val="00A15F28"/>
    <w:rsid w:val="00A26FF7"/>
    <w:rsid w:val="00A87D43"/>
    <w:rsid w:val="00AB4F4C"/>
    <w:rsid w:val="00AE526A"/>
    <w:rsid w:val="00AE5A32"/>
    <w:rsid w:val="00AE6389"/>
    <w:rsid w:val="00B00486"/>
    <w:rsid w:val="00B1291B"/>
    <w:rsid w:val="00B3351C"/>
    <w:rsid w:val="00B37418"/>
    <w:rsid w:val="00B439DA"/>
    <w:rsid w:val="00B4445B"/>
    <w:rsid w:val="00B52638"/>
    <w:rsid w:val="00B75EBD"/>
    <w:rsid w:val="00BA35F9"/>
    <w:rsid w:val="00BC352C"/>
    <w:rsid w:val="00BC4873"/>
    <w:rsid w:val="00BD0558"/>
    <w:rsid w:val="00BD6D6B"/>
    <w:rsid w:val="00BF16AF"/>
    <w:rsid w:val="00C010D9"/>
    <w:rsid w:val="00C0782D"/>
    <w:rsid w:val="00C10A72"/>
    <w:rsid w:val="00C12293"/>
    <w:rsid w:val="00C80D12"/>
    <w:rsid w:val="00CB7AED"/>
    <w:rsid w:val="00D14051"/>
    <w:rsid w:val="00D201D1"/>
    <w:rsid w:val="00D307FB"/>
    <w:rsid w:val="00D57305"/>
    <w:rsid w:val="00D6099C"/>
    <w:rsid w:val="00DB480E"/>
    <w:rsid w:val="00DC6D6D"/>
    <w:rsid w:val="00DE211F"/>
    <w:rsid w:val="00DE7B11"/>
    <w:rsid w:val="00DF4520"/>
    <w:rsid w:val="00DF7032"/>
    <w:rsid w:val="00E00AC8"/>
    <w:rsid w:val="00EB11B0"/>
    <w:rsid w:val="00EB1990"/>
    <w:rsid w:val="00ED0581"/>
    <w:rsid w:val="00ED1936"/>
    <w:rsid w:val="00ED7981"/>
    <w:rsid w:val="00ED7FDF"/>
    <w:rsid w:val="00EF039F"/>
    <w:rsid w:val="00EF11B1"/>
    <w:rsid w:val="00EF3339"/>
    <w:rsid w:val="00F128AF"/>
    <w:rsid w:val="00F34664"/>
    <w:rsid w:val="00F82612"/>
    <w:rsid w:val="00FB615C"/>
    <w:rsid w:val="00FC44C0"/>
    <w:rsid w:val="00FD5909"/>
    <w:rsid w:val="00FD798A"/>
    <w:rsid w:val="00FE49D9"/>
    <w:rsid w:val="00FE7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924DA"/>
  <w15:chartTrackingRefBased/>
  <w15:docId w15:val="{96117533-3DBD-4AB9-B0A9-FAB1FC790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036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ACA"/>
    <w:pPr>
      <w:spacing w:after="0" w:line="240" w:lineRule="auto"/>
      <w:ind w:left="720"/>
      <w:contextualSpacing/>
    </w:pPr>
    <w:rPr>
      <w:rFonts w:ascii="Times New Roman" w:eastAsiaTheme="minorEastAsia" w:hAnsi="Times New Roman" w:cs="Times New Roman"/>
      <w:sz w:val="24"/>
      <w:szCs w:val="24"/>
    </w:rPr>
  </w:style>
  <w:style w:type="paragraph" w:styleId="NormalWeb">
    <w:name w:val="Normal (Web)"/>
    <w:basedOn w:val="Normal"/>
    <w:uiPriority w:val="99"/>
    <w:unhideWhenUsed/>
    <w:rsid w:val="00EB11B0"/>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1B31D8"/>
    <w:rPr>
      <w:sz w:val="16"/>
      <w:szCs w:val="16"/>
    </w:rPr>
  </w:style>
  <w:style w:type="paragraph" w:styleId="CommentText">
    <w:name w:val="annotation text"/>
    <w:basedOn w:val="Normal"/>
    <w:link w:val="CommentTextChar"/>
    <w:uiPriority w:val="99"/>
    <w:semiHidden/>
    <w:unhideWhenUsed/>
    <w:rsid w:val="001B31D8"/>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1B31D8"/>
    <w:rPr>
      <w:sz w:val="20"/>
      <w:szCs w:val="20"/>
    </w:rPr>
  </w:style>
  <w:style w:type="paragraph" w:styleId="BalloonText">
    <w:name w:val="Balloon Text"/>
    <w:basedOn w:val="Normal"/>
    <w:link w:val="BalloonTextChar"/>
    <w:uiPriority w:val="99"/>
    <w:semiHidden/>
    <w:unhideWhenUsed/>
    <w:rsid w:val="001B31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1D8"/>
    <w:rPr>
      <w:rFonts w:ascii="Segoe UI" w:hAnsi="Segoe UI" w:cs="Segoe UI"/>
      <w:sz w:val="18"/>
      <w:szCs w:val="18"/>
    </w:rPr>
  </w:style>
  <w:style w:type="character" w:styleId="Hyperlink">
    <w:name w:val="Hyperlink"/>
    <w:basedOn w:val="DefaultParagraphFont"/>
    <w:uiPriority w:val="99"/>
    <w:unhideWhenUsed/>
    <w:rsid w:val="00DF7032"/>
    <w:rPr>
      <w:color w:val="0563C1" w:themeColor="hyperlink"/>
      <w:u w:val="single"/>
    </w:rPr>
  </w:style>
  <w:style w:type="paragraph" w:styleId="EndnoteText">
    <w:name w:val="endnote text"/>
    <w:basedOn w:val="Normal"/>
    <w:link w:val="EndnoteTextChar"/>
    <w:uiPriority w:val="99"/>
    <w:semiHidden/>
    <w:unhideWhenUsed/>
    <w:rsid w:val="005D79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D7990"/>
    <w:rPr>
      <w:sz w:val="20"/>
      <w:szCs w:val="20"/>
    </w:rPr>
  </w:style>
  <w:style w:type="character" w:styleId="EndnoteReference">
    <w:name w:val="endnote reference"/>
    <w:basedOn w:val="DefaultParagraphFont"/>
    <w:uiPriority w:val="99"/>
    <w:semiHidden/>
    <w:unhideWhenUsed/>
    <w:rsid w:val="005D7990"/>
    <w:rPr>
      <w:vertAlign w:val="superscript"/>
    </w:rPr>
  </w:style>
  <w:style w:type="paragraph" w:styleId="Header">
    <w:name w:val="header"/>
    <w:basedOn w:val="Normal"/>
    <w:link w:val="HeaderChar"/>
    <w:uiPriority w:val="99"/>
    <w:unhideWhenUsed/>
    <w:rsid w:val="00255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0A8"/>
  </w:style>
  <w:style w:type="paragraph" w:styleId="Footer">
    <w:name w:val="footer"/>
    <w:basedOn w:val="Normal"/>
    <w:link w:val="FooterChar"/>
    <w:uiPriority w:val="99"/>
    <w:unhideWhenUsed/>
    <w:rsid w:val="002550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0A8"/>
  </w:style>
  <w:style w:type="character" w:customStyle="1" w:styleId="Heading1Char">
    <w:name w:val="Heading 1 Char"/>
    <w:basedOn w:val="DefaultParagraphFont"/>
    <w:link w:val="Heading1"/>
    <w:uiPriority w:val="9"/>
    <w:rsid w:val="00803657"/>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227161"/>
    <w:rPr>
      <w:color w:val="954F72" w:themeColor="followedHyperlink"/>
      <w:u w:val="single"/>
    </w:rPr>
  </w:style>
  <w:style w:type="paragraph" w:styleId="FootnoteText">
    <w:name w:val="footnote text"/>
    <w:basedOn w:val="Normal"/>
    <w:link w:val="FootnoteTextChar"/>
    <w:uiPriority w:val="99"/>
    <w:semiHidden/>
    <w:unhideWhenUsed/>
    <w:rsid w:val="001E3B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3B0E"/>
    <w:rPr>
      <w:sz w:val="20"/>
      <w:szCs w:val="20"/>
    </w:rPr>
  </w:style>
  <w:style w:type="character" w:styleId="FootnoteReference">
    <w:name w:val="footnote reference"/>
    <w:basedOn w:val="DefaultParagraphFont"/>
    <w:uiPriority w:val="99"/>
    <w:semiHidden/>
    <w:unhideWhenUsed/>
    <w:rsid w:val="001E3B0E"/>
    <w:rPr>
      <w:vertAlign w:val="superscript"/>
    </w:rPr>
  </w:style>
  <w:style w:type="paragraph" w:customStyle="1" w:styleId="Default">
    <w:name w:val="Default"/>
    <w:rsid w:val="00350A6F"/>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F128A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28AF"/>
    <w:rPr>
      <w:rFonts w:asciiTheme="majorHAnsi" w:eastAsiaTheme="majorEastAsia" w:hAnsiTheme="majorHAnsi" w:cstheme="majorBidi"/>
      <w:spacing w:val="-10"/>
      <w:kern w:val="28"/>
      <w:sz w:val="56"/>
      <w:szCs w:val="56"/>
    </w:rPr>
  </w:style>
  <w:style w:type="paragraph" w:styleId="CommentSubject">
    <w:name w:val="annotation subject"/>
    <w:basedOn w:val="CommentText"/>
    <w:next w:val="CommentText"/>
    <w:link w:val="CommentSubjectChar"/>
    <w:uiPriority w:val="99"/>
    <w:semiHidden/>
    <w:unhideWhenUsed/>
    <w:rsid w:val="001776D0"/>
    <w:pPr>
      <w:spacing w:after="160"/>
    </w:pPr>
    <w:rPr>
      <w:b/>
      <w:bCs/>
    </w:rPr>
  </w:style>
  <w:style w:type="character" w:customStyle="1" w:styleId="CommentSubjectChar">
    <w:name w:val="Comment Subject Char"/>
    <w:basedOn w:val="CommentTextChar"/>
    <w:link w:val="CommentSubject"/>
    <w:uiPriority w:val="99"/>
    <w:semiHidden/>
    <w:rsid w:val="001776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019959">
      <w:bodyDiv w:val="1"/>
      <w:marLeft w:val="0"/>
      <w:marRight w:val="0"/>
      <w:marTop w:val="0"/>
      <w:marBottom w:val="0"/>
      <w:divBdr>
        <w:top w:val="none" w:sz="0" w:space="0" w:color="auto"/>
        <w:left w:val="none" w:sz="0" w:space="0" w:color="auto"/>
        <w:bottom w:val="none" w:sz="0" w:space="0" w:color="auto"/>
        <w:right w:val="none" w:sz="0" w:space="0" w:color="auto"/>
      </w:divBdr>
    </w:div>
    <w:div w:id="913007852">
      <w:bodyDiv w:val="1"/>
      <w:marLeft w:val="0"/>
      <w:marRight w:val="0"/>
      <w:marTop w:val="0"/>
      <w:marBottom w:val="0"/>
      <w:divBdr>
        <w:top w:val="none" w:sz="0" w:space="0" w:color="auto"/>
        <w:left w:val="none" w:sz="0" w:space="0" w:color="auto"/>
        <w:bottom w:val="none" w:sz="0" w:space="0" w:color="auto"/>
        <w:right w:val="none" w:sz="0" w:space="0" w:color="auto"/>
      </w:divBdr>
    </w:div>
    <w:div w:id="937130263">
      <w:bodyDiv w:val="1"/>
      <w:marLeft w:val="0"/>
      <w:marRight w:val="0"/>
      <w:marTop w:val="0"/>
      <w:marBottom w:val="0"/>
      <w:divBdr>
        <w:top w:val="none" w:sz="0" w:space="0" w:color="auto"/>
        <w:left w:val="none" w:sz="0" w:space="0" w:color="auto"/>
        <w:bottom w:val="none" w:sz="0" w:space="0" w:color="auto"/>
        <w:right w:val="none" w:sz="0" w:space="0" w:color="auto"/>
      </w:divBdr>
    </w:div>
    <w:div w:id="1352300624">
      <w:bodyDiv w:val="1"/>
      <w:marLeft w:val="0"/>
      <w:marRight w:val="0"/>
      <w:marTop w:val="0"/>
      <w:marBottom w:val="0"/>
      <w:divBdr>
        <w:top w:val="none" w:sz="0" w:space="0" w:color="auto"/>
        <w:left w:val="none" w:sz="0" w:space="0" w:color="auto"/>
        <w:bottom w:val="none" w:sz="0" w:space="0" w:color="auto"/>
        <w:right w:val="none" w:sz="0" w:space="0" w:color="auto"/>
      </w:divBdr>
    </w:div>
    <w:div w:id="1873493898">
      <w:bodyDiv w:val="1"/>
      <w:marLeft w:val="0"/>
      <w:marRight w:val="0"/>
      <w:marTop w:val="0"/>
      <w:marBottom w:val="0"/>
      <w:divBdr>
        <w:top w:val="none" w:sz="0" w:space="0" w:color="auto"/>
        <w:left w:val="none" w:sz="0" w:space="0" w:color="auto"/>
        <w:bottom w:val="none" w:sz="0" w:space="0" w:color="auto"/>
        <w:right w:val="none" w:sz="0" w:space="0" w:color="auto"/>
      </w:divBdr>
    </w:div>
    <w:div w:id="200508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npri.org/about-pri/the-six-princip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vestopedia.com/terms/e/environmental-social-and-governance-esg-criteria.asp?header_alt=tru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gcu.edu/EHS/Files/ESC_Energy_ReportApril2015.pdf" TargetMode="External"/><Relationship Id="rId4" Type="http://schemas.openxmlformats.org/officeDocument/2006/relationships/settings" Target="settings.xml"/><Relationship Id="rId9" Type="http://schemas.openxmlformats.org/officeDocument/2006/relationships/hyperlink" Target="http://www.fgcu.edu/Provost/files/Final_Campus_Land_Use_Repor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unpri.org/about-pri/the-six-principles/" TargetMode="External"/><Relationship Id="rId3" Type="http://schemas.openxmlformats.org/officeDocument/2006/relationships/hyperlink" Target="http://www.fgcu.edu/Provost/files/Final_Campus_Land_Use_Report.pdf" TargetMode="External"/><Relationship Id="rId7" Type="http://schemas.openxmlformats.org/officeDocument/2006/relationships/hyperlink" Target="http://www.investopedia.com/terms/e/environmental-social-and-governance-esg-criteria.asp?header_alt=true" TargetMode="External"/><Relationship Id="rId2" Type="http://schemas.openxmlformats.org/officeDocument/2006/relationships/hyperlink" Target="http://secondnature.org/climate-guidance/sustainability-planning-and-climate-action-guide/" TargetMode="External"/><Relationship Id="rId1" Type="http://schemas.openxmlformats.org/officeDocument/2006/relationships/hyperlink" Target="http://www.fgcu.edu/Provost/files/Env-Sustainability-Definition_approved-102711.pdf" TargetMode="External"/><Relationship Id="rId6" Type="http://schemas.openxmlformats.org/officeDocument/2006/relationships/hyperlink" Target="http://www.fgcu.edu/EHS/Files/ESC_Energy_ReportApril2015.pdf" TargetMode="External"/><Relationship Id="rId5" Type="http://schemas.openxmlformats.org/officeDocument/2006/relationships/hyperlink" Target="http://www.nacubo.org/Business_Officer_Magazine/Current_Issue/May2015/Pay_It_Onward.html" TargetMode="External"/><Relationship Id="rId4" Type="http://schemas.openxmlformats.org/officeDocument/2006/relationships/hyperlink" Target="http://www.fgcu.edu/Provost/files/Env-Sustainability-Definition_approved-1027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FA53D-057C-4560-9C9A-8039184DF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3003</Words>
  <Characters>17122</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Florida Gulf Coast University</Company>
  <LinksUpToDate>false</LinksUpToDate>
  <CharactersWithSpaces>20085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 Katie</dc:creator>
  <cp:keywords/>
  <dc:description/>
  <cp:lastModifiedBy>Leone, Katie</cp:lastModifiedBy>
  <cp:revision>2</cp:revision>
  <cp:lastPrinted>2015-07-14T16:16:00Z</cp:lastPrinted>
  <dcterms:created xsi:type="dcterms:W3CDTF">2015-11-10T15:54:00Z</dcterms:created>
  <dcterms:modified xsi:type="dcterms:W3CDTF">2015-11-10T15:54:00Z</dcterms:modified>
</cp:coreProperties>
</file>