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D9F6C6" w14:textId="77777777" w:rsidR="00373FDC" w:rsidRPr="00373FDC" w:rsidRDefault="00373FDC" w:rsidP="00373FDC">
      <w:pPr>
        <w:rPr>
          <w:i/>
          <w:sz w:val="22"/>
          <w:szCs w:val="22"/>
        </w:rPr>
      </w:pPr>
      <w:r w:rsidRPr="00373FDC">
        <w:rPr>
          <w:i/>
          <w:sz w:val="22"/>
          <w:szCs w:val="22"/>
        </w:rPr>
        <w:t>Innovation &amp; Leadership (IN) credit for STARS reporting.</w:t>
      </w:r>
    </w:p>
    <w:p w14:paraId="22DD062A" w14:textId="77777777" w:rsidR="00373FDC" w:rsidRPr="00373FDC" w:rsidRDefault="00373FDC" w:rsidP="00373FDC">
      <w:pPr>
        <w:rPr>
          <w:i/>
          <w:sz w:val="22"/>
          <w:szCs w:val="22"/>
        </w:rPr>
      </w:pPr>
    </w:p>
    <w:p w14:paraId="14423308" w14:textId="77777777" w:rsidR="00373FDC" w:rsidRPr="00373FDC" w:rsidRDefault="00373FDC" w:rsidP="00373FDC">
      <w:pPr>
        <w:widowControl w:val="0"/>
        <w:autoSpaceDE w:val="0"/>
        <w:autoSpaceDN w:val="0"/>
        <w:adjustRightInd w:val="0"/>
        <w:rPr>
          <w:rFonts w:cs="–_˝ø/√Ú"/>
          <w:i/>
          <w:sz w:val="22"/>
          <w:szCs w:val="22"/>
        </w:rPr>
      </w:pPr>
      <w:r w:rsidRPr="00373FDC">
        <w:rPr>
          <w:rFonts w:cs="–_˝ø/√Ú"/>
          <w:i/>
          <w:sz w:val="22"/>
          <w:szCs w:val="22"/>
        </w:rPr>
        <w:t>One point credit ( out of 4) : Institution has one or more new, extraordinary, unique, groundbreaking, or uncommon outcomes, policies, or practices that address sustainability challenges and are not covered by an existing credit or exemplary practice option.</w:t>
      </w:r>
    </w:p>
    <w:p w14:paraId="4AAC6F1B" w14:textId="77777777" w:rsidR="00373FDC" w:rsidRPr="00373FDC" w:rsidRDefault="00373FDC" w:rsidP="00373FDC">
      <w:pPr>
        <w:widowControl w:val="0"/>
        <w:autoSpaceDE w:val="0"/>
        <w:autoSpaceDN w:val="0"/>
        <w:adjustRightInd w:val="0"/>
        <w:rPr>
          <w:rFonts w:cs="–_˝ø/√Ú"/>
          <w:i/>
          <w:sz w:val="22"/>
          <w:szCs w:val="22"/>
        </w:rPr>
      </w:pPr>
    </w:p>
    <w:p w14:paraId="542F374C" w14:textId="77777777" w:rsidR="00960ED2" w:rsidRDefault="00373FDC" w:rsidP="00373FDC">
      <w:pPr>
        <w:widowControl w:val="0"/>
        <w:autoSpaceDE w:val="0"/>
        <w:autoSpaceDN w:val="0"/>
        <w:adjustRightInd w:val="0"/>
        <w:rPr>
          <w:rFonts w:cs="–_˝ø/√Ú"/>
          <w:i/>
          <w:sz w:val="22"/>
          <w:szCs w:val="22"/>
        </w:rPr>
      </w:pPr>
      <w:r w:rsidRPr="00373FDC">
        <w:rPr>
          <w:rFonts w:cs="–_˝ø/√Ú"/>
          <w:i/>
          <w:sz w:val="22"/>
          <w:szCs w:val="22"/>
        </w:rPr>
        <w:t>Innovative practices, policies, programs, or outcomes that are ongoing or occurred within the three years prior to the anticipated date of submission.</w:t>
      </w:r>
    </w:p>
    <w:p w14:paraId="0A509A5F" w14:textId="531EAECF" w:rsidR="00CF5B1C" w:rsidRDefault="00CF5B1C" w:rsidP="00373FDC">
      <w:pPr>
        <w:widowControl w:val="0"/>
        <w:autoSpaceDE w:val="0"/>
        <w:autoSpaceDN w:val="0"/>
        <w:adjustRightInd w:val="0"/>
        <w:rPr>
          <w:rFonts w:cs="–_˝ø/√Ú"/>
          <w:i/>
          <w:sz w:val="22"/>
          <w:szCs w:val="22"/>
        </w:rPr>
      </w:pPr>
      <w:r>
        <w:rPr>
          <w:rFonts w:cs="–_˝ø/√Ú"/>
          <w:i/>
          <w:sz w:val="22"/>
          <w:szCs w:val="22"/>
        </w:rPr>
        <w:t>________________________________________________________________________________________________________</w:t>
      </w:r>
    </w:p>
    <w:p w14:paraId="513EEDAD" w14:textId="4CB74C76" w:rsidR="00CF5B1C" w:rsidRDefault="00CF5B1C" w:rsidP="00373FDC">
      <w:pPr>
        <w:widowControl w:val="0"/>
        <w:autoSpaceDE w:val="0"/>
        <w:autoSpaceDN w:val="0"/>
        <w:adjustRightInd w:val="0"/>
        <w:rPr>
          <w:rFonts w:cs="–_˝ø/√Ú"/>
          <w:sz w:val="22"/>
          <w:szCs w:val="22"/>
        </w:rPr>
      </w:pPr>
      <w:r w:rsidRPr="00CF5B1C">
        <w:rPr>
          <w:rFonts w:cs="–_˝ø/√Ú"/>
          <w:sz w:val="22"/>
          <w:szCs w:val="22"/>
        </w:rPr>
        <w:t>DRAFT description:</w:t>
      </w:r>
    </w:p>
    <w:p w14:paraId="77F92FD1" w14:textId="77777777" w:rsidR="00CF5B1C" w:rsidRPr="00CF5B1C" w:rsidRDefault="00CF5B1C" w:rsidP="00373FDC">
      <w:pPr>
        <w:widowControl w:val="0"/>
        <w:autoSpaceDE w:val="0"/>
        <w:autoSpaceDN w:val="0"/>
        <w:adjustRightInd w:val="0"/>
        <w:rPr>
          <w:rFonts w:cs="–_˝ø/√Ú"/>
          <w:sz w:val="22"/>
          <w:szCs w:val="22"/>
        </w:rPr>
      </w:pPr>
    </w:p>
    <w:p w14:paraId="7630E467" w14:textId="1421DE98" w:rsidR="00CF5B1C" w:rsidRDefault="00CF5B1C" w:rsidP="00373FDC">
      <w:pPr>
        <w:widowControl w:val="0"/>
        <w:autoSpaceDE w:val="0"/>
        <w:autoSpaceDN w:val="0"/>
        <w:adjustRightInd w:val="0"/>
        <w:rPr>
          <w:rFonts w:cs="–_˝ø/√Ú"/>
          <w:sz w:val="22"/>
          <w:szCs w:val="22"/>
        </w:rPr>
      </w:pPr>
      <w:r w:rsidRPr="00CF5B1C">
        <w:rPr>
          <w:rFonts w:cs="–_˝ø/√Ú"/>
          <w:sz w:val="22"/>
          <w:szCs w:val="22"/>
        </w:rPr>
        <w:t>Title:</w:t>
      </w:r>
      <w:r>
        <w:rPr>
          <w:rFonts w:cs="–_˝ø/√Ú"/>
          <w:sz w:val="22"/>
          <w:szCs w:val="22"/>
        </w:rPr>
        <w:t xml:space="preserve"> </w:t>
      </w:r>
      <w:r w:rsidRPr="00CF5B1C">
        <w:rPr>
          <w:rFonts w:cs="–_˝ø/√Ú"/>
          <w:sz w:val="22"/>
          <w:szCs w:val="22"/>
        </w:rPr>
        <w:t>Leadership in Sustainable P</w:t>
      </w:r>
      <w:r w:rsidR="00237FF5">
        <w:rPr>
          <w:rFonts w:cs="–_˝ø/√Ú"/>
          <w:sz w:val="22"/>
          <w:szCs w:val="22"/>
        </w:rPr>
        <w:t>ractices</w:t>
      </w:r>
      <w:r w:rsidRPr="00CF5B1C">
        <w:rPr>
          <w:rFonts w:cs="–_˝ø/√Ú"/>
          <w:sz w:val="22"/>
          <w:szCs w:val="22"/>
        </w:rPr>
        <w:t>: Indigenous Education Protocol</w:t>
      </w:r>
    </w:p>
    <w:p w14:paraId="62F1F963" w14:textId="77777777" w:rsidR="00CF5B1C" w:rsidRPr="00CF5B1C" w:rsidRDefault="00CF5B1C" w:rsidP="00373FDC">
      <w:pPr>
        <w:widowControl w:val="0"/>
        <w:autoSpaceDE w:val="0"/>
        <w:autoSpaceDN w:val="0"/>
        <w:adjustRightInd w:val="0"/>
        <w:rPr>
          <w:rFonts w:cs="–_˝ø/√Ú"/>
          <w:sz w:val="22"/>
          <w:szCs w:val="22"/>
        </w:rPr>
      </w:pPr>
    </w:p>
    <w:p w14:paraId="1A09D4F4" w14:textId="77777777" w:rsidR="00CF5B1C" w:rsidRPr="00CF5B1C" w:rsidRDefault="00CF5B1C" w:rsidP="00CF5B1C">
      <w:pPr>
        <w:widowControl w:val="0"/>
        <w:autoSpaceDE w:val="0"/>
        <w:autoSpaceDN w:val="0"/>
        <w:adjustRightInd w:val="0"/>
        <w:rPr>
          <w:rFonts w:cs="–_˝ø/√Ú"/>
          <w:sz w:val="22"/>
          <w:szCs w:val="22"/>
        </w:rPr>
      </w:pPr>
      <w:r w:rsidRPr="00CF5B1C">
        <w:rPr>
          <w:rFonts w:cs="–_˝ø/√Ú"/>
          <w:sz w:val="22"/>
          <w:szCs w:val="22"/>
        </w:rPr>
        <w:t>On December 7th, 2015, Fleming College signed the Colleges and Institutes Canada’s (</w:t>
      </w:r>
      <w:proofErr w:type="spellStart"/>
      <w:r w:rsidRPr="00CF5B1C">
        <w:rPr>
          <w:rFonts w:cs="–_˝ø/√Ú"/>
          <w:sz w:val="22"/>
          <w:szCs w:val="22"/>
        </w:rPr>
        <w:t>CICan</w:t>
      </w:r>
      <w:proofErr w:type="spellEnd"/>
      <w:r w:rsidRPr="00CF5B1C">
        <w:rPr>
          <w:rFonts w:cs="–_˝ø/√Ú"/>
          <w:sz w:val="22"/>
          <w:szCs w:val="22"/>
        </w:rPr>
        <w:t>) Indigenous Education Protocol (IEP). Signing of the IEP symbolized Fleming College’s commitment to fortifying relationships with Indigenous communities while embedding intellectual and cultural traditions, as understood by Indigenous peoples, into our curriculum, activities and organizational planning.</w:t>
      </w:r>
    </w:p>
    <w:p w14:paraId="063B644B" w14:textId="77777777" w:rsidR="00CF5B1C" w:rsidRPr="00CF5B1C" w:rsidRDefault="00CF5B1C" w:rsidP="00CF5B1C">
      <w:pPr>
        <w:widowControl w:val="0"/>
        <w:autoSpaceDE w:val="0"/>
        <w:autoSpaceDN w:val="0"/>
        <w:adjustRightInd w:val="0"/>
        <w:rPr>
          <w:rFonts w:cs="–_˝ø/√Ú"/>
          <w:sz w:val="22"/>
          <w:szCs w:val="22"/>
        </w:rPr>
      </w:pPr>
    </w:p>
    <w:p w14:paraId="2F8347F2" w14:textId="1753C8AA" w:rsidR="00CF5B1C" w:rsidRPr="00CF5B1C" w:rsidRDefault="00CF5B1C" w:rsidP="00CF5B1C">
      <w:pPr>
        <w:widowControl w:val="0"/>
        <w:autoSpaceDE w:val="0"/>
        <w:autoSpaceDN w:val="0"/>
        <w:adjustRightInd w:val="0"/>
        <w:rPr>
          <w:rFonts w:cs="–_˝ø/√Ú"/>
          <w:sz w:val="22"/>
          <w:szCs w:val="22"/>
        </w:rPr>
      </w:pPr>
      <w:r w:rsidRPr="00CF5B1C">
        <w:rPr>
          <w:rFonts w:cs="–_˝ø/√Ú"/>
          <w:sz w:val="22"/>
          <w:szCs w:val="22"/>
        </w:rPr>
        <w:t>The Aboriginal Education Council (AEC)at Fleming College developed an IEP multi-year work plan (2015- 2018 )and framework which has enriched our campus through leadership and innovative actions under 5 main themes: Recruitment,</w:t>
      </w:r>
      <w:r w:rsidR="00A55EB1">
        <w:rPr>
          <w:rFonts w:cs="–_˝ø/√Ú"/>
          <w:sz w:val="22"/>
          <w:szCs w:val="22"/>
        </w:rPr>
        <w:t xml:space="preserve"> </w:t>
      </w:r>
      <w:r w:rsidRPr="00CF5B1C">
        <w:rPr>
          <w:rFonts w:cs="–_˝ø/√Ú"/>
          <w:sz w:val="22"/>
          <w:szCs w:val="22"/>
        </w:rPr>
        <w:t>Training and Awareness, including cultural supports and space, Indigenization of Curriculum,</w:t>
      </w:r>
      <w:r w:rsidR="00A55EB1">
        <w:rPr>
          <w:rFonts w:cs="–_˝ø/√Ú"/>
          <w:sz w:val="22"/>
          <w:szCs w:val="22"/>
        </w:rPr>
        <w:t xml:space="preserve"> </w:t>
      </w:r>
      <w:r w:rsidRPr="00CF5B1C">
        <w:rPr>
          <w:rFonts w:cs="–_˝ø/√Ú"/>
          <w:sz w:val="22"/>
          <w:szCs w:val="22"/>
        </w:rPr>
        <w:t>Partnership and Collaboration,</w:t>
      </w:r>
      <w:r w:rsidR="00A55EB1">
        <w:rPr>
          <w:rFonts w:cs="–_˝ø/√Ú"/>
          <w:sz w:val="22"/>
          <w:szCs w:val="22"/>
        </w:rPr>
        <w:t xml:space="preserve"> </w:t>
      </w:r>
      <w:r w:rsidRPr="00CF5B1C">
        <w:rPr>
          <w:rFonts w:cs="–_˝ø/√Ú"/>
          <w:sz w:val="22"/>
          <w:szCs w:val="22"/>
        </w:rPr>
        <w:t>Tracking and Accountability.</w:t>
      </w:r>
    </w:p>
    <w:p w14:paraId="5A6BD951" w14:textId="77777777" w:rsidR="00CF5B1C" w:rsidRPr="00CF5B1C" w:rsidRDefault="00CF5B1C" w:rsidP="00CF5B1C">
      <w:pPr>
        <w:widowControl w:val="0"/>
        <w:autoSpaceDE w:val="0"/>
        <w:autoSpaceDN w:val="0"/>
        <w:adjustRightInd w:val="0"/>
        <w:rPr>
          <w:rFonts w:cs="–_˝ø/√Ú"/>
          <w:sz w:val="22"/>
          <w:szCs w:val="22"/>
        </w:rPr>
      </w:pPr>
    </w:p>
    <w:p w14:paraId="767CE06C" w14:textId="5F15D818" w:rsidR="00CF5B1C" w:rsidRPr="00CF5B1C" w:rsidRDefault="00CF5B1C" w:rsidP="00CF5B1C">
      <w:pPr>
        <w:widowControl w:val="0"/>
        <w:autoSpaceDE w:val="0"/>
        <w:autoSpaceDN w:val="0"/>
        <w:adjustRightInd w:val="0"/>
        <w:rPr>
          <w:rFonts w:cs="–_˝ø/√Ú"/>
          <w:sz w:val="22"/>
          <w:szCs w:val="22"/>
        </w:rPr>
      </w:pPr>
      <w:r w:rsidRPr="00CF5B1C">
        <w:rPr>
          <w:rFonts w:cs="–_˝ø/√Ú"/>
          <w:sz w:val="22"/>
          <w:szCs w:val="22"/>
        </w:rPr>
        <w:lastRenderedPageBreak/>
        <w:t>Indigenous(FNMI) Academic and Support Services details the themes and linkages of the Indigenous Education Protocol to the Fleming College Strategic Plan (item 2.5</w:t>
      </w:r>
      <w:proofErr w:type="gramStart"/>
      <w:r w:rsidRPr="00CF5B1C">
        <w:rPr>
          <w:rFonts w:cs="–_˝ø/√Ú"/>
          <w:sz w:val="22"/>
          <w:szCs w:val="22"/>
        </w:rPr>
        <w:t>) ,</w:t>
      </w:r>
      <w:proofErr w:type="gramEnd"/>
      <w:r w:rsidRPr="00CF5B1C">
        <w:rPr>
          <w:rFonts w:cs="–_˝ø/√Ú"/>
          <w:sz w:val="22"/>
          <w:szCs w:val="22"/>
        </w:rPr>
        <w:t xml:space="preserve"> Academic Plan (</w:t>
      </w:r>
      <w:proofErr w:type="spellStart"/>
      <w:r w:rsidRPr="00CF5B1C">
        <w:rPr>
          <w:rFonts w:cs="–_˝ø/√Ú"/>
          <w:sz w:val="22"/>
          <w:szCs w:val="22"/>
        </w:rPr>
        <w:t>pg</w:t>
      </w:r>
      <w:proofErr w:type="spellEnd"/>
      <w:r w:rsidRPr="00CF5B1C">
        <w:rPr>
          <w:rFonts w:cs="–_˝ø/√Ú"/>
          <w:sz w:val="22"/>
          <w:szCs w:val="22"/>
        </w:rPr>
        <w:t xml:space="preserve"> 4, 7,10,11,12) as well as the Truth and Reconciliation Commission of Canada: Call to Action categories of Language and Culture, Health, Education, Justice, Professional Development,</w:t>
      </w:r>
      <w:r w:rsidR="00A55EB1">
        <w:rPr>
          <w:rFonts w:cs="–_˝ø/√Ú"/>
          <w:sz w:val="22"/>
          <w:szCs w:val="22"/>
        </w:rPr>
        <w:t xml:space="preserve"> </w:t>
      </w:r>
      <w:r w:rsidRPr="00CF5B1C">
        <w:rPr>
          <w:rFonts w:cs="–_˝ø/√Ú"/>
          <w:sz w:val="22"/>
          <w:szCs w:val="22"/>
        </w:rPr>
        <w:t>Museums and Archives,</w:t>
      </w:r>
      <w:r w:rsidR="00A55EB1">
        <w:rPr>
          <w:rFonts w:cs="–_˝ø/√Ú"/>
          <w:sz w:val="22"/>
          <w:szCs w:val="22"/>
        </w:rPr>
        <w:t xml:space="preserve"> </w:t>
      </w:r>
      <w:r w:rsidRPr="00CF5B1C">
        <w:rPr>
          <w:rFonts w:cs="–_˝ø/√Ú"/>
          <w:sz w:val="22"/>
          <w:szCs w:val="22"/>
        </w:rPr>
        <w:t>Sports and Reconciliation.</w:t>
      </w:r>
    </w:p>
    <w:p w14:paraId="2FBA93EF" w14:textId="77777777" w:rsidR="00CF5B1C" w:rsidRPr="00CF5B1C" w:rsidRDefault="00CF5B1C" w:rsidP="00CF5B1C">
      <w:pPr>
        <w:widowControl w:val="0"/>
        <w:autoSpaceDE w:val="0"/>
        <w:autoSpaceDN w:val="0"/>
        <w:adjustRightInd w:val="0"/>
        <w:rPr>
          <w:rFonts w:cs="–_˝ø/√Ú"/>
          <w:sz w:val="22"/>
          <w:szCs w:val="22"/>
        </w:rPr>
      </w:pPr>
    </w:p>
    <w:p w14:paraId="23CA05AD" w14:textId="77777777" w:rsidR="00CF5B1C" w:rsidRPr="00CF5B1C" w:rsidRDefault="00CF5B1C" w:rsidP="00CF5B1C">
      <w:pPr>
        <w:widowControl w:val="0"/>
        <w:autoSpaceDE w:val="0"/>
        <w:autoSpaceDN w:val="0"/>
        <w:adjustRightInd w:val="0"/>
        <w:rPr>
          <w:rFonts w:cs="–_˝ø/√Ú"/>
          <w:sz w:val="22"/>
          <w:szCs w:val="22"/>
        </w:rPr>
      </w:pPr>
      <w:r w:rsidRPr="00CF5B1C">
        <w:rPr>
          <w:rFonts w:cs="–_˝ø/√Ú"/>
          <w:sz w:val="22"/>
          <w:szCs w:val="22"/>
        </w:rPr>
        <w:t>IEP Signatory institutions agree to:</w:t>
      </w:r>
    </w:p>
    <w:p w14:paraId="18488D20" w14:textId="77777777" w:rsidR="00CF5B1C" w:rsidRPr="00CF5B1C" w:rsidRDefault="00CF5B1C" w:rsidP="00CF5B1C">
      <w:pPr>
        <w:widowControl w:val="0"/>
        <w:autoSpaceDE w:val="0"/>
        <w:autoSpaceDN w:val="0"/>
        <w:adjustRightInd w:val="0"/>
        <w:rPr>
          <w:rFonts w:cs="–_˝ø/√Ú"/>
          <w:sz w:val="22"/>
          <w:szCs w:val="22"/>
        </w:rPr>
      </w:pPr>
    </w:p>
    <w:p w14:paraId="325ABED8" w14:textId="0E028477" w:rsidR="00CF5B1C" w:rsidRPr="00131D1B" w:rsidRDefault="00CF5B1C" w:rsidP="00131D1B">
      <w:pPr>
        <w:pStyle w:val="ListParagraph"/>
        <w:widowControl w:val="0"/>
        <w:numPr>
          <w:ilvl w:val="0"/>
          <w:numId w:val="1"/>
        </w:numPr>
        <w:autoSpaceDE w:val="0"/>
        <w:autoSpaceDN w:val="0"/>
        <w:adjustRightInd w:val="0"/>
        <w:rPr>
          <w:rFonts w:cs="–_˝ø/√Ú"/>
          <w:sz w:val="22"/>
          <w:szCs w:val="22"/>
        </w:rPr>
      </w:pPr>
      <w:r w:rsidRPr="00131D1B">
        <w:rPr>
          <w:rFonts w:cs="–_˝ø/√Ú"/>
          <w:sz w:val="22"/>
          <w:szCs w:val="22"/>
        </w:rPr>
        <w:t>Commit to making Indigenous education a priority.</w:t>
      </w:r>
    </w:p>
    <w:p w14:paraId="5E58437A" w14:textId="55EE1124" w:rsidR="00CF5B1C" w:rsidRPr="00131D1B" w:rsidRDefault="00CF5B1C" w:rsidP="00131D1B">
      <w:pPr>
        <w:pStyle w:val="ListParagraph"/>
        <w:widowControl w:val="0"/>
        <w:numPr>
          <w:ilvl w:val="0"/>
          <w:numId w:val="1"/>
        </w:numPr>
        <w:autoSpaceDE w:val="0"/>
        <w:autoSpaceDN w:val="0"/>
        <w:adjustRightInd w:val="0"/>
        <w:rPr>
          <w:rFonts w:cs="–_˝ø/√Ú"/>
          <w:sz w:val="22"/>
          <w:szCs w:val="22"/>
        </w:rPr>
      </w:pPr>
      <w:r w:rsidRPr="00131D1B">
        <w:rPr>
          <w:rFonts w:cs="–_˝ø/√Ú"/>
          <w:sz w:val="22"/>
          <w:szCs w:val="22"/>
        </w:rPr>
        <w:t>Ensure governance structures recognize and respect Indigenous peoples.</w:t>
      </w:r>
    </w:p>
    <w:p w14:paraId="7B218572" w14:textId="0E3DD667" w:rsidR="00CF5B1C" w:rsidRPr="00131D1B" w:rsidRDefault="00CF5B1C" w:rsidP="00131D1B">
      <w:pPr>
        <w:pStyle w:val="ListParagraph"/>
        <w:widowControl w:val="0"/>
        <w:numPr>
          <w:ilvl w:val="0"/>
          <w:numId w:val="1"/>
        </w:numPr>
        <w:autoSpaceDE w:val="0"/>
        <w:autoSpaceDN w:val="0"/>
        <w:adjustRightInd w:val="0"/>
        <w:rPr>
          <w:rFonts w:cs="–_˝ø/√Ú"/>
          <w:sz w:val="22"/>
          <w:szCs w:val="22"/>
        </w:rPr>
      </w:pPr>
      <w:r w:rsidRPr="00131D1B">
        <w:rPr>
          <w:rFonts w:cs="–_˝ø/√Ú"/>
          <w:sz w:val="22"/>
          <w:szCs w:val="22"/>
        </w:rPr>
        <w:t>Implement intellectual and cultural traditions of Indigenous peoples through curriculum and learning approaches relevant to learners and communities.</w:t>
      </w:r>
    </w:p>
    <w:p w14:paraId="5009565B" w14:textId="207D28AF" w:rsidR="00CF5B1C" w:rsidRPr="00131D1B" w:rsidRDefault="00CF5B1C" w:rsidP="00131D1B">
      <w:pPr>
        <w:pStyle w:val="ListParagraph"/>
        <w:widowControl w:val="0"/>
        <w:numPr>
          <w:ilvl w:val="0"/>
          <w:numId w:val="1"/>
        </w:numPr>
        <w:autoSpaceDE w:val="0"/>
        <w:autoSpaceDN w:val="0"/>
        <w:adjustRightInd w:val="0"/>
        <w:rPr>
          <w:rFonts w:cs="–_˝ø/√Ú"/>
          <w:sz w:val="22"/>
          <w:szCs w:val="22"/>
        </w:rPr>
      </w:pPr>
      <w:r w:rsidRPr="00131D1B">
        <w:rPr>
          <w:rFonts w:cs="–_˝ø/√Ú"/>
          <w:sz w:val="22"/>
          <w:szCs w:val="22"/>
        </w:rPr>
        <w:t>Support students and employees to increase understanding and reciprocity among Indigenous and non-Indigenous peoples.</w:t>
      </w:r>
    </w:p>
    <w:p w14:paraId="1142C949" w14:textId="04EA4ED3" w:rsidR="00CF5B1C" w:rsidRPr="00131D1B" w:rsidRDefault="00CF5B1C" w:rsidP="00131D1B">
      <w:pPr>
        <w:pStyle w:val="ListParagraph"/>
        <w:widowControl w:val="0"/>
        <w:numPr>
          <w:ilvl w:val="0"/>
          <w:numId w:val="1"/>
        </w:numPr>
        <w:autoSpaceDE w:val="0"/>
        <w:autoSpaceDN w:val="0"/>
        <w:adjustRightInd w:val="0"/>
        <w:rPr>
          <w:rFonts w:cs="–_˝ø/√Ú"/>
          <w:sz w:val="22"/>
          <w:szCs w:val="22"/>
        </w:rPr>
      </w:pPr>
      <w:r w:rsidRPr="00131D1B">
        <w:rPr>
          <w:rFonts w:cs="–_˝ø/√Ú"/>
          <w:sz w:val="22"/>
          <w:szCs w:val="22"/>
        </w:rPr>
        <w:t>Commit to increasing the number of Indigenous employees with ongoing appointments throughout the institution, including Indigenous senior administrators.</w:t>
      </w:r>
    </w:p>
    <w:p w14:paraId="4A30C265" w14:textId="15EAE26D" w:rsidR="00CF5B1C" w:rsidRPr="00131D1B" w:rsidRDefault="00CF5B1C" w:rsidP="00131D1B">
      <w:pPr>
        <w:pStyle w:val="ListParagraph"/>
        <w:widowControl w:val="0"/>
        <w:numPr>
          <w:ilvl w:val="0"/>
          <w:numId w:val="1"/>
        </w:numPr>
        <w:autoSpaceDE w:val="0"/>
        <w:autoSpaceDN w:val="0"/>
        <w:adjustRightInd w:val="0"/>
        <w:rPr>
          <w:rFonts w:cs="–_˝ø/√Ú"/>
          <w:sz w:val="22"/>
          <w:szCs w:val="22"/>
        </w:rPr>
      </w:pPr>
      <w:r w:rsidRPr="00131D1B">
        <w:rPr>
          <w:rFonts w:cs="–_˝ø/√Ú"/>
          <w:sz w:val="22"/>
          <w:szCs w:val="22"/>
        </w:rPr>
        <w:t>Establish Indigenous-</w:t>
      </w:r>
      <w:proofErr w:type="spellStart"/>
      <w:r w:rsidRPr="00131D1B">
        <w:rPr>
          <w:rFonts w:cs="–_˝ø/√Ú"/>
          <w:sz w:val="22"/>
          <w:szCs w:val="22"/>
        </w:rPr>
        <w:t>centred</w:t>
      </w:r>
      <w:proofErr w:type="spellEnd"/>
      <w:r w:rsidRPr="00131D1B">
        <w:rPr>
          <w:rFonts w:cs="–_˝ø/√Ú"/>
          <w:sz w:val="22"/>
          <w:szCs w:val="22"/>
        </w:rPr>
        <w:t xml:space="preserve"> holistic services and learning environments for learner success.</w:t>
      </w:r>
    </w:p>
    <w:p w14:paraId="2EFD2D40" w14:textId="7F9C288E" w:rsidR="00CF5B1C" w:rsidRPr="00131D1B" w:rsidRDefault="00CF5B1C" w:rsidP="00131D1B">
      <w:pPr>
        <w:pStyle w:val="ListParagraph"/>
        <w:widowControl w:val="0"/>
        <w:numPr>
          <w:ilvl w:val="0"/>
          <w:numId w:val="1"/>
        </w:numPr>
        <w:autoSpaceDE w:val="0"/>
        <w:autoSpaceDN w:val="0"/>
        <w:adjustRightInd w:val="0"/>
        <w:rPr>
          <w:rFonts w:cs="–_˝ø/√Ú"/>
          <w:sz w:val="22"/>
          <w:szCs w:val="22"/>
        </w:rPr>
      </w:pPr>
      <w:r w:rsidRPr="00131D1B">
        <w:rPr>
          <w:rFonts w:cs="–_˝ø/√Ú"/>
          <w:sz w:val="22"/>
          <w:szCs w:val="22"/>
        </w:rPr>
        <w:t>Build relationships and be accountable to Indigenous communities in support of self-determination through education, training and applied research.</w:t>
      </w:r>
    </w:p>
    <w:p w14:paraId="51FB703F" w14:textId="360E0691" w:rsidR="00CF5B1C" w:rsidRDefault="00CF5B1C" w:rsidP="00CF5B1C">
      <w:pPr>
        <w:widowControl w:val="0"/>
        <w:autoSpaceDE w:val="0"/>
        <w:autoSpaceDN w:val="0"/>
        <w:adjustRightInd w:val="0"/>
        <w:rPr>
          <w:rFonts w:cs="–_˝ø/√Ú"/>
          <w:sz w:val="22"/>
          <w:szCs w:val="22"/>
        </w:rPr>
      </w:pPr>
      <w:r>
        <w:rPr>
          <w:rFonts w:cs="–_˝ø/√Ú"/>
          <w:sz w:val="22"/>
          <w:szCs w:val="22"/>
        </w:rPr>
        <w:t>_______________________________________________________________________________________________________</w:t>
      </w:r>
    </w:p>
    <w:p w14:paraId="2DAC5180" w14:textId="77777777" w:rsidR="00CF5B1C" w:rsidRDefault="00CF5B1C" w:rsidP="00CF5B1C">
      <w:pPr>
        <w:widowControl w:val="0"/>
        <w:autoSpaceDE w:val="0"/>
        <w:autoSpaceDN w:val="0"/>
        <w:adjustRightInd w:val="0"/>
        <w:rPr>
          <w:rFonts w:cs="–_˝ø/√Ú"/>
          <w:sz w:val="22"/>
          <w:szCs w:val="22"/>
        </w:rPr>
      </w:pPr>
    </w:p>
    <w:p w14:paraId="46BF569E" w14:textId="4E130B2A" w:rsidR="00CF5B1C" w:rsidRDefault="00CF5B1C" w:rsidP="00CF5B1C">
      <w:pPr>
        <w:widowControl w:val="0"/>
        <w:autoSpaceDE w:val="0"/>
        <w:autoSpaceDN w:val="0"/>
        <w:adjustRightInd w:val="0"/>
        <w:rPr>
          <w:rFonts w:cs="–_˝ø/√Ú"/>
          <w:sz w:val="22"/>
          <w:szCs w:val="22"/>
        </w:rPr>
      </w:pPr>
      <w:r>
        <w:rPr>
          <w:rFonts w:cs="–_˝ø/√Ú"/>
          <w:sz w:val="22"/>
          <w:szCs w:val="22"/>
        </w:rPr>
        <w:t xml:space="preserve">Attached documents: FNMI Academic and Support Services themes and </w:t>
      </w:r>
      <w:r>
        <w:rPr>
          <w:rFonts w:cs="–_˝ø/√Ú"/>
          <w:sz w:val="22"/>
          <w:szCs w:val="22"/>
        </w:rPr>
        <w:lastRenderedPageBreak/>
        <w:t>linkages</w:t>
      </w:r>
    </w:p>
    <w:p w14:paraId="7D2A11D7" w14:textId="77777777" w:rsidR="00CF5B1C" w:rsidRDefault="00CF5B1C" w:rsidP="00CF5B1C">
      <w:pPr>
        <w:widowControl w:val="0"/>
        <w:autoSpaceDE w:val="0"/>
        <w:autoSpaceDN w:val="0"/>
        <w:adjustRightInd w:val="0"/>
        <w:rPr>
          <w:rFonts w:cs="–_˝ø/√Ú"/>
          <w:sz w:val="22"/>
          <w:szCs w:val="22"/>
        </w:rPr>
      </w:pPr>
    </w:p>
    <w:p w14:paraId="5DEC5202" w14:textId="4C642342" w:rsidR="00CF5B1C" w:rsidRDefault="00CF5B1C" w:rsidP="00CF5B1C">
      <w:pPr>
        <w:widowControl w:val="0"/>
        <w:autoSpaceDE w:val="0"/>
        <w:autoSpaceDN w:val="0"/>
        <w:adjustRightInd w:val="0"/>
        <w:rPr>
          <w:rFonts w:cs="–_˝ø/√Ú"/>
          <w:sz w:val="22"/>
          <w:szCs w:val="22"/>
        </w:rPr>
      </w:pPr>
      <w:r>
        <w:rPr>
          <w:rFonts w:cs="–_˝ø/√Ú"/>
          <w:sz w:val="22"/>
          <w:szCs w:val="22"/>
        </w:rPr>
        <w:t xml:space="preserve">Website: </w:t>
      </w:r>
      <w:hyperlink r:id="rId5" w:history="1">
        <w:r w:rsidR="00131D1B" w:rsidRPr="00D55858">
          <w:rPr>
            <w:rStyle w:val="Hyperlink"/>
            <w:rFonts w:cs="–_˝ø/√Ú"/>
            <w:sz w:val="22"/>
            <w:szCs w:val="22"/>
          </w:rPr>
          <w:t>https://department.flemingcollege.ca/aec/indigenous-education-protocol/</w:t>
        </w:r>
      </w:hyperlink>
    </w:p>
    <w:p w14:paraId="5615AE89" w14:textId="38A97784" w:rsidR="00131D1B" w:rsidRDefault="00131D1B" w:rsidP="00CF5B1C">
      <w:pPr>
        <w:widowControl w:val="0"/>
        <w:autoSpaceDE w:val="0"/>
        <w:autoSpaceDN w:val="0"/>
        <w:adjustRightInd w:val="0"/>
        <w:rPr>
          <w:rFonts w:cs="–_˝ø/√Ú"/>
          <w:sz w:val="22"/>
          <w:szCs w:val="22"/>
        </w:rPr>
      </w:pPr>
    </w:p>
    <w:p w14:paraId="122E7CC0" w14:textId="77777777" w:rsidR="00131D1B" w:rsidRPr="00A74F5B" w:rsidRDefault="00131D1B" w:rsidP="00CF5B1C">
      <w:pPr>
        <w:widowControl w:val="0"/>
        <w:autoSpaceDE w:val="0"/>
        <w:autoSpaceDN w:val="0"/>
        <w:adjustRightInd w:val="0"/>
        <w:rPr>
          <w:rFonts w:cs="–_˝ø/√Ú"/>
          <w:b/>
          <w:sz w:val="22"/>
          <w:szCs w:val="22"/>
        </w:rPr>
      </w:pPr>
    </w:p>
    <w:p w14:paraId="470E9090" w14:textId="3B5DB983" w:rsidR="00131D1B" w:rsidRPr="00A74F5B" w:rsidRDefault="00131D1B" w:rsidP="00CF5B1C">
      <w:pPr>
        <w:widowControl w:val="0"/>
        <w:autoSpaceDE w:val="0"/>
        <w:autoSpaceDN w:val="0"/>
        <w:adjustRightInd w:val="0"/>
        <w:rPr>
          <w:rFonts w:cs="–_˝ø/√Ú"/>
          <w:b/>
          <w:sz w:val="22"/>
        </w:rPr>
      </w:pPr>
      <w:r w:rsidRPr="00A74F5B">
        <w:rPr>
          <w:rFonts w:cs="–_˝ø/√Ú"/>
          <w:b/>
          <w:sz w:val="22"/>
        </w:rPr>
        <w:t xml:space="preserve">2. Honouring the Rights of Indigenous Peoples, the first </w:t>
      </w:r>
      <w:r w:rsidRPr="00A74F5B">
        <w:rPr>
          <w:rFonts w:cs="–_˝ø/√Ú"/>
          <w:b/>
          <w:i/>
          <w:sz w:val="22"/>
        </w:rPr>
        <w:t>stand-alone</w:t>
      </w:r>
      <w:r w:rsidRPr="00A74F5B">
        <w:rPr>
          <w:rFonts w:cs="–_˝ø/√Ú"/>
          <w:b/>
          <w:sz w:val="22"/>
        </w:rPr>
        <w:t xml:space="preserve"> Indigenous rights policy within any Canadian post-secondary institution that we are aware of.</w:t>
      </w:r>
    </w:p>
    <w:p w14:paraId="63E08B1D" w14:textId="3845BAAB" w:rsidR="00131D1B" w:rsidRPr="00131D1B" w:rsidRDefault="00131D1B" w:rsidP="00CF5B1C">
      <w:pPr>
        <w:widowControl w:val="0"/>
        <w:autoSpaceDE w:val="0"/>
        <w:autoSpaceDN w:val="0"/>
        <w:adjustRightInd w:val="0"/>
        <w:rPr>
          <w:rFonts w:cs="–_˝ø/√Ú"/>
          <w:sz w:val="22"/>
        </w:rPr>
      </w:pPr>
    </w:p>
    <w:p w14:paraId="193BFBB2" w14:textId="77777777" w:rsidR="00131D1B" w:rsidRPr="00131D1B" w:rsidRDefault="00131D1B" w:rsidP="00131D1B">
      <w:pPr>
        <w:pStyle w:val="NoSpacing"/>
        <w:rPr>
          <w:rFonts w:asciiTheme="minorHAnsi" w:hAnsiTheme="minorHAnsi" w:cs="Arial"/>
          <w:sz w:val="22"/>
        </w:rPr>
      </w:pPr>
      <w:r w:rsidRPr="00131D1B">
        <w:rPr>
          <w:rFonts w:asciiTheme="minorHAnsi" w:hAnsiTheme="minorHAnsi" w:cs="Arial"/>
          <w:sz w:val="22"/>
        </w:rPr>
        <w:t>Per its Strategic Plan 2019-2024, Fleming College has made a public commitment to, “strengthen our relationship with Indigenous Peoples by helping to create opportunities in post-secondary education, and actively participating in the process of reconciliation by ensuring all students and staff gain a deeper understanding and appreciation of Indigenous Peoples, their ways of knowing and histories.”</w:t>
      </w:r>
    </w:p>
    <w:p w14:paraId="2D338B9F" w14:textId="77777777" w:rsidR="00131D1B" w:rsidRPr="00131D1B" w:rsidRDefault="00131D1B" w:rsidP="00131D1B">
      <w:pPr>
        <w:pStyle w:val="NoSpacing"/>
        <w:rPr>
          <w:rFonts w:asciiTheme="minorHAnsi" w:hAnsiTheme="minorHAnsi" w:cs="Arial"/>
          <w:sz w:val="22"/>
        </w:rPr>
      </w:pPr>
    </w:p>
    <w:p w14:paraId="2D800FD4" w14:textId="77777777" w:rsidR="00131D1B" w:rsidRPr="00131D1B" w:rsidRDefault="00131D1B" w:rsidP="00131D1B">
      <w:pPr>
        <w:pStyle w:val="NoSpacing"/>
        <w:rPr>
          <w:rFonts w:asciiTheme="minorHAnsi" w:hAnsiTheme="minorHAnsi" w:cs="Arial"/>
          <w:sz w:val="22"/>
        </w:rPr>
      </w:pPr>
      <w:r w:rsidRPr="00131D1B">
        <w:rPr>
          <w:rFonts w:asciiTheme="minorHAnsi" w:hAnsiTheme="minorHAnsi" w:cs="Arial"/>
          <w:sz w:val="22"/>
        </w:rPr>
        <w:t xml:space="preserve">Fleming College is also a signatory to the CICAN Indigenous Education Protocol for Colleges and Institutes and its seven (7) commitments. </w:t>
      </w:r>
    </w:p>
    <w:p w14:paraId="24EC1348" w14:textId="77777777" w:rsidR="00131D1B" w:rsidRPr="00131D1B" w:rsidRDefault="00131D1B" w:rsidP="00131D1B">
      <w:pPr>
        <w:pStyle w:val="NoSpacing"/>
        <w:rPr>
          <w:rFonts w:asciiTheme="minorHAnsi" w:hAnsiTheme="minorHAnsi" w:cs="Arial"/>
          <w:sz w:val="22"/>
        </w:rPr>
      </w:pPr>
    </w:p>
    <w:p w14:paraId="0FAC6DC7" w14:textId="4CDDB397" w:rsidR="00131D1B" w:rsidRPr="00131D1B" w:rsidRDefault="00131D1B" w:rsidP="00131D1B">
      <w:pPr>
        <w:pStyle w:val="NoSpacing"/>
        <w:rPr>
          <w:rFonts w:asciiTheme="minorHAnsi" w:hAnsiTheme="minorHAnsi" w:cs="Arial"/>
          <w:sz w:val="22"/>
        </w:rPr>
      </w:pPr>
      <w:r w:rsidRPr="00131D1B">
        <w:rPr>
          <w:rFonts w:asciiTheme="minorHAnsi" w:hAnsiTheme="minorHAnsi" w:cs="Arial"/>
          <w:sz w:val="22"/>
        </w:rPr>
        <w:t xml:space="preserve">To fulfill these obligations and better position the College for future growth, a policy titled </w:t>
      </w:r>
      <w:r>
        <w:rPr>
          <w:rFonts w:asciiTheme="minorHAnsi" w:hAnsiTheme="minorHAnsi" w:cs="Arial"/>
          <w:sz w:val="22"/>
        </w:rPr>
        <w:t>‘</w:t>
      </w:r>
      <w:r w:rsidRPr="00131D1B">
        <w:rPr>
          <w:rFonts w:asciiTheme="minorHAnsi" w:hAnsiTheme="minorHAnsi" w:cs="Arial"/>
          <w:sz w:val="22"/>
        </w:rPr>
        <w:t>Honouring the Rights of Indigenous Peoples</w:t>
      </w:r>
      <w:r>
        <w:rPr>
          <w:rFonts w:asciiTheme="minorHAnsi" w:hAnsiTheme="minorHAnsi" w:cs="Arial"/>
          <w:sz w:val="22"/>
        </w:rPr>
        <w:t>’ was developed and approved by the College Board of Governors of June 26, 2019.</w:t>
      </w:r>
    </w:p>
    <w:p w14:paraId="6616F182" w14:textId="77777777" w:rsidR="00131D1B" w:rsidRPr="00131D1B" w:rsidRDefault="00131D1B" w:rsidP="00CF5B1C">
      <w:pPr>
        <w:widowControl w:val="0"/>
        <w:autoSpaceDE w:val="0"/>
        <w:autoSpaceDN w:val="0"/>
        <w:adjustRightInd w:val="0"/>
        <w:rPr>
          <w:rFonts w:cs="–_˝ø/√Ú"/>
        </w:rPr>
      </w:pPr>
    </w:p>
    <w:p w14:paraId="20A656DF" w14:textId="285F66E7" w:rsidR="00131D1B" w:rsidRDefault="00131D1B" w:rsidP="00CF5B1C">
      <w:pPr>
        <w:widowControl w:val="0"/>
        <w:autoSpaceDE w:val="0"/>
        <w:autoSpaceDN w:val="0"/>
        <w:adjustRightInd w:val="0"/>
        <w:rPr>
          <w:rFonts w:cs="–_˝ø/√Ú"/>
          <w:sz w:val="22"/>
          <w:szCs w:val="22"/>
        </w:rPr>
      </w:pPr>
      <w:bookmarkStart w:id="0" w:name="_GoBack"/>
      <w:bookmarkEnd w:id="0"/>
    </w:p>
    <w:p w14:paraId="017F4708" w14:textId="77777777" w:rsidR="00131D1B" w:rsidRPr="008F74EA" w:rsidRDefault="00131D1B" w:rsidP="00131D1B">
      <w:pPr>
        <w:rPr>
          <w:rFonts w:ascii="Arial" w:eastAsia="Calibri" w:hAnsi="Arial"/>
          <w:b/>
          <w:i/>
          <w:lang w:val="en-CA"/>
        </w:rPr>
      </w:pPr>
      <w:r w:rsidRPr="008F74EA">
        <w:rPr>
          <w:rFonts w:ascii="Arial" w:eastAsia="Calibri" w:hAnsi="Arial"/>
          <w:b/>
          <w:lang w:val="en-CA"/>
        </w:rPr>
        <w:t xml:space="preserve">COLLEGE POLICY </w:t>
      </w:r>
    </w:p>
    <w:tbl>
      <w:tblPr>
        <w:tblStyle w:val="TableGrid"/>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4395"/>
        <w:gridCol w:w="4235"/>
      </w:tblGrid>
      <w:tr w:rsidR="00131D1B" w:rsidRPr="008F74EA" w14:paraId="1F12B258" w14:textId="77777777" w:rsidTr="009A4A55">
        <w:tc>
          <w:tcPr>
            <w:tcW w:w="9883" w:type="dxa"/>
            <w:gridSpan w:val="2"/>
          </w:tcPr>
          <w:p w14:paraId="0AD4C192" w14:textId="77777777" w:rsidR="00131D1B" w:rsidRPr="008F74EA" w:rsidRDefault="00131D1B" w:rsidP="009A4A55">
            <w:pPr>
              <w:pStyle w:val="NoSpacing"/>
              <w:rPr>
                <w:rFonts w:cs="Arial"/>
              </w:rPr>
            </w:pPr>
            <w:r w:rsidRPr="008F74EA">
              <w:rPr>
                <w:rFonts w:cs="Arial"/>
                <w:b/>
              </w:rPr>
              <w:t>Policy Title:  Honouring the Rights of Indigenous Peoples</w:t>
            </w:r>
          </w:p>
        </w:tc>
      </w:tr>
      <w:tr w:rsidR="00131D1B" w:rsidRPr="008F74EA" w14:paraId="4F85C3A0" w14:textId="77777777" w:rsidTr="009A4A55">
        <w:trPr>
          <w:trHeight w:val="288"/>
        </w:trPr>
        <w:tc>
          <w:tcPr>
            <w:tcW w:w="5035" w:type="dxa"/>
          </w:tcPr>
          <w:p w14:paraId="2B5090B5" w14:textId="77777777" w:rsidR="00131D1B" w:rsidRPr="008F74EA" w:rsidRDefault="00131D1B" w:rsidP="009A4A55">
            <w:pPr>
              <w:pStyle w:val="NoSpacing"/>
              <w:rPr>
                <w:rFonts w:cs="Arial"/>
                <w:b/>
              </w:rPr>
            </w:pPr>
            <w:r w:rsidRPr="008F74EA">
              <w:rPr>
                <w:rFonts w:cs="Arial"/>
                <w:b/>
              </w:rPr>
              <w:t>Policy ID:</w:t>
            </w:r>
          </w:p>
        </w:tc>
        <w:tc>
          <w:tcPr>
            <w:tcW w:w="4848" w:type="dxa"/>
          </w:tcPr>
          <w:p w14:paraId="4CCC2A76" w14:textId="77777777" w:rsidR="00131D1B" w:rsidRPr="008F74EA" w:rsidRDefault="00131D1B" w:rsidP="009A4A55">
            <w:pPr>
              <w:pStyle w:val="NoSpacing"/>
              <w:rPr>
                <w:rFonts w:cs="Arial"/>
              </w:rPr>
            </w:pPr>
            <w:r w:rsidRPr="008F74EA">
              <w:rPr>
                <w:rFonts w:cs="Arial"/>
              </w:rPr>
              <w:t>#</w:t>
            </w:r>
            <w:r>
              <w:rPr>
                <w:rFonts w:cs="Arial"/>
              </w:rPr>
              <w:t>1-110</w:t>
            </w:r>
          </w:p>
        </w:tc>
      </w:tr>
      <w:tr w:rsidR="00131D1B" w:rsidRPr="008F74EA" w14:paraId="38CE32EC" w14:textId="77777777" w:rsidTr="009A4A55">
        <w:trPr>
          <w:trHeight w:val="288"/>
        </w:trPr>
        <w:tc>
          <w:tcPr>
            <w:tcW w:w="5035" w:type="dxa"/>
          </w:tcPr>
          <w:p w14:paraId="59AEAFAF" w14:textId="77777777" w:rsidR="00131D1B" w:rsidRPr="008F74EA" w:rsidRDefault="00131D1B" w:rsidP="009A4A55">
            <w:pPr>
              <w:pStyle w:val="NoSpacing"/>
              <w:rPr>
                <w:rFonts w:cs="Arial"/>
                <w:b/>
              </w:rPr>
            </w:pPr>
            <w:r w:rsidRPr="008F74EA">
              <w:rPr>
                <w:rFonts w:cs="Arial"/>
                <w:b/>
              </w:rPr>
              <w:t xml:space="preserve">Manual Classification:  </w:t>
            </w:r>
          </w:p>
        </w:tc>
        <w:tc>
          <w:tcPr>
            <w:tcW w:w="4848" w:type="dxa"/>
          </w:tcPr>
          <w:p w14:paraId="1D96AF42" w14:textId="77777777" w:rsidR="00131D1B" w:rsidRPr="008F74EA" w:rsidRDefault="00131D1B" w:rsidP="009A4A55">
            <w:pPr>
              <w:pStyle w:val="NoSpacing"/>
              <w:rPr>
                <w:rFonts w:cs="Arial"/>
              </w:rPr>
            </w:pPr>
            <w:r w:rsidRPr="008F74EA">
              <w:rPr>
                <w:rFonts w:cs="Arial"/>
              </w:rPr>
              <w:t>Section</w:t>
            </w:r>
          </w:p>
        </w:tc>
      </w:tr>
      <w:tr w:rsidR="00131D1B" w:rsidRPr="008F74EA" w14:paraId="65AA16C7" w14:textId="77777777" w:rsidTr="009A4A55">
        <w:trPr>
          <w:trHeight w:val="288"/>
        </w:trPr>
        <w:tc>
          <w:tcPr>
            <w:tcW w:w="5035" w:type="dxa"/>
          </w:tcPr>
          <w:p w14:paraId="59844733" w14:textId="77777777" w:rsidR="00131D1B" w:rsidRPr="008F74EA" w:rsidRDefault="00131D1B" w:rsidP="009A4A55">
            <w:pPr>
              <w:pStyle w:val="NoSpacing"/>
              <w:rPr>
                <w:rFonts w:cs="Arial"/>
                <w:b/>
              </w:rPr>
            </w:pPr>
            <w:r w:rsidRPr="008F74EA">
              <w:rPr>
                <w:rFonts w:cs="Arial"/>
                <w:b/>
              </w:rPr>
              <w:t>Approved by Board of Governors:</w:t>
            </w:r>
          </w:p>
        </w:tc>
        <w:tc>
          <w:tcPr>
            <w:tcW w:w="4848" w:type="dxa"/>
          </w:tcPr>
          <w:p w14:paraId="42AC4399" w14:textId="77777777" w:rsidR="00131D1B" w:rsidRPr="008F74EA" w:rsidRDefault="00131D1B" w:rsidP="009A4A55">
            <w:pPr>
              <w:pStyle w:val="NoSpacing"/>
              <w:rPr>
                <w:rFonts w:cs="Arial"/>
              </w:rPr>
            </w:pPr>
            <w:r w:rsidRPr="008F74EA">
              <w:rPr>
                <w:rFonts w:cs="Arial"/>
                <w:i/>
              </w:rPr>
              <w:t>Original</w:t>
            </w:r>
            <w:r w:rsidRPr="008F74EA">
              <w:rPr>
                <w:rFonts w:cs="Arial"/>
              </w:rPr>
              <w:t xml:space="preserve">:  June 26, 2019 </w:t>
            </w:r>
          </w:p>
        </w:tc>
      </w:tr>
      <w:tr w:rsidR="00131D1B" w:rsidRPr="008F74EA" w14:paraId="0CE03F08" w14:textId="77777777" w:rsidTr="009A4A55">
        <w:trPr>
          <w:trHeight w:val="288"/>
        </w:trPr>
        <w:tc>
          <w:tcPr>
            <w:tcW w:w="5035" w:type="dxa"/>
          </w:tcPr>
          <w:p w14:paraId="4938B419" w14:textId="77777777" w:rsidR="00131D1B" w:rsidRPr="008F74EA" w:rsidRDefault="00131D1B" w:rsidP="009A4A55">
            <w:pPr>
              <w:pStyle w:val="NoSpacing"/>
              <w:rPr>
                <w:rFonts w:cs="Arial"/>
                <w:b/>
              </w:rPr>
            </w:pPr>
            <w:r w:rsidRPr="008F74EA">
              <w:rPr>
                <w:rFonts w:cs="Arial"/>
                <w:b/>
              </w:rPr>
              <w:t>Revision Date(s):</w:t>
            </w:r>
          </w:p>
        </w:tc>
        <w:tc>
          <w:tcPr>
            <w:tcW w:w="4848" w:type="dxa"/>
          </w:tcPr>
          <w:p w14:paraId="1F61FAD3" w14:textId="77777777" w:rsidR="00131D1B" w:rsidRPr="008F74EA" w:rsidRDefault="00131D1B" w:rsidP="009A4A55">
            <w:pPr>
              <w:pStyle w:val="NoSpacing"/>
              <w:rPr>
                <w:rFonts w:cs="Arial"/>
                <w:i/>
              </w:rPr>
            </w:pPr>
          </w:p>
        </w:tc>
      </w:tr>
      <w:tr w:rsidR="00131D1B" w:rsidRPr="008F74EA" w14:paraId="25FF310A" w14:textId="77777777" w:rsidTr="009A4A55">
        <w:trPr>
          <w:trHeight w:val="288"/>
        </w:trPr>
        <w:tc>
          <w:tcPr>
            <w:tcW w:w="5035" w:type="dxa"/>
          </w:tcPr>
          <w:p w14:paraId="11DEC93C" w14:textId="77777777" w:rsidR="00131D1B" w:rsidRPr="008F74EA" w:rsidRDefault="00131D1B" w:rsidP="009A4A55">
            <w:pPr>
              <w:pStyle w:val="NoSpacing"/>
              <w:rPr>
                <w:rFonts w:cs="Arial"/>
                <w:b/>
              </w:rPr>
            </w:pPr>
            <w:r w:rsidRPr="008F74EA">
              <w:rPr>
                <w:rFonts w:cs="Arial"/>
                <w:b/>
              </w:rPr>
              <w:t>Effective Date:</w:t>
            </w:r>
          </w:p>
        </w:tc>
        <w:tc>
          <w:tcPr>
            <w:tcW w:w="4848" w:type="dxa"/>
          </w:tcPr>
          <w:p w14:paraId="2ADAC689" w14:textId="77777777" w:rsidR="00131D1B" w:rsidRPr="008F74EA" w:rsidRDefault="00131D1B" w:rsidP="009A4A55">
            <w:pPr>
              <w:pStyle w:val="NoSpacing"/>
              <w:rPr>
                <w:rFonts w:cs="Arial"/>
              </w:rPr>
            </w:pPr>
            <w:r w:rsidRPr="008F74EA">
              <w:rPr>
                <w:rFonts w:cs="Arial"/>
              </w:rPr>
              <w:t xml:space="preserve">June 26, 2019 </w:t>
            </w:r>
          </w:p>
        </w:tc>
      </w:tr>
      <w:tr w:rsidR="00131D1B" w:rsidRPr="008F74EA" w14:paraId="364FD6EB" w14:textId="77777777" w:rsidTr="009A4A55">
        <w:trPr>
          <w:trHeight w:val="288"/>
        </w:trPr>
        <w:tc>
          <w:tcPr>
            <w:tcW w:w="5035" w:type="dxa"/>
          </w:tcPr>
          <w:p w14:paraId="4A091A1C" w14:textId="77777777" w:rsidR="00131D1B" w:rsidRPr="008F74EA" w:rsidRDefault="00131D1B" w:rsidP="009A4A55">
            <w:pPr>
              <w:pStyle w:val="NoSpacing"/>
              <w:rPr>
                <w:rFonts w:cs="Arial"/>
                <w:b/>
              </w:rPr>
            </w:pPr>
            <w:r w:rsidRPr="008F74EA">
              <w:rPr>
                <w:rFonts w:cs="Arial"/>
                <w:b/>
              </w:rPr>
              <w:t>Next Policy Review Date:</w:t>
            </w:r>
            <w:r w:rsidRPr="008F74EA">
              <w:rPr>
                <w:sz w:val="16"/>
                <w:szCs w:val="16"/>
              </w:rPr>
              <w:t xml:space="preserve"> </w:t>
            </w:r>
            <w:r w:rsidRPr="008F74EA">
              <w:rPr>
                <w:rFonts w:cs="Arial"/>
                <w:sz w:val="16"/>
                <w:szCs w:val="16"/>
              </w:rPr>
              <w:t xml:space="preserve"> </w:t>
            </w:r>
          </w:p>
        </w:tc>
        <w:tc>
          <w:tcPr>
            <w:tcW w:w="4848" w:type="dxa"/>
          </w:tcPr>
          <w:p w14:paraId="5A3B76F7" w14:textId="77777777" w:rsidR="00131D1B" w:rsidRPr="008F74EA" w:rsidRDefault="00131D1B" w:rsidP="009A4A55">
            <w:pPr>
              <w:pStyle w:val="NoSpacing"/>
              <w:rPr>
                <w:rFonts w:cs="Arial"/>
              </w:rPr>
            </w:pPr>
            <w:r w:rsidRPr="008F74EA">
              <w:rPr>
                <w:rFonts w:cs="Arial"/>
              </w:rPr>
              <w:t>June 26, 2024</w:t>
            </w:r>
          </w:p>
        </w:tc>
      </w:tr>
      <w:tr w:rsidR="00131D1B" w:rsidRPr="008F74EA" w14:paraId="556A4F76" w14:textId="77777777" w:rsidTr="009A4A55">
        <w:trPr>
          <w:trHeight w:val="288"/>
        </w:trPr>
        <w:tc>
          <w:tcPr>
            <w:tcW w:w="5035" w:type="dxa"/>
          </w:tcPr>
          <w:p w14:paraId="2FF4D282" w14:textId="77777777" w:rsidR="00131D1B" w:rsidRPr="008F74EA" w:rsidRDefault="00131D1B" w:rsidP="009A4A55">
            <w:pPr>
              <w:pStyle w:val="NoSpacing"/>
              <w:rPr>
                <w:rFonts w:cs="Arial"/>
                <w:b/>
                <w:sz w:val="21"/>
                <w:szCs w:val="21"/>
              </w:rPr>
            </w:pPr>
            <w:r w:rsidRPr="008F74EA">
              <w:rPr>
                <w:rFonts w:cs="Arial"/>
                <w:b/>
                <w:sz w:val="21"/>
                <w:szCs w:val="21"/>
              </w:rPr>
              <w:t>Administrative Contact for Policy Interpretation:</w:t>
            </w:r>
          </w:p>
        </w:tc>
        <w:tc>
          <w:tcPr>
            <w:tcW w:w="4848" w:type="dxa"/>
          </w:tcPr>
          <w:p w14:paraId="5E3C9699" w14:textId="77777777" w:rsidR="00131D1B" w:rsidRPr="008F74EA" w:rsidRDefault="00131D1B" w:rsidP="009A4A55">
            <w:pPr>
              <w:pStyle w:val="NoSpacing"/>
              <w:rPr>
                <w:rFonts w:cs="Arial"/>
              </w:rPr>
            </w:pPr>
            <w:r w:rsidRPr="008F74EA">
              <w:rPr>
                <w:rFonts w:cs="Arial"/>
              </w:rPr>
              <w:t>VP Student Experience and, VP Organizational Effectiveness &amp; Human Resources</w:t>
            </w:r>
          </w:p>
        </w:tc>
      </w:tr>
      <w:tr w:rsidR="00131D1B" w:rsidRPr="008F74EA" w14:paraId="19B62B78" w14:textId="77777777" w:rsidTr="009A4A55">
        <w:trPr>
          <w:trHeight w:val="288"/>
        </w:trPr>
        <w:tc>
          <w:tcPr>
            <w:tcW w:w="5035" w:type="dxa"/>
          </w:tcPr>
          <w:p w14:paraId="6A774093" w14:textId="77777777" w:rsidR="00131D1B" w:rsidRPr="008F74EA" w:rsidRDefault="00131D1B" w:rsidP="009A4A55">
            <w:pPr>
              <w:pStyle w:val="NoSpacing"/>
              <w:rPr>
                <w:rFonts w:cs="Arial"/>
                <w:b/>
                <w:sz w:val="21"/>
                <w:szCs w:val="21"/>
              </w:rPr>
            </w:pPr>
            <w:r w:rsidRPr="008F74EA">
              <w:rPr>
                <w:rFonts w:cs="Arial"/>
                <w:b/>
                <w:sz w:val="21"/>
                <w:szCs w:val="21"/>
              </w:rPr>
              <w:t>Linked to an Operating Procedure:</w:t>
            </w:r>
          </w:p>
        </w:tc>
        <w:tc>
          <w:tcPr>
            <w:tcW w:w="4848" w:type="dxa"/>
          </w:tcPr>
          <w:p w14:paraId="7BF53804" w14:textId="77777777" w:rsidR="00131D1B" w:rsidRDefault="00131D1B" w:rsidP="009A4A55">
            <w:pPr>
              <w:pStyle w:val="NoSpacing"/>
              <w:rPr>
                <w:rFonts w:cs="Arial"/>
              </w:rPr>
            </w:pPr>
            <w:r>
              <w:rPr>
                <w:rFonts w:cs="Arial"/>
              </w:rPr>
              <w:sym w:font="Wingdings" w:char="F0FE"/>
            </w:r>
            <w:r>
              <w:rPr>
                <w:rFonts w:cs="Arial"/>
              </w:rPr>
              <w:t xml:space="preserve"> **Yes   </w:t>
            </w:r>
            <w:r w:rsidRPr="008F74EA">
              <w:rPr>
                <w:rFonts w:cs="Arial"/>
              </w:rPr>
              <w:tab/>
            </w:r>
            <w:r w:rsidRPr="008F74EA">
              <w:rPr>
                <w:rFonts w:cs="Arial"/>
              </w:rPr>
              <w:sym w:font="Wingdings 2" w:char="F0A3"/>
            </w:r>
            <w:r w:rsidRPr="008F74EA">
              <w:rPr>
                <w:rFonts w:cs="Arial"/>
              </w:rPr>
              <w:t xml:space="preserve"> No</w:t>
            </w:r>
          </w:p>
          <w:p w14:paraId="0972F1E2" w14:textId="77777777" w:rsidR="00131D1B" w:rsidRPr="008F74EA" w:rsidRDefault="00131D1B" w:rsidP="009A4A55">
            <w:pPr>
              <w:pStyle w:val="NoSpacing"/>
              <w:rPr>
                <w:rFonts w:cs="Arial"/>
              </w:rPr>
            </w:pPr>
            <w:r>
              <w:rPr>
                <w:rFonts w:cs="Arial"/>
              </w:rPr>
              <w:t>**Operating procedure(s) under development</w:t>
            </w:r>
          </w:p>
        </w:tc>
      </w:tr>
    </w:tbl>
    <w:p w14:paraId="7CAE4F31" w14:textId="77777777" w:rsidR="00131D1B" w:rsidRPr="008F74EA" w:rsidRDefault="00131D1B" w:rsidP="00131D1B">
      <w:pPr>
        <w:pStyle w:val="NoSpacing"/>
        <w:rPr>
          <w:rFonts w:ascii="Arial" w:eastAsia="Calibri" w:hAnsi="Arial" w:cs="Arial"/>
          <w:sz w:val="22"/>
          <w:szCs w:val="22"/>
          <w:lang w:val="en-CA"/>
        </w:rPr>
      </w:pPr>
    </w:p>
    <w:p w14:paraId="4620F845" w14:textId="77777777" w:rsidR="00131D1B" w:rsidRPr="008F74EA" w:rsidRDefault="00131D1B" w:rsidP="00131D1B">
      <w:pPr>
        <w:pStyle w:val="NoSpacing"/>
        <w:rPr>
          <w:rFonts w:ascii="Arial" w:eastAsia="Calibri" w:hAnsi="Arial" w:cs="Arial"/>
          <w:sz w:val="22"/>
          <w:szCs w:val="22"/>
          <w:lang w:val="en-CA"/>
        </w:rPr>
      </w:pPr>
      <w:r w:rsidRPr="008F74EA">
        <w:rPr>
          <w:rFonts w:ascii="Arial" w:eastAsia="Calibri" w:hAnsi="Arial" w:cs="Arial"/>
          <w:color w:val="auto"/>
          <w:sz w:val="22"/>
          <w:szCs w:val="22"/>
          <w:lang w:val="en-CA"/>
        </w:rPr>
        <w:t xml:space="preserve">  </w:t>
      </w:r>
    </w:p>
    <w:p w14:paraId="79E15770" w14:textId="77777777" w:rsidR="00131D1B" w:rsidRPr="008F74EA" w:rsidRDefault="00131D1B" w:rsidP="00131D1B">
      <w:pPr>
        <w:shd w:val="pct10" w:color="auto" w:fill="auto"/>
        <w:rPr>
          <w:rFonts w:ascii="Arial" w:eastAsia="Calibri" w:hAnsi="Arial"/>
          <w:b/>
          <w:sz w:val="22"/>
          <w:szCs w:val="22"/>
          <w:lang w:val="en-CA"/>
        </w:rPr>
      </w:pPr>
      <w:r w:rsidRPr="008F74EA">
        <w:rPr>
          <w:rFonts w:ascii="Arial" w:eastAsia="Calibri" w:hAnsi="Arial"/>
          <w:b/>
          <w:sz w:val="22"/>
          <w:szCs w:val="22"/>
          <w:lang w:val="en-CA"/>
        </w:rPr>
        <w:t xml:space="preserve">Policy Statement </w:t>
      </w:r>
    </w:p>
    <w:p w14:paraId="54E464DD" w14:textId="77777777" w:rsidR="00131D1B" w:rsidRPr="008F74EA" w:rsidRDefault="00131D1B" w:rsidP="00131D1B">
      <w:pPr>
        <w:pStyle w:val="NoSpacing"/>
        <w:rPr>
          <w:rFonts w:ascii="Arial" w:eastAsia="Calibri" w:hAnsi="Arial" w:cs="Arial"/>
          <w:sz w:val="22"/>
          <w:szCs w:val="22"/>
          <w:lang w:val="en-CA"/>
        </w:rPr>
      </w:pPr>
    </w:p>
    <w:p w14:paraId="58FE51D1" w14:textId="77777777" w:rsidR="00131D1B" w:rsidRPr="008F74EA" w:rsidRDefault="00131D1B" w:rsidP="00131D1B">
      <w:pPr>
        <w:pStyle w:val="NoSpacing"/>
        <w:rPr>
          <w:rFonts w:ascii="Arial" w:eastAsia="Calibri" w:hAnsi="Arial" w:cs="Arial"/>
          <w:sz w:val="22"/>
          <w:szCs w:val="22"/>
          <w:lang w:val="en-CA"/>
        </w:rPr>
      </w:pPr>
      <w:r w:rsidRPr="008F74EA">
        <w:rPr>
          <w:rFonts w:ascii="Arial" w:eastAsia="Calibri" w:hAnsi="Arial" w:cs="Arial"/>
          <w:sz w:val="22"/>
          <w:szCs w:val="22"/>
          <w:lang w:val="en-CA"/>
        </w:rPr>
        <w:t xml:space="preserve">Fleming College respectfully acknowledges that it is situated on the traditional lands of the </w:t>
      </w:r>
      <w:proofErr w:type="spellStart"/>
      <w:r w:rsidRPr="008F74EA">
        <w:rPr>
          <w:rFonts w:ascii="Arial" w:eastAsia="Calibri" w:hAnsi="Arial" w:cs="Arial"/>
          <w:sz w:val="22"/>
          <w:szCs w:val="22"/>
          <w:lang w:val="en-CA"/>
        </w:rPr>
        <w:t>Michi</w:t>
      </w:r>
      <w:proofErr w:type="spellEnd"/>
      <w:r w:rsidRPr="008F74EA">
        <w:rPr>
          <w:rFonts w:ascii="Arial" w:eastAsia="Calibri" w:hAnsi="Arial" w:cs="Arial"/>
          <w:sz w:val="22"/>
          <w:szCs w:val="22"/>
          <w:lang w:val="en-CA"/>
        </w:rPr>
        <w:t xml:space="preserve"> </w:t>
      </w:r>
      <w:proofErr w:type="spellStart"/>
      <w:r w:rsidRPr="008F74EA">
        <w:rPr>
          <w:rFonts w:ascii="Arial" w:eastAsia="Calibri" w:hAnsi="Arial" w:cs="Arial"/>
          <w:sz w:val="22"/>
          <w:szCs w:val="22"/>
          <w:lang w:val="en-CA"/>
        </w:rPr>
        <w:t>Saagig</w:t>
      </w:r>
      <w:proofErr w:type="spellEnd"/>
      <w:r w:rsidRPr="008F74EA">
        <w:rPr>
          <w:rFonts w:ascii="Arial" w:eastAsia="Calibri" w:hAnsi="Arial" w:cs="Arial"/>
          <w:sz w:val="22"/>
          <w:szCs w:val="22"/>
          <w:lang w:val="en-CA"/>
        </w:rPr>
        <w:t xml:space="preserve"> peoples and within the lands covered by the Williams Treaty. Please note that this policy has been created from an </w:t>
      </w:r>
      <w:proofErr w:type="spellStart"/>
      <w:r w:rsidRPr="008F74EA">
        <w:rPr>
          <w:rFonts w:ascii="Arial" w:eastAsia="Calibri" w:hAnsi="Arial" w:cs="Arial"/>
          <w:sz w:val="22"/>
          <w:szCs w:val="22"/>
          <w:lang w:val="en-CA"/>
        </w:rPr>
        <w:t>Anishinaabe</w:t>
      </w:r>
      <w:proofErr w:type="spellEnd"/>
      <w:r w:rsidRPr="008F74EA">
        <w:rPr>
          <w:rFonts w:ascii="Arial" w:eastAsia="Calibri" w:hAnsi="Arial" w:cs="Arial"/>
          <w:sz w:val="22"/>
          <w:szCs w:val="22"/>
          <w:lang w:val="en-CA"/>
        </w:rPr>
        <w:t xml:space="preserve"> perspective and does not reflect all Indigenous ways of knowing.</w:t>
      </w:r>
    </w:p>
    <w:p w14:paraId="2F95AF78" w14:textId="77777777" w:rsidR="00131D1B" w:rsidRPr="008F74EA" w:rsidRDefault="00131D1B" w:rsidP="00131D1B">
      <w:pPr>
        <w:pStyle w:val="NoSpacing"/>
        <w:rPr>
          <w:rFonts w:ascii="Arial" w:eastAsia="Calibri" w:hAnsi="Arial" w:cs="Arial"/>
          <w:sz w:val="22"/>
          <w:szCs w:val="22"/>
          <w:lang w:val="en-CA"/>
        </w:rPr>
      </w:pPr>
    </w:p>
    <w:p w14:paraId="1C7961B1" w14:textId="77777777" w:rsidR="00131D1B" w:rsidRPr="008F74EA" w:rsidRDefault="00131D1B" w:rsidP="00131D1B">
      <w:pPr>
        <w:pStyle w:val="NoSpacing"/>
        <w:rPr>
          <w:rFonts w:ascii="Arial" w:eastAsia="Calibri" w:hAnsi="Arial" w:cs="Arial"/>
          <w:sz w:val="22"/>
          <w:szCs w:val="22"/>
          <w:lang w:val="en-CA"/>
        </w:rPr>
      </w:pPr>
      <w:r w:rsidRPr="008F74EA">
        <w:rPr>
          <w:rFonts w:ascii="Arial" w:eastAsia="Calibri" w:hAnsi="Arial" w:cs="Arial"/>
          <w:sz w:val="22"/>
          <w:szCs w:val="22"/>
          <w:lang w:val="en-CA"/>
        </w:rPr>
        <w:t xml:space="preserve">Fleming College believes in and promotes the rights of all First Nations (status and non-status), Inuit and Métis peoples, as protected in the </w:t>
      </w:r>
      <w:r w:rsidRPr="008F74EA">
        <w:rPr>
          <w:rFonts w:ascii="Arial" w:eastAsia="Calibri" w:hAnsi="Arial" w:cs="Arial"/>
          <w:i/>
          <w:sz w:val="22"/>
          <w:szCs w:val="22"/>
          <w:lang w:val="en-CA"/>
        </w:rPr>
        <w:t>Canadian Charter of Rights and Freedoms</w:t>
      </w:r>
      <w:r w:rsidRPr="008F74EA">
        <w:rPr>
          <w:rFonts w:ascii="Arial" w:eastAsia="Calibri" w:hAnsi="Arial" w:cs="Arial"/>
          <w:sz w:val="22"/>
          <w:szCs w:val="22"/>
          <w:lang w:val="en-CA"/>
        </w:rPr>
        <w:t xml:space="preserve">, </w:t>
      </w:r>
      <w:r w:rsidRPr="008F74EA">
        <w:rPr>
          <w:rFonts w:ascii="Arial" w:eastAsia="Calibri" w:hAnsi="Arial" w:cs="Arial"/>
          <w:i/>
          <w:sz w:val="22"/>
          <w:szCs w:val="22"/>
          <w:lang w:val="en-CA"/>
        </w:rPr>
        <w:t>The Constitution Act</w:t>
      </w:r>
      <w:r w:rsidRPr="008F74EA">
        <w:rPr>
          <w:rFonts w:ascii="Arial" w:eastAsia="Calibri" w:hAnsi="Arial" w:cs="Arial"/>
          <w:sz w:val="22"/>
          <w:szCs w:val="22"/>
          <w:lang w:val="en-CA"/>
        </w:rPr>
        <w:t xml:space="preserve">, the </w:t>
      </w:r>
      <w:r w:rsidRPr="008F74EA">
        <w:rPr>
          <w:rFonts w:ascii="Arial" w:eastAsia="Calibri" w:hAnsi="Arial" w:cs="Arial"/>
          <w:i/>
          <w:sz w:val="22"/>
          <w:szCs w:val="22"/>
          <w:lang w:val="en-CA"/>
        </w:rPr>
        <w:t>Ontario Human Rights Code</w:t>
      </w:r>
      <w:r w:rsidRPr="008F74EA">
        <w:rPr>
          <w:rFonts w:ascii="Arial" w:eastAsia="Calibri" w:hAnsi="Arial" w:cs="Arial"/>
          <w:sz w:val="22"/>
          <w:szCs w:val="22"/>
          <w:lang w:val="en-CA"/>
        </w:rPr>
        <w:t xml:space="preserve">, and the </w:t>
      </w:r>
      <w:r w:rsidRPr="008F74EA">
        <w:rPr>
          <w:rFonts w:ascii="Arial" w:eastAsia="Calibri" w:hAnsi="Arial" w:cs="Arial"/>
          <w:i/>
          <w:sz w:val="22"/>
          <w:szCs w:val="22"/>
          <w:lang w:val="en-CA"/>
        </w:rPr>
        <w:t>United Nations Declaration on the Rights of Indigenous Peoples</w:t>
      </w:r>
      <w:r w:rsidRPr="008F74EA">
        <w:rPr>
          <w:rFonts w:ascii="Arial" w:eastAsia="Calibri" w:hAnsi="Arial" w:cs="Arial"/>
          <w:sz w:val="22"/>
          <w:szCs w:val="22"/>
          <w:lang w:val="en-CA"/>
        </w:rPr>
        <w:t>, and its related recommendations. The College recognizes the unique histories and experiences of Indigenous peoples in Canada, and the ongoing impacts of colonization. The College is committed to building an inclusive and respectful, learning and working environment.</w:t>
      </w:r>
    </w:p>
    <w:p w14:paraId="77A587A2" w14:textId="77777777" w:rsidR="00131D1B" w:rsidRPr="008F74EA" w:rsidRDefault="00131D1B" w:rsidP="00131D1B">
      <w:pPr>
        <w:pStyle w:val="NoSpacing"/>
        <w:rPr>
          <w:rFonts w:ascii="Arial" w:eastAsia="Calibri" w:hAnsi="Arial" w:cs="Arial"/>
          <w:sz w:val="22"/>
          <w:szCs w:val="22"/>
        </w:rPr>
      </w:pPr>
    </w:p>
    <w:p w14:paraId="245144DE" w14:textId="77777777" w:rsidR="00131D1B" w:rsidRPr="008F74EA" w:rsidRDefault="00131D1B" w:rsidP="00131D1B">
      <w:pPr>
        <w:pStyle w:val="NoSpacing"/>
        <w:shd w:val="pct10" w:color="auto" w:fill="auto"/>
        <w:rPr>
          <w:rFonts w:ascii="Arial" w:eastAsia="Calibri" w:hAnsi="Arial"/>
          <w:b/>
          <w:color w:val="auto"/>
          <w:sz w:val="22"/>
          <w:szCs w:val="22"/>
          <w:lang w:val="en-CA"/>
        </w:rPr>
      </w:pPr>
      <w:r w:rsidRPr="008F74EA">
        <w:rPr>
          <w:rFonts w:ascii="Arial" w:eastAsia="Calibri" w:hAnsi="Arial"/>
          <w:b/>
          <w:color w:val="auto"/>
          <w:sz w:val="22"/>
          <w:szCs w:val="22"/>
          <w:lang w:val="en-CA"/>
        </w:rPr>
        <w:t>Purpose</w:t>
      </w:r>
    </w:p>
    <w:p w14:paraId="5CCBCB98" w14:textId="77777777" w:rsidR="00131D1B" w:rsidRPr="008F74EA" w:rsidRDefault="00131D1B" w:rsidP="00131D1B">
      <w:pPr>
        <w:pStyle w:val="NoSpacing"/>
        <w:rPr>
          <w:rFonts w:ascii="Arial" w:eastAsia="Calibri" w:hAnsi="Arial" w:cs="Arial"/>
          <w:sz w:val="22"/>
          <w:szCs w:val="22"/>
          <w:lang w:val="en-CA"/>
        </w:rPr>
      </w:pPr>
    </w:p>
    <w:p w14:paraId="114E62FC" w14:textId="77777777" w:rsidR="00131D1B" w:rsidRPr="008F74EA" w:rsidRDefault="00131D1B" w:rsidP="00131D1B">
      <w:pPr>
        <w:pStyle w:val="NoSpacing"/>
        <w:rPr>
          <w:rFonts w:ascii="Arial" w:eastAsia="Calibri" w:hAnsi="Arial" w:cs="Arial"/>
          <w:sz w:val="22"/>
          <w:szCs w:val="22"/>
          <w:lang w:val="en-CA"/>
        </w:rPr>
      </w:pPr>
      <w:r w:rsidRPr="008F74EA">
        <w:rPr>
          <w:rFonts w:ascii="Arial" w:eastAsia="Calibri" w:hAnsi="Arial" w:cs="Arial"/>
          <w:sz w:val="22"/>
          <w:szCs w:val="22"/>
          <w:lang w:val="en-CA"/>
        </w:rPr>
        <w:t xml:space="preserve">This policy is intended to meet the requirements of the </w:t>
      </w:r>
      <w:r w:rsidRPr="008F74EA">
        <w:rPr>
          <w:rFonts w:ascii="Arial" w:eastAsia="Calibri" w:hAnsi="Arial" w:cs="Arial"/>
          <w:i/>
          <w:sz w:val="22"/>
          <w:szCs w:val="22"/>
          <w:lang w:val="en-CA"/>
        </w:rPr>
        <w:t xml:space="preserve">Truth and Reconciliation Commission </w:t>
      </w:r>
      <w:r w:rsidRPr="008F74EA">
        <w:rPr>
          <w:rFonts w:ascii="Arial" w:eastAsia="Calibri" w:hAnsi="Arial" w:cs="Arial"/>
          <w:sz w:val="22"/>
          <w:szCs w:val="22"/>
          <w:lang w:val="en-CA"/>
        </w:rPr>
        <w:t xml:space="preserve">(TRC), as well as the </w:t>
      </w:r>
      <w:r w:rsidRPr="008F74EA">
        <w:rPr>
          <w:rFonts w:ascii="Arial" w:eastAsia="Calibri" w:hAnsi="Arial" w:cs="Arial"/>
          <w:i/>
          <w:sz w:val="22"/>
          <w:szCs w:val="22"/>
          <w:lang w:val="en-CA"/>
        </w:rPr>
        <w:t>CICAN Indigenous Education Protocol</w:t>
      </w:r>
      <w:r w:rsidRPr="008F74EA">
        <w:rPr>
          <w:rFonts w:ascii="Arial" w:eastAsia="Calibri" w:hAnsi="Arial" w:cs="Arial"/>
          <w:sz w:val="22"/>
          <w:szCs w:val="22"/>
          <w:lang w:val="en-CA"/>
        </w:rPr>
        <w:t>. The College affirms its commitment to equity and inclusion in employment, education, accommodation or business dealings for all persons, including Indigenous peoples.</w:t>
      </w:r>
    </w:p>
    <w:p w14:paraId="07380C15" w14:textId="77777777" w:rsidR="00131D1B" w:rsidRPr="008F74EA" w:rsidRDefault="00131D1B" w:rsidP="00131D1B">
      <w:pPr>
        <w:pStyle w:val="NoSpacing"/>
        <w:rPr>
          <w:rFonts w:ascii="Arial" w:eastAsia="Calibri" w:hAnsi="Arial" w:cs="Arial"/>
          <w:sz w:val="22"/>
          <w:szCs w:val="22"/>
        </w:rPr>
      </w:pPr>
    </w:p>
    <w:p w14:paraId="0C342D64" w14:textId="77777777" w:rsidR="00131D1B" w:rsidRPr="008F74EA" w:rsidRDefault="00131D1B" w:rsidP="00131D1B">
      <w:pPr>
        <w:pStyle w:val="NoSpacing"/>
        <w:shd w:val="pct10" w:color="auto" w:fill="auto"/>
        <w:rPr>
          <w:rFonts w:ascii="Arial" w:eastAsia="Calibri" w:hAnsi="Arial"/>
          <w:b/>
          <w:color w:val="auto"/>
          <w:sz w:val="22"/>
          <w:szCs w:val="22"/>
          <w:lang w:val="en-CA"/>
        </w:rPr>
      </w:pPr>
      <w:r w:rsidRPr="008F74EA">
        <w:rPr>
          <w:rFonts w:ascii="Arial" w:eastAsia="Calibri" w:hAnsi="Arial"/>
          <w:b/>
          <w:color w:val="auto"/>
          <w:sz w:val="22"/>
          <w:szCs w:val="22"/>
          <w:lang w:val="en-CA"/>
        </w:rPr>
        <w:t>Scope</w:t>
      </w:r>
    </w:p>
    <w:p w14:paraId="48BE0BCD" w14:textId="77777777" w:rsidR="00131D1B" w:rsidRPr="008F74EA" w:rsidRDefault="00131D1B" w:rsidP="00131D1B">
      <w:pPr>
        <w:pStyle w:val="NoSpacing"/>
        <w:rPr>
          <w:rFonts w:ascii="Arial" w:eastAsia="Calibri" w:hAnsi="Arial" w:cs="Arial"/>
          <w:sz w:val="22"/>
          <w:szCs w:val="22"/>
        </w:rPr>
      </w:pPr>
    </w:p>
    <w:p w14:paraId="3DD79356" w14:textId="77777777" w:rsidR="00131D1B" w:rsidRPr="008F74EA" w:rsidRDefault="00131D1B" w:rsidP="00131D1B">
      <w:pPr>
        <w:pStyle w:val="NoSpacing"/>
        <w:rPr>
          <w:rFonts w:ascii="Arial" w:eastAsia="Calibri" w:hAnsi="Arial" w:cs="Arial"/>
          <w:sz w:val="22"/>
          <w:szCs w:val="22"/>
        </w:rPr>
      </w:pPr>
      <w:r w:rsidRPr="008F74EA">
        <w:rPr>
          <w:rFonts w:ascii="Arial" w:eastAsia="Calibri" w:hAnsi="Arial" w:cs="Arial"/>
          <w:sz w:val="22"/>
          <w:szCs w:val="22"/>
        </w:rPr>
        <w:t>It is the responsibility of all members of the College Community to uphold the principles of this policy.</w:t>
      </w:r>
    </w:p>
    <w:p w14:paraId="123C183F" w14:textId="77777777" w:rsidR="00131D1B" w:rsidRPr="008F74EA" w:rsidRDefault="00131D1B" w:rsidP="00131D1B">
      <w:pPr>
        <w:pStyle w:val="NoSpacing"/>
        <w:rPr>
          <w:rFonts w:ascii="Arial" w:eastAsia="Calibri" w:hAnsi="Arial" w:cs="Arial"/>
          <w:sz w:val="22"/>
          <w:szCs w:val="22"/>
        </w:rPr>
      </w:pPr>
    </w:p>
    <w:p w14:paraId="267ADFBC" w14:textId="77777777" w:rsidR="00131D1B" w:rsidRPr="008F74EA" w:rsidRDefault="00131D1B" w:rsidP="00131D1B">
      <w:pPr>
        <w:shd w:val="pct10" w:color="auto" w:fill="auto"/>
        <w:rPr>
          <w:rFonts w:ascii="Arial" w:eastAsia="Calibri" w:hAnsi="Arial"/>
          <w:b/>
          <w:sz w:val="22"/>
          <w:szCs w:val="22"/>
          <w:lang w:val="en-CA"/>
        </w:rPr>
      </w:pPr>
      <w:r w:rsidRPr="008F74EA">
        <w:rPr>
          <w:rFonts w:ascii="Arial" w:eastAsia="Calibri" w:hAnsi="Arial"/>
          <w:b/>
          <w:sz w:val="22"/>
          <w:szCs w:val="22"/>
          <w:lang w:val="en-CA"/>
        </w:rPr>
        <w:t xml:space="preserve">Definitions/Acronyms  </w:t>
      </w:r>
    </w:p>
    <w:p w14:paraId="52E607A3" w14:textId="77777777" w:rsidR="00131D1B" w:rsidRPr="008F74EA" w:rsidRDefault="00131D1B" w:rsidP="00131D1B">
      <w:pPr>
        <w:pStyle w:val="NoSpacing"/>
        <w:rPr>
          <w:rFonts w:ascii="Arial" w:eastAsia="Calibri" w:hAnsi="Arial" w:cs="Arial"/>
          <w:sz w:val="22"/>
          <w:szCs w:val="22"/>
          <w:lang w:val="en-CA"/>
        </w:rPr>
      </w:pPr>
    </w:p>
    <w:p w14:paraId="5DBFD7F9" w14:textId="77777777" w:rsidR="00131D1B" w:rsidRPr="008F74EA" w:rsidRDefault="00131D1B" w:rsidP="00131D1B">
      <w:pPr>
        <w:pStyle w:val="NoSpacing"/>
        <w:rPr>
          <w:rFonts w:ascii="Arial" w:eastAsia="Calibri" w:hAnsi="Arial" w:cs="Arial"/>
          <w:sz w:val="22"/>
          <w:szCs w:val="22"/>
          <w:lang w:val="en-CA"/>
        </w:rPr>
      </w:pPr>
      <w:r w:rsidRPr="008F74EA">
        <w:rPr>
          <w:rFonts w:ascii="Arial" w:eastAsia="Calibri" w:hAnsi="Arial" w:cs="Arial"/>
          <w:b/>
          <w:sz w:val="22"/>
          <w:szCs w:val="22"/>
          <w:lang w:val="en-CA"/>
        </w:rPr>
        <w:t>College Community</w:t>
      </w:r>
      <w:r w:rsidRPr="008F74EA">
        <w:rPr>
          <w:rFonts w:ascii="Arial" w:eastAsia="Calibri" w:hAnsi="Arial" w:cs="Arial"/>
          <w:sz w:val="22"/>
          <w:szCs w:val="22"/>
          <w:lang w:val="en-CA"/>
        </w:rPr>
        <w:t>: Any person who studies, teaches, conducts research at or works at or under the auspices of the College, or student governments and includes, without limitation, employees or contractors; appointees (including volunteer board members); students, visiting scholars and any other person while they are acting on behalf of or at the request of the College.</w:t>
      </w:r>
    </w:p>
    <w:p w14:paraId="23CD4A8B" w14:textId="77777777" w:rsidR="00131D1B" w:rsidRPr="008F74EA" w:rsidRDefault="00131D1B" w:rsidP="00131D1B">
      <w:pPr>
        <w:pStyle w:val="NoSpacing"/>
        <w:rPr>
          <w:rFonts w:ascii="Arial" w:eastAsia="Calibri" w:hAnsi="Arial" w:cs="Arial"/>
          <w:sz w:val="22"/>
          <w:szCs w:val="22"/>
          <w:lang w:val="en-CA"/>
        </w:rPr>
      </w:pPr>
    </w:p>
    <w:p w14:paraId="15B17D3B" w14:textId="77777777" w:rsidR="00131D1B" w:rsidRPr="008F74EA" w:rsidRDefault="00131D1B" w:rsidP="00131D1B">
      <w:pPr>
        <w:pStyle w:val="NoSpacing"/>
        <w:rPr>
          <w:rFonts w:ascii="Arial" w:eastAsia="Calibri" w:hAnsi="Arial" w:cs="Arial"/>
          <w:sz w:val="22"/>
          <w:szCs w:val="22"/>
          <w:lang w:val="en-CA"/>
        </w:rPr>
      </w:pPr>
      <w:r w:rsidRPr="008F74EA">
        <w:rPr>
          <w:rFonts w:ascii="Arial" w:eastAsia="Calibri" w:hAnsi="Arial" w:cs="Arial"/>
          <w:b/>
          <w:sz w:val="22"/>
          <w:szCs w:val="22"/>
          <w:lang w:val="en-CA"/>
        </w:rPr>
        <w:t>TRC</w:t>
      </w:r>
      <w:r w:rsidRPr="008F74EA">
        <w:rPr>
          <w:rFonts w:ascii="Arial" w:eastAsia="Calibri" w:hAnsi="Arial" w:cs="Arial"/>
          <w:sz w:val="22"/>
          <w:szCs w:val="22"/>
          <w:lang w:val="en-CA"/>
        </w:rPr>
        <w:t>: Truth and Reconciliation Commission</w:t>
      </w:r>
    </w:p>
    <w:p w14:paraId="551E05E4" w14:textId="77777777" w:rsidR="00131D1B" w:rsidRPr="008F74EA" w:rsidRDefault="00131D1B" w:rsidP="00131D1B">
      <w:pPr>
        <w:pStyle w:val="NoSpacing"/>
        <w:rPr>
          <w:rFonts w:ascii="Arial" w:eastAsia="Calibri" w:hAnsi="Arial" w:cs="Arial"/>
          <w:sz w:val="22"/>
          <w:szCs w:val="22"/>
          <w:lang w:val="en-CA"/>
        </w:rPr>
      </w:pPr>
    </w:p>
    <w:p w14:paraId="7BD4E446" w14:textId="77777777" w:rsidR="00131D1B" w:rsidRPr="008F74EA" w:rsidRDefault="00131D1B" w:rsidP="00131D1B">
      <w:pPr>
        <w:pStyle w:val="NoSpacing"/>
        <w:rPr>
          <w:rFonts w:ascii="Arial" w:eastAsia="Calibri" w:hAnsi="Arial" w:cs="Arial"/>
          <w:sz w:val="22"/>
          <w:szCs w:val="22"/>
          <w:lang w:val="en-CA"/>
        </w:rPr>
      </w:pPr>
      <w:r w:rsidRPr="008F74EA">
        <w:rPr>
          <w:rFonts w:ascii="Arial" w:eastAsia="Calibri" w:hAnsi="Arial" w:cs="Arial"/>
          <w:b/>
          <w:sz w:val="22"/>
          <w:szCs w:val="22"/>
          <w:lang w:val="en-CA"/>
        </w:rPr>
        <w:t>UNDRIP</w:t>
      </w:r>
      <w:r w:rsidRPr="008F74EA">
        <w:rPr>
          <w:rFonts w:ascii="Arial" w:eastAsia="Calibri" w:hAnsi="Arial" w:cs="Arial"/>
          <w:sz w:val="22"/>
          <w:szCs w:val="22"/>
          <w:lang w:val="en-CA"/>
        </w:rPr>
        <w:t>: United Nations Declaration on the Rights of Indigenous Peoples</w:t>
      </w:r>
    </w:p>
    <w:p w14:paraId="31465993" w14:textId="77777777" w:rsidR="00131D1B" w:rsidRPr="008F74EA" w:rsidRDefault="00131D1B" w:rsidP="00131D1B">
      <w:pPr>
        <w:pStyle w:val="NoSpacing"/>
        <w:rPr>
          <w:rFonts w:ascii="Arial" w:eastAsia="Calibri" w:hAnsi="Arial" w:cs="Arial"/>
          <w:sz w:val="22"/>
          <w:szCs w:val="22"/>
          <w:lang w:val="en-CA"/>
        </w:rPr>
      </w:pPr>
    </w:p>
    <w:p w14:paraId="72E737E3" w14:textId="77777777" w:rsidR="00131D1B" w:rsidRPr="008F74EA" w:rsidRDefault="00131D1B" w:rsidP="00131D1B">
      <w:pPr>
        <w:pStyle w:val="NoSpacing"/>
        <w:rPr>
          <w:rFonts w:ascii="Arial" w:eastAsia="Calibri" w:hAnsi="Arial" w:cs="Arial"/>
          <w:sz w:val="22"/>
          <w:szCs w:val="22"/>
          <w:lang w:val="en-CA"/>
        </w:rPr>
      </w:pPr>
      <w:r w:rsidRPr="008F74EA">
        <w:rPr>
          <w:rFonts w:ascii="Arial" w:eastAsia="Calibri" w:hAnsi="Arial" w:cs="Arial"/>
          <w:b/>
          <w:sz w:val="22"/>
          <w:szCs w:val="22"/>
          <w:lang w:val="en-CA"/>
        </w:rPr>
        <w:t>Indigenous</w:t>
      </w:r>
      <w:r w:rsidRPr="008F74EA">
        <w:rPr>
          <w:rFonts w:ascii="Arial" w:eastAsia="Calibri" w:hAnsi="Arial" w:cs="Arial"/>
          <w:sz w:val="22"/>
          <w:szCs w:val="22"/>
          <w:lang w:val="en-CA"/>
        </w:rPr>
        <w:t>: The First Nations (status and non-status), Inuit and Métis peoples of Canada, each themselves comprised of many unique languages, cultural practices, beliefs and histories.</w:t>
      </w:r>
    </w:p>
    <w:p w14:paraId="2B57F75A" w14:textId="77777777" w:rsidR="00131D1B" w:rsidRPr="008F74EA" w:rsidRDefault="00131D1B" w:rsidP="00131D1B">
      <w:pPr>
        <w:pStyle w:val="NoSpacing"/>
        <w:rPr>
          <w:rFonts w:ascii="Arial" w:eastAsia="Calibri" w:hAnsi="Arial" w:cs="Arial"/>
          <w:sz w:val="22"/>
          <w:szCs w:val="22"/>
          <w:lang w:val="en-CA"/>
        </w:rPr>
      </w:pPr>
    </w:p>
    <w:p w14:paraId="68B90325" w14:textId="77777777" w:rsidR="00131D1B" w:rsidRPr="008F74EA" w:rsidRDefault="00131D1B" w:rsidP="00131D1B">
      <w:pPr>
        <w:pStyle w:val="NoSpacing"/>
        <w:rPr>
          <w:rFonts w:ascii="Arial" w:eastAsia="Calibri" w:hAnsi="Arial" w:cs="Arial"/>
          <w:sz w:val="22"/>
          <w:szCs w:val="22"/>
          <w:lang w:val="en-CA"/>
        </w:rPr>
      </w:pPr>
      <w:r w:rsidRPr="008F74EA">
        <w:rPr>
          <w:rFonts w:ascii="Arial" w:eastAsia="Calibri" w:hAnsi="Arial" w:cs="Arial"/>
          <w:b/>
          <w:sz w:val="22"/>
          <w:szCs w:val="22"/>
          <w:lang w:val="en-CA"/>
        </w:rPr>
        <w:t>IEP</w:t>
      </w:r>
      <w:r w:rsidRPr="008F74EA">
        <w:rPr>
          <w:rFonts w:ascii="Arial" w:eastAsia="Calibri" w:hAnsi="Arial" w:cs="Arial"/>
          <w:sz w:val="22"/>
          <w:szCs w:val="22"/>
          <w:lang w:val="en-CA"/>
        </w:rPr>
        <w:t>: Indigenous Education Protocol, Colleges and Institutes Canada (CICAN)</w:t>
      </w:r>
    </w:p>
    <w:p w14:paraId="1CBA9F46" w14:textId="77777777" w:rsidR="00131D1B" w:rsidRPr="008F74EA" w:rsidRDefault="00131D1B" w:rsidP="00131D1B">
      <w:pPr>
        <w:pStyle w:val="NoSpacing"/>
        <w:rPr>
          <w:rFonts w:ascii="Arial" w:eastAsia="Calibri" w:hAnsi="Arial" w:cs="Arial"/>
          <w:sz w:val="22"/>
          <w:szCs w:val="22"/>
          <w:lang w:val="en-CA"/>
        </w:rPr>
      </w:pPr>
    </w:p>
    <w:p w14:paraId="3E7D0B6F" w14:textId="77777777" w:rsidR="00131D1B" w:rsidRPr="008F74EA" w:rsidRDefault="00131D1B" w:rsidP="00131D1B">
      <w:pPr>
        <w:pStyle w:val="NoSpacing"/>
        <w:rPr>
          <w:rFonts w:ascii="Arial" w:eastAsia="Calibri" w:hAnsi="Arial" w:cs="Arial"/>
          <w:sz w:val="22"/>
          <w:szCs w:val="22"/>
          <w:lang w:val="en-CA"/>
        </w:rPr>
      </w:pPr>
      <w:r w:rsidRPr="008F74EA">
        <w:rPr>
          <w:rFonts w:ascii="Arial" w:eastAsia="Calibri" w:hAnsi="Arial" w:cs="Arial"/>
          <w:b/>
          <w:sz w:val="22"/>
          <w:szCs w:val="22"/>
          <w:lang w:val="en-CA"/>
        </w:rPr>
        <w:t>Inherent Rights</w:t>
      </w:r>
      <w:r w:rsidRPr="008F74EA">
        <w:rPr>
          <w:rFonts w:ascii="Arial" w:eastAsia="Calibri" w:hAnsi="Arial" w:cs="Arial"/>
          <w:sz w:val="22"/>
          <w:szCs w:val="22"/>
          <w:lang w:val="en-CA"/>
        </w:rPr>
        <w:t xml:space="preserve">: Those rights protected under Section 35 of the Constitution Act (1982), including but not limited to the right to land and the right to enforcement of treaties. </w:t>
      </w:r>
    </w:p>
    <w:p w14:paraId="5E2C7458" w14:textId="77777777" w:rsidR="00131D1B" w:rsidRPr="008F74EA" w:rsidRDefault="00131D1B" w:rsidP="00131D1B">
      <w:pPr>
        <w:pStyle w:val="NoSpacing"/>
        <w:rPr>
          <w:rFonts w:ascii="Arial" w:eastAsia="Calibri" w:hAnsi="Arial" w:cs="Arial"/>
          <w:sz w:val="22"/>
          <w:szCs w:val="22"/>
          <w:lang w:val="en-CA"/>
        </w:rPr>
      </w:pPr>
    </w:p>
    <w:p w14:paraId="6A7837B2" w14:textId="77777777" w:rsidR="00131D1B" w:rsidRPr="008F74EA" w:rsidRDefault="00131D1B" w:rsidP="00131D1B">
      <w:pPr>
        <w:pStyle w:val="NoSpacing"/>
        <w:rPr>
          <w:rFonts w:ascii="Arial" w:eastAsia="Calibri" w:hAnsi="Arial" w:cs="Arial"/>
          <w:sz w:val="22"/>
          <w:szCs w:val="22"/>
          <w:lang w:val="en-CA"/>
        </w:rPr>
      </w:pPr>
      <w:r w:rsidRPr="008F74EA">
        <w:rPr>
          <w:rFonts w:ascii="Arial" w:eastAsia="Calibri" w:hAnsi="Arial" w:cs="Arial"/>
          <w:b/>
          <w:sz w:val="22"/>
          <w:szCs w:val="22"/>
          <w:lang w:val="en-CA"/>
        </w:rPr>
        <w:t>Reasonable</w:t>
      </w:r>
      <w:r w:rsidRPr="008F74EA">
        <w:rPr>
          <w:rFonts w:ascii="Arial" w:eastAsia="Calibri" w:hAnsi="Arial" w:cs="Arial"/>
          <w:sz w:val="22"/>
          <w:szCs w:val="22"/>
          <w:lang w:val="en-CA"/>
        </w:rPr>
        <w:t>:  Refers to those accommodations which do not impose undue hardship on the College which may include but are not limited to significant alteration to the fundamental nature of the learning outcomes and/or the academic standards of a program or course; significant alteration to a work process that would disadvantage other employees; substantial economic hardship to a College program or department that would affect its economic viability; significant adverse impact on learning opportunities for other students; the health and safety of other students or employees and/or safety hazards to other persons, land and beings of the natural world, or property ; or significant disruption of College operations. What is reasonable must be determined objectively on a case-by-case basis, based on all the circumstances of the case. Where there is more than one reasonable approach to accommodation, the College reserves the right to choose the approach that is best suited to its operational and academic requirements. In cases involving Indigenous issues and or employees/students, what is reasonable must be determined in consultation with an ad hoc committee with the majority made up of Indigenous people.</w:t>
      </w:r>
    </w:p>
    <w:p w14:paraId="20FD9ECD" w14:textId="77777777" w:rsidR="00131D1B" w:rsidRPr="008F74EA" w:rsidRDefault="00131D1B" w:rsidP="00131D1B">
      <w:pPr>
        <w:pStyle w:val="NoSpacing"/>
        <w:rPr>
          <w:rFonts w:ascii="Arial" w:eastAsia="Calibri" w:hAnsi="Arial" w:cs="Arial"/>
          <w:sz w:val="22"/>
          <w:szCs w:val="22"/>
          <w:lang w:val="en-CA"/>
        </w:rPr>
      </w:pPr>
    </w:p>
    <w:p w14:paraId="3CC1F0F8" w14:textId="77777777" w:rsidR="00131D1B" w:rsidRPr="008F74EA" w:rsidRDefault="00131D1B" w:rsidP="00131D1B">
      <w:pPr>
        <w:shd w:val="pct12" w:color="auto" w:fill="auto"/>
        <w:rPr>
          <w:rFonts w:ascii="Arial" w:eastAsia="Calibri" w:hAnsi="Arial"/>
          <w:b/>
          <w:sz w:val="22"/>
          <w:szCs w:val="22"/>
          <w:lang w:val="en-CA"/>
        </w:rPr>
      </w:pPr>
      <w:r w:rsidRPr="008F74EA">
        <w:rPr>
          <w:rFonts w:ascii="Arial" w:eastAsia="Calibri" w:hAnsi="Arial"/>
          <w:b/>
          <w:sz w:val="22"/>
          <w:szCs w:val="22"/>
          <w:lang w:val="en-CA"/>
        </w:rPr>
        <w:t xml:space="preserve">General Principles  </w:t>
      </w:r>
    </w:p>
    <w:p w14:paraId="77463368" w14:textId="77777777" w:rsidR="00131D1B" w:rsidRPr="008F74EA" w:rsidRDefault="00131D1B" w:rsidP="00131D1B">
      <w:pPr>
        <w:pStyle w:val="NoSpacing"/>
        <w:tabs>
          <w:tab w:val="left" w:pos="540"/>
        </w:tabs>
        <w:rPr>
          <w:rFonts w:ascii="Arial" w:eastAsia="Calibri" w:hAnsi="Arial" w:cs="Arial"/>
          <w:sz w:val="22"/>
          <w:szCs w:val="22"/>
          <w:lang w:val="en-CA"/>
        </w:rPr>
      </w:pPr>
    </w:p>
    <w:p w14:paraId="5B2F0A66" w14:textId="77777777" w:rsidR="00131D1B" w:rsidRPr="008F74EA" w:rsidRDefault="00131D1B" w:rsidP="00131D1B">
      <w:pPr>
        <w:pStyle w:val="NoSpacing"/>
        <w:tabs>
          <w:tab w:val="left" w:pos="540"/>
        </w:tabs>
        <w:rPr>
          <w:rFonts w:ascii="Arial" w:eastAsia="Calibri" w:hAnsi="Arial" w:cs="Arial"/>
          <w:b/>
          <w:sz w:val="22"/>
          <w:szCs w:val="22"/>
          <w:lang w:val="en-CA"/>
        </w:rPr>
      </w:pPr>
      <w:r w:rsidRPr="008F74EA">
        <w:rPr>
          <w:rFonts w:ascii="Arial" w:eastAsia="Calibri" w:hAnsi="Arial" w:cs="Arial"/>
          <w:b/>
          <w:sz w:val="22"/>
          <w:szCs w:val="22"/>
          <w:lang w:val="en-CA"/>
        </w:rPr>
        <w:t>1.</w:t>
      </w:r>
      <w:r w:rsidRPr="008F74EA">
        <w:rPr>
          <w:rFonts w:ascii="Arial" w:eastAsia="Calibri" w:hAnsi="Arial" w:cs="Arial"/>
          <w:b/>
          <w:sz w:val="22"/>
          <w:szCs w:val="22"/>
          <w:lang w:val="en-CA"/>
        </w:rPr>
        <w:tab/>
        <w:t>We are committed to promoting the following principles:</w:t>
      </w:r>
    </w:p>
    <w:p w14:paraId="36AEE15E" w14:textId="77777777" w:rsidR="00131D1B" w:rsidRPr="008F74EA" w:rsidRDefault="00131D1B" w:rsidP="00131D1B">
      <w:pPr>
        <w:pStyle w:val="NoSpacing"/>
        <w:tabs>
          <w:tab w:val="left" w:pos="540"/>
        </w:tabs>
        <w:rPr>
          <w:rFonts w:ascii="Arial" w:eastAsia="Calibri" w:hAnsi="Arial" w:cs="Arial"/>
          <w:sz w:val="22"/>
          <w:szCs w:val="22"/>
          <w:lang w:val="en-CA"/>
        </w:rPr>
      </w:pPr>
    </w:p>
    <w:p w14:paraId="6E08A5B8" w14:textId="77777777" w:rsidR="00131D1B" w:rsidRPr="008F74EA" w:rsidRDefault="00131D1B" w:rsidP="00131D1B">
      <w:pPr>
        <w:pStyle w:val="NoSpacing"/>
        <w:numPr>
          <w:ilvl w:val="1"/>
          <w:numId w:val="2"/>
        </w:numPr>
        <w:tabs>
          <w:tab w:val="left" w:pos="540"/>
        </w:tabs>
        <w:rPr>
          <w:rFonts w:ascii="Arial" w:eastAsia="Calibri" w:hAnsi="Arial" w:cs="Arial"/>
          <w:sz w:val="22"/>
          <w:szCs w:val="22"/>
          <w:lang w:val="en-CA"/>
        </w:rPr>
      </w:pPr>
      <w:r w:rsidRPr="008F74EA">
        <w:rPr>
          <w:rFonts w:ascii="Arial" w:eastAsia="Calibri" w:hAnsi="Arial" w:cs="Arial"/>
          <w:sz w:val="22"/>
          <w:szCs w:val="22"/>
          <w:lang w:val="en-CA"/>
        </w:rPr>
        <w:t>establishing a framework to facilitate the effective exercise of the rights of Indigenous peoples;</w:t>
      </w:r>
    </w:p>
    <w:p w14:paraId="5CCA6420" w14:textId="77777777" w:rsidR="00131D1B" w:rsidRPr="008F74EA" w:rsidRDefault="00131D1B" w:rsidP="00131D1B">
      <w:pPr>
        <w:pStyle w:val="NoSpacing"/>
        <w:tabs>
          <w:tab w:val="left" w:pos="540"/>
        </w:tabs>
        <w:ind w:left="1440"/>
        <w:rPr>
          <w:rFonts w:ascii="Arial" w:eastAsia="Calibri" w:hAnsi="Arial" w:cs="Arial"/>
          <w:sz w:val="22"/>
          <w:szCs w:val="22"/>
          <w:lang w:val="en-CA"/>
        </w:rPr>
      </w:pPr>
    </w:p>
    <w:p w14:paraId="5B700933" w14:textId="77777777" w:rsidR="00131D1B" w:rsidRPr="008F74EA" w:rsidRDefault="00131D1B" w:rsidP="00131D1B">
      <w:pPr>
        <w:pStyle w:val="NoSpacing"/>
        <w:numPr>
          <w:ilvl w:val="1"/>
          <w:numId w:val="2"/>
        </w:numPr>
        <w:tabs>
          <w:tab w:val="left" w:pos="540"/>
        </w:tabs>
        <w:rPr>
          <w:rFonts w:ascii="Arial" w:eastAsia="Calibri" w:hAnsi="Arial" w:cs="Arial"/>
          <w:sz w:val="22"/>
          <w:szCs w:val="22"/>
          <w:lang w:val="en-CA"/>
        </w:rPr>
      </w:pPr>
      <w:r w:rsidRPr="008F74EA">
        <w:rPr>
          <w:rFonts w:ascii="Arial" w:eastAsia="Calibri" w:hAnsi="Arial" w:cs="Arial"/>
          <w:sz w:val="22"/>
          <w:szCs w:val="22"/>
          <w:lang w:val="en-CA"/>
        </w:rPr>
        <w:t>establishing an Indigenous Rights Working Group (IRWG) and supporting the group fully in their mission, as is determined by the Terms of Reference the IRWG agrees upon. The College will support and ensure consultation with the IRWG in Strategic Planning and Senior Management discussions whenever possible;</w:t>
      </w:r>
    </w:p>
    <w:p w14:paraId="741DC0BE" w14:textId="77777777" w:rsidR="00131D1B" w:rsidRPr="008F74EA" w:rsidRDefault="00131D1B" w:rsidP="00131D1B">
      <w:pPr>
        <w:pStyle w:val="ListParagraph"/>
        <w:rPr>
          <w:rFonts w:ascii="Arial" w:eastAsia="Calibri" w:hAnsi="Arial" w:cs="Arial"/>
          <w:sz w:val="22"/>
          <w:szCs w:val="22"/>
          <w:lang w:val="en-CA"/>
        </w:rPr>
      </w:pPr>
    </w:p>
    <w:p w14:paraId="34782359" w14:textId="77777777" w:rsidR="00131D1B" w:rsidRPr="008F74EA" w:rsidRDefault="00131D1B" w:rsidP="00131D1B">
      <w:pPr>
        <w:pStyle w:val="NoSpacing"/>
        <w:numPr>
          <w:ilvl w:val="1"/>
          <w:numId w:val="2"/>
        </w:numPr>
        <w:tabs>
          <w:tab w:val="left" w:pos="540"/>
        </w:tabs>
        <w:rPr>
          <w:rFonts w:ascii="Arial" w:eastAsia="Calibri" w:hAnsi="Arial" w:cs="Arial"/>
          <w:sz w:val="22"/>
          <w:szCs w:val="22"/>
          <w:lang w:val="en-CA"/>
        </w:rPr>
      </w:pPr>
      <w:r w:rsidRPr="008F74EA">
        <w:rPr>
          <w:rFonts w:ascii="Arial" w:eastAsia="Calibri" w:hAnsi="Arial" w:cs="Arial"/>
          <w:sz w:val="22"/>
          <w:szCs w:val="22"/>
          <w:lang w:val="en-CA"/>
        </w:rPr>
        <w:t>supporting the College Community in the process of Truth and Reconciliation via education, training and acknowledgment, and the formation of a Truth and Reconciliation Committee;</w:t>
      </w:r>
    </w:p>
    <w:p w14:paraId="7FF0DD94" w14:textId="77777777" w:rsidR="00131D1B" w:rsidRPr="008F74EA" w:rsidRDefault="00131D1B" w:rsidP="00131D1B">
      <w:pPr>
        <w:pStyle w:val="ListParagraph"/>
        <w:rPr>
          <w:rFonts w:ascii="Arial" w:eastAsia="Calibri" w:hAnsi="Arial" w:cs="Arial"/>
          <w:sz w:val="22"/>
          <w:szCs w:val="22"/>
          <w:lang w:val="en-CA"/>
        </w:rPr>
      </w:pPr>
    </w:p>
    <w:p w14:paraId="56716535" w14:textId="77777777" w:rsidR="00131D1B" w:rsidRPr="008F74EA" w:rsidRDefault="00131D1B" w:rsidP="00131D1B">
      <w:pPr>
        <w:pStyle w:val="NoSpacing"/>
        <w:numPr>
          <w:ilvl w:val="1"/>
          <w:numId w:val="2"/>
        </w:numPr>
        <w:tabs>
          <w:tab w:val="left" w:pos="540"/>
        </w:tabs>
        <w:rPr>
          <w:rFonts w:ascii="Arial" w:eastAsia="Calibri" w:hAnsi="Arial" w:cs="Arial"/>
          <w:sz w:val="22"/>
          <w:szCs w:val="22"/>
          <w:lang w:val="en-CA"/>
        </w:rPr>
      </w:pPr>
      <w:r w:rsidRPr="008F74EA">
        <w:rPr>
          <w:rFonts w:ascii="Arial" w:eastAsia="Calibri" w:hAnsi="Arial" w:cs="Arial"/>
          <w:sz w:val="22"/>
          <w:szCs w:val="22"/>
          <w:lang w:val="en-CA"/>
        </w:rPr>
        <w:t>serving Indigenous learners and communities including but not limited to the consultation and consideration of Indigenous learners and communities needs during institutional planning and decision-making;</w:t>
      </w:r>
    </w:p>
    <w:p w14:paraId="57449891" w14:textId="77777777" w:rsidR="00131D1B" w:rsidRPr="008F74EA" w:rsidRDefault="00131D1B" w:rsidP="00131D1B">
      <w:pPr>
        <w:pStyle w:val="ListParagraph"/>
        <w:rPr>
          <w:rFonts w:ascii="Arial" w:eastAsia="Calibri" w:hAnsi="Arial" w:cs="Arial"/>
          <w:sz w:val="22"/>
          <w:szCs w:val="22"/>
          <w:lang w:val="en-CA"/>
        </w:rPr>
      </w:pPr>
    </w:p>
    <w:p w14:paraId="7D9DC53E" w14:textId="77777777" w:rsidR="00131D1B" w:rsidRPr="008F74EA" w:rsidRDefault="00131D1B" w:rsidP="00131D1B">
      <w:pPr>
        <w:pStyle w:val="NoSpacing"/>
        <w:numPr>
          <w:ilvl w:val="1"/>
          <w:numId w:val="2"/>
        </w:numPr>
        <w:tabs>
          <w:tab w:val="left" w:pos="540"/>
        </w:tabs>
        <w:rPr>
          <w:rFonts w:ascii="Arial" w:eastAsia="Calibri" w:hAnsi="Arial" w:cs="Arial"/>
          <w:color w:val="auto"/>
          <w:sz w:val="22"/>
          <w:szCs w:val="22"/>
          <w:lang w:val="en-CA"/>
        </w:rPr>
      </w:pPr>
      <w:r w:rsidRPr="008F74EA">
        <w:rPr>
          <w:rFonts w:ascii="Arial" w:eastAsia="Calibri" w:hAnsi="Arial" w:cs="Arial"/>
          <w:color w:val="auto"/>
          <w:sz w:val="22"/>
          <w:szCs w:val="22"/>
          <w:lang w:val="en-CA"/>
        </w:rPr>
        <w:t>making every reasonable effort to ensure Indigenous peoples, languages, and ways of knowing are represented in all College operations and spaces;</w:t>
      </w:r>
    </w:p>
    <w:p w14:paraId="28A4E22C" w14:textId="77777777" w:rsidR="00131D1B" w:rsidRPr="008F74EA" w:rsidRDefault="00131D1B" w:rsidP="00131D1B">
      <w:pPr>
        <w:pStyle w:val="NoSpacing"/>
        <w:tabs>
          <w:tab w:val="left" w:pos="540"/>
        </w:tabs>
        <w:ind w:left="1440"/>
        <w:rPr>
          <w:rFonts w:ascii="Arial" w:eastAsia="Calibri" w:hAnsi="Arial" w:cs="Arial"/>
          <w:sz w:val="22"/>
          <w:szCs w:val="22"/>
          <w:lang w:val="en-CA"/>
        </w:rPr>
      </w:pPr>
      <w:r w:rsidRPr="008F74EA">
        <w:rPr>
          <w:rFonts w:ascii="Arial" w:eastAsia="Calibri" w:hAnsi="Arial" w:cs="Arial"/>
          <w:sz w:val="22"/>
          <w:szCs w:val="22"/>
          <w:lang w:val="en-CA"/>
        </w:rPr>
        <w:t xml:space="preserve"> </w:t>
      </w:r>
    </w:p>
    <w:p w14:paraId="58857532" w14:textId="77777777" w:rsidR="00131D1B" w:rsidRPr="008F74EA" w:rsidRDefault="00131D1B" w:rsidP="00131D1B">
      <w:pPr>
        <w:pStyle w:val="NoSpacing"/>
        <w:numPr>
          <w:ilvl w:val="1"/>
          <w:numId w:val="2"/>
        </w:numPr>
        <w:tabs>
          <w:tab w:val="left" w:pos="540"/>
        </w:tabs>
        <w:rPr>
          <w:rFonts w:ascii="Arial" w:eastAsia="Calibri" w:hAnsi="Arial" w:cs="Arial"/>
          <w:sz w:val="22"/>
          <w:szCs w:val="22"/>
          <w:lang w:val="en-CA"/>
        </w:rPr>
      </w:pPr>
      <w:r w:rsidRPr="008F74EA">
        <w:rPr>
          <w:rFonts w:ascii="Arial" w:eastAsia="Calibri" w:hAnsi="Arial" w:cs="Arial"/>
          <w:sz w:val="22"/>
          <w:szCs w:val="22"/>
          <w:lang w:val="en-CA"/>
        </w:rPr>
        <w:t>integrating Indigenous cultural teachings into the training and education of all members of the College Community;</w:t>
      </w:r>
    </w:p>
    <w:p w14:paraId="12EDD662" w14:textId="77777777" w:rsidR="00131D1B" w:rsidRPr="008F74EA" w:rsidRDefault="00131D1B" w:rsidP="00131D1B">
      <w:pPr>
        <w:pStyle w:val="ListParagraph"/>
        <w:rPr>
          <w:rFonts w:ascii="Arial" w:eastAsia="Calibri" w:hAnsi="Arial" w:cs="Arial"/>
          <w:sz w:val="22"/>
          <w:szCs w:val="22"/>
          <w:lang w:val="en-CA"/>
        </w:rPr>
      </w:pPr>
    </w:p>
    <w:p w14:paraId="49463190" w14:textId="77777777" w:rsidR="00131D1B" w:rsidRPr="008F74EA" w:rsidRDefault="00131D1B" w:rsidP="00131D1B">
      <w:pPr>
        <w:pStyle w:val="NoSpacing"/>
        <w:numPr>
          <w:ilvl w:val="1"/>
          <w:numId w:val="2"/>
        </w:numPr>
        <w:tabs>
          <w:tab w:val="left" w:pos="540"/>
        </w:tabs>
        <w:rPr>
          <w:rFonts w:ascii="Arial" w:eastAsia="Calibri" w:hAnsi="Arial" w:cs="Arial"/>
          <w:sz w:val="22"/>
          <w:szCs w:val="22"/>
          <w:lang w:val="en-CA"/>
        </w:rPr>
      </w:pPr>
      <w:r w:rsidRPr="008F74EA">
        <w:rPr>
          <w:rFonts w:ascii="Arial" w:eastAsia="Calibri" w:hAnsi="Arial" w:cs="Arial"/>
          <w:sz w:val="22"/>
          <w:szCs w:val="22"/>
          <w:lang w:val="en-CA"/>
        </w:rPr>
        <w:t>supporting the efforts of Indigenous peoples to reclaim, revitalize, maintain and strengthen Indigenous languages;</w:t>
      </w:r>
    </w:p>
    <w:p w14:paraId="24E8317D" w14:textId="77777777" w:rsidR="00131D1B" w:rsidRPr="008F74EA" w:rsidRDefault="00131D1B" w:rsidP="00131D1B">
      <w:pPr>
        <w:rPr>
          <w:rFonts w:ascii="Arial" w:eastAsia="Calibri" w:hAnsi="Arial" w:cs="Arial"/>
          <w:sz w:val="22"/>
          <w:szCs w:val="22"/>
          <w:lang w:val="en-CA"/>
        </w:rPr>
      </w:pPr>
    </w:p>
    <w:p w14:paraId="7ABF4985" w14:textId="77777777" w:rsidR="00131D1B" w:rsidRPr="008F74EA" w:rsidRDefault="00131D1B" w:rsidP="00131D1B">
      <w:pPr>
        <w:pStyle w:val="NoSpacing"/>
        <w:numPr>
          <w:ilvl w:val="1"/>
          <w:numId w:val="2"/>
        </w:numPr>
        <w:tabs>
          <w:tab w:val="left" w:pos="540"/>
        </w:tabs>
        <w:rPr>
          <w:rFonts w:ascii="Arial" w:eastAsia="Calibri" w:hAnsi="Arial" w:cs="Arial"/>
          <w:sz w:val="22"/>
          <w:szCs w:val="22"/>
          <w:lang w:val="en-CA"/>
        </w:rPr>
      </w:pPr>
      <w:r w:rsidRPr="008F74EA">
        <w:rPr>
          <w:rFonts w:ascii="Arial" w:eastAsia="Calibri" w:hAnsi="Arial" w:cs="Arial"/>
          <w:sz w:val="22"/>
          <w:szCs w:val="22"/>
          <w:lang w:val="en-CA"/>
        </w:rPr>
        <w:t>increasing the representation of Indigenous employees with ongoing appointments throughout the College Community, including in the Senior Administration.</w:t>
      </w:r>
    </w:p>
    <w:p w14:paraId="17746D9A" w14:textId="77777777" w:rsidR="00131D1B" w:rsidRPr="008F74EA" w:rsidRDefault="00131D1B" w:rsidP="00131D1B">
      <w:pPr>
        <w:pStyle w:val="NoSpacing"/>
        <w:rPr>
          <w:rFonts w:ascii="Arial" w:eastAsia="Calibri" w:hAnsi="Arial" w:cs="Arial"/>
          <w:sz w:val="22"/>
          <w:szCs w:val="22"/>
          <w:lang w:val="en-CA"/>
        </w:rPr>
      </w:pPr>
    </w:p>
    <w:p w14:paraId="689D7134" w14:textId="77777777" w:rsidR="00131D1B" w:rsidRPr="008F74EA" w:rsidRDefault="00131D1B" w:rsidP="00131D1B">
      <w:pPr>
        <w:shd w:val="pct12" w:color="auto" w:fill="auto"/>
        <w:rPr>
          <w:rFonts w:ascii="Arial" w:eastAsia="Calibri" w:hAnsi="Arial"/>
          <w:b/>
          <w:sz w:val="22"/>
          <w:szCs w:val="22"/>
          <w:lang w:val="en-CA"/>
        </w:rPr>
      </w:pPr>
      <w:r w:rsidRPr="008F74EA">
        <w:rPr>
          <w:rFonts w:ascii="Arial" w:eastAsia="Calibri" w:hAnsi="Arial"/>
          <w:b/>
          <w:sz w:val="22"/>
          <w:szCs w:val="22"/>
          <w:lang w:val="en-CA"/>
        </w:rPr>
        <w:t>Related Documents</w:t>
      </w:r>
    </w:p>
    <w:p w14:paraId="7B0CC3EF" w14:textId="77777777" w:rsidR="00131D1B" w:rsidRPr="00235871" w:rsidRDefault="00131D1B" w:rsidP="00131D1B">
      <w:pPr>
        <w:pStyle w:val="NoSpacing"/>
        <w:tabs>
          <w:tab w:val="left" w:pos="180"/>
        </w:tabs>
        <w:rPr>
          <w:rFonts w:ascii="Arial" w:eastAsia="Calibri" w:hAnsi="Arial" w:cs="Arial"/>
          <w:i/>
          <w:sz w:val="22"/>
          <w:szCs w:val="22"/>
          <w:lang w:val="en-CA"/>
        </w:rPr>
      </w:pPr>
      <w:r w:rsidRPr="008F74EA">
        <w:rPr>
          <w:rFonts w:ascii="Arial" w:eastAsia="Calibri" w:hAnsi="Arial" w:cs="Arial"/>
          <w:sz w:val="22"/>
          <w:szCs w:val="22"/>
          <w:lang w:val="en-CA"/>
        </w:rPr>
        <w:t>•</w:t>
      </w:r>
      <w:r w:rsidRPr="008F74EA">
        <w:rPr>
          <w:rFonts w:ascii="Arial" w:eastAsia="Calibri" w:hAnsi="Arial" w:cs="Arial"/>
          <w:sz w:val="22"/>
          <w:szCs w:val="22"/>
          <w:lang w:val="en-CA"/>
        </w:rPr>
        <w:tab/>
      </w:r>
      <w:r w:rsidRPr="00D13FE1">
        <w:rPr>
          <w:rFonts w:ascii="Arial" w:eastAsia="Calibri" w:hAnsi="Arial" w:cs="Arial"/>
          <w:sz w:val="22"/>
          <w:szCs w:val="22"/>
          <w:lang w:val="en-CA"/>
        </w:rPr>
        <w:t>Operating procedure(s) under development</w:t>
      </w:r>
    </w:p>
    <w:p w14:paraId="33C5A52E" w14:textId="77777777" w:rsidR="00131D1B" w:rsidRPr="008F74EA" w:rsidRDefault="00131D1B" w:rsidP="00131D1B">
      <w:pPr>
        <w:pStyle w:val="NoSpacing"/>
        <w:rPr>
          <w:rFonts w:ascii="Arial" w:eastAsia="Calibri" w:hAnsi="Arial" w:cs="Arial"/>
          <w:sz w:val="22"/>
          <w:szCs w:val="22"/>
          <w:lang w:val="en-CA"/>
        </w:rPr>
      </w:pPr>
      <w:r w:rsidRPr="008F74EA">
        <w:rPr>
          <w:rFonts w:ascii="Arial" w:eastAsia="Calibri" w:hAnsi="Arial" w:cs="Arial"/>
          <w:b/>
          <w:sz w:val="22"/>
          <w:szCs w:val="22"/>
          <w:lang w:val="en-CA"/>
        </w:rPr>
        <w:t xml:space="preserve">Review / Revision Log  </w:t>
      </w:r>
      <w:r w:rsidRPr="008F74EA">
        <w:rPr>
          <w:rFonts w:ascii="Arial" w:eastAsia="Calibri" w:hAnsi="Arial" w:cs="Arial"/>
          <w:i/>
          <w:sz w:val="22"/>
          <w:szCs w:val="22"/>
          <w:lang w:val="en-CA"/>
        </w:rPr>
        <w:t xml:space="preserve"> </w:t>
      </w:r>
    </w:p>
    <w:tbl>
      <w:tblPr>
        <w:tblW w:w="0" w:type="auto"/>
        <w:tblLook w:val="04A0" w:firstRow="1" w:lastRow="0" w:firstColumn="1" w:lastColumn="0" w:noHBand="0" w:noVBand="1"/>
      </w:tblPr>
      <w:tblGrid>
        <w:gridCol w:w="6623"/>
        <w:gridCol w:w="2017"/>
      </w:tblGrid>
      <w:tr w:rsidR="00131D1B" w:rsidRPr="008B577E" w14:paraId="07067DED" w14:textId="77777777" w:rsidTr="009A4A55">
        <w:tc>
          <w:tcPr>
            <w:tcW w:w="7560" w:type="dxa"/>
            <w:shd w:val="pct20" w:color="auto" w:fill="auto"/>
          </w:tcPr>
          <w:p w14:paraId="405EAB34" w14:textId="77777777" w:rsidR="00131D1B" w:rsidRPr="008F74EA" w:rsidRDefault="00131D1B" w:rsidP="009A4A55">
            <w:pPr>
              <w:rPr>
                <w:rFonts w:ascii="Arial" w:eastAsia="Calibri" w:hAnsi="Arial"/>
                <w:b/>
                <w:sz w:val="20"/>
                <w:szCs w:val="20"/>
                <w:lang w:val="en-CA"/>
              </w:rPr>
            </w:pPr>
            <w:r w:rsidRPr="008F74EA">
              <w:rPr>
                <w:rFonts w:ascii="Arial" w:eastAsia="Calibri" w:hAnsi="Arial"/>
                <w:b/>
                <w:sz w:val="20"/>
                <w:szCs w:val="20"/>
                <w:lang w:val="en-CA"/>
              </w:rPr>
              <w:t>Summary of Changes</w:t>
            </w:r>
          </w:p>
        </w:tc>
        <w:tc>
          <w:tcPr>
            <w:tcW w:w="2250" w:type="dxa"/>
            <w:shd w:val="pct20" w:color="auto" w:fill="auto"/>
          </w:tcPr>
          <w:p w14:paraId="0ADACD66" w14:textId="77777777" w:rsidR="00131D1B" w:rsidRPr="008B577E" w:rsidRDefault="00131D1B" w:rsidP="009A4A55">
            <w:pPr>
              <w:rPr>
                <w:rFonts w:ascii="Arial" w:eastAsia="Calibri" w:hAnsi="Arial"/>
                <w:b/>
                <w:sz w:val="20"/>
                <w:szCs w:val="20"/>
                <w:lang w:val="en-CA"/>
              </w:rPr>
            </w:pPr>
            <w:r w:rsidRPr="008F74EA">
              <w:rPr>
                <w:rFonts w:ascii="Arial" w:eastAsia="Calibri" w:hAnsi="Arial"/>
                <w:b/>
                <w:sz w:val="20"/>
                <w:szCs w:val="20"/>
                <w:lang w:val="en-CA"/>
              </w:rPr>
              <w:t>Date</w:t>
            </w:r>
            <w:r w:rsidRPr="008B577E">
              <w:rPr>
                <w:rFonts w:ascii="Arial" w:eastAsia="Calibri" w:hAnsi="Arial"/>
                <w:b/>
                <w:sz w:val="20"/>
                <w:szCs w:val="20"/>
                <w:lang w:val="en-CA"/>
              </w:rPr>
              <w:t xml:space="preserve"> </w:t>
            </w:r>
          </w:p>
        </w:tc>
      </w:tr>
      <w:tr w:rsidR="00131D1B" w:rsidRPr="008B577E" w14:paraId="359ADDF8" w14:textId="77777777" w:rsidTr="009A4A55">
        <w:tc>
          <w:tcPr>
            <w:tcW w:w="7560" w:type="dxa"/>
            <w:shd w:val="clear" w:color="auto" w:fill="auto"/>
          </w:tcPr>
          <w:p w14:paraId="1F19A599" w14:textId="77777777" w:rsidR="00131D1B" w:rsidRPr="007D5E8F" w:rsidRDefault="00131D1B" w:rsidP="009A4A55">
            <w:pPr>
              <w:pStyle w:val="NoSpacing"/>
              <w:rPr>
                <w:rFonts w:ascii="Arial" w:eastAsia="Calibri" w:hAnsi="Arial" w:cs="Arial"/>
                <w:color w:val="auto"/>
                <w:sz w:val="20"/>
                <w:szCs w:val="20"/>
                <w:lang w:val="en-CA"/>
              </w:rPr>
            </w:pPr>
            <w:r>
              <w:rPr>
                <w:rFonts w:ascii="Arial" w:eastAsia="Calibri" w:hAnsi="Arial" w:cs="Arial"/>
                <w:color w:val="auto"/>
                <w:sz w:val="20"/>
                <w:szCs w:val="20"/>
                <w:lang w:val="en-CA"/>
              </w:rPr>
              <w:t xml:space="preserve"> </w:t>
            </w:r>
          </w:p>
        </w:tc>
        <w:tc>
          <w:tcPr>
            <w:tcW w:w="2250" w:type="dxa"/>
            <w:shd w:val="clear" w:color="auto" w:fill="auto"/>
          </w:tcPr>
          <w:p w14:paraId="35F29069" w14:textId="77777777" w:rsidR="00131D1B" w:rsidRPr="007D5E8F" w:rsidRDefault="00131D1B" w:rsidP="009A4A55">
            <w:pPr>
              <w:pStyle w:val="NoSpacing"/>
              <w:rPr>
                <w:rFonts w:ascii="Arial" w:eastAsia="Calibri" w:hAnsi="Arial" w:cs="Arial"/>
                <w:color w:val="auto"/>
                <w:sz w:val="20"/>
                <w:szCs w:val="20"/>
                <w:lang w:val="en-CA"/>
              </w:rPr>
            </w:pPr>
            <w:r>
              <w:rPr>
                <w:rFonts w:ascii="Arial" w:eastAsia="Calibri" w:hAnsi="Arial" w:cs="Arial"/>
                <w:color w:val="auto"/>
                <w:sz w:val="20"/>
                <w:szCs w:val="20"/>
                <w:lang w:val="en-CA"/>
              </w:rPr>
              <w:t xml:space="preserve"> </w:t>
            </w:r>
          </w:p>
        </w:tc>
      </w:tr>
      <w:tr w:rsidR="00131D1B" w:rsidRPr="008B577E" w14:paraId="63AF13D3" w14:textId="77777777" w:rsidTr="009A4A55">
        <w:tc>
          <w:tcPr>
            <w:tcW w:w="7560" w:type="dxa"/>
            <w:shd w:val="clear" w:color="auto" w:fill="auto"/>
          </w:tcPr>
          <w:p w14:paraId="1142340F" w14:textId="77777777" w:rsidR="00131D1B" w:rsidRPr="007D5E8F" w:rsidRDefault="00131D1B" w:rsidP="009A4A55">
            <w:pPr>
              <w:pStyle w:val="NoSpacing"/>
              <w:rPr>
                <w:rFonts w:ascii="Arial" w:eastAsia="Calibri" w:hAnsi="Arial" w:cs="Arial"/>
                <w:color w:val="auto"/>
                <w:sz w:val="12"/>
                <w:szCs w:val="12"/>
                <w:lang w:val="en-CA"/>
              </w:rPr>
            </w:pPr>
          </w:p>
        </w:tc>
        <w:tc>
          <w:tcPr>
            <w:tcW w:w="2250" w:type="dxa"/>
            <w:shd w:val="clear" w:color="auto" w:fill="auto"/>
          </w:tcPr>
          <w:p w14:paraId="33D3E96F" w14:textId="77777777" w:rsidR="00131D1B" w:rsidRPr="007D5E8F" w:rsidRDefault="00131D1B" w:rsidP="009A4A55">
            <w:pPr>
              <w:pStyle w:val="NoSpacing"/>
              <w:rPr>
                <w:rFonts w:ascii="Arial" w:eastAsia="Calibri" w:hAnsi="Arial" w:cs="Arial"/>
                <w:color w:val="auto"/>
                <w:sz w:val="12"/>
                <w:szCs w:val="12"/>
                <w:lang w:val="en-CA"/>
              </w:rPr>
            </w:pPr>
          </w:p>
        </w:tc>
      </w:tr>
      <w:tr w:rsidR="00131D1B" w:rsidRPr="008B577E" w14:paraId="1D0FED55" w14:textId="77777777" w:rsidTr="009A4A55">
        <w:tc>
          <w:tcPr>
            <w:tcW w:w="7560" w:type="dxa"/>
            <w:shd w:val="clear" w:color="auto" w:fill="auto"/>
          </w:tcPr>
          <w:p w14:paraId="4E9870F3" w14:textId="77777777" w:rsidR="00131D1B" w:rsidRPr="007D5E8F" w:rsidRDefault="00131D1B" w:rsidP="009A4A55">
            <w:pPr>
              <w:pStyle w:val="NoSpacing"/>
              <w:rPr>
                <w:rFonts w:ascii="Arial" w:eastAsia="Calibri" w:hAnsi="Arial" w:cs="Arial"/>
                <w:color w:val="auto"/>
                <w:sz w:val="20"/>
                <w:szCs w:val="20"/>
                <w:lang w:val="en-CA"/>
              </w:rPr>
            </w:pPr>
            <w:r>
              <w:rPr>
                <w:rFonts w:ascii="Arial" w:eastAsia="Calibri" w:hAnsi="Arial" w:cs="Arial"/>
                <w:color w:val="auto"/>
                <w:sz w:val="20"/>
                <w:szCs w:val="20"/>
                <w:lang w:val="en-CA"/>
              </w:rPr>
              <w:t xml:space="preserve"> </w:t>
            </w:r>
          </w:p>
        </w:tc>
        <w:tc>
          <w:tcPr>
            <w:tcW w:w="2250" w:type="dxa"/>
            <w:shd w:val="clear" w:color="auto" w:fill="auto"/>
          </w:tcPr>
          <w:p w14:paraId="4931F850" w14:textId="77777777" w:rsidR="00131D1B" w:rsidRPr="007D5E8F" w:rsidRDefault="00131D1B" w:rsidP="009A4A55">
            <w:pPr>
              <w:pStyle w:val="NoSpacing"/>
              <w:rPr>
                <w:rFonts w:ascii="Arial" w:eastAsia="Calibri" w:hAnsi="Arial" w:cs="Arial"/>
                <w:color w:val="auto"/>
                <w:sz w:val="20"/>
                <w:szCs w:val="20"/>
                <w:lang w:val="en-CA"/>
              </w:rPr>
            </w:pPr>
          </w:p>
        </w:tc>
      </w:tr>
      <w:tr w:rsidR="00131D1B" w:rsidRPr="008B577E" w14:paraId="5143C9DA" w14:textId="77777777" w:rsidTr="009A4A55">
        <w:tc>
          <w:tcPr>
            <w:tcW w:w="7560" w:type="dxa"/>
            <w:shd w:val="clear" w:color="auto" w:fill="auto"/>
          </w:tcPr>
          <w:p w14:paraId="0710884F" w14:textId="77777777" w:rsidR="00131D1B" w:rsidRPr="00E55CE3" w:rsidRDefault="00131D1B" w:rsidP="009A4A55">
            <w:pPr>
              <w:pStyle w:val="NoSpacing"/>
              <w:rPr>
                <w:rFonts w:ascii="Arial" w:eastAsia="Calibri" w:hAnsi="Arial" w:cs="Arial"/>
                <w:color w:val="auto"/>
                <w:sz w:val="12"/>
                <w:szCs w:val="12"/>
                <w:lang w:val="en-CA"/>
              </w:rPr>
            </w:pPr>
          </w:p>
        </w:tc>
        <w:tc>
          <w:tcPr>
            <w:tcW w:w="2250" w:type="dxa"/>
            <w:shd w:val="clear" w:color="auto" w:fill="auto"/>
          </w:tcPr>
          <w:p w14:paraId="2049FB8B" w14:textId="77777777" w:rsidR="00131D1B" w:rsidRPr="00E55CE3" w:rsidRDefault="00131D1B" w:rsidP="009A4A55">
            <w:pPr>
              <w:pStyle w:val="NoSpacing"/>
              <w:rPr>
                <w:rFonts w:ascii="Arial" w:eastAsia="Calibri" w:hAnsi="Arial" w:cs="Arial"/>
                <w:color w:val="auto"/>
                <w:sz w:val="12"/>
                <w:szCs w:val="12"/>
                <w:lang w:val="en-CA"/>
              </w:rPr>
            </w:pPr>
          </w:p>
        </w:tc>
      </w:tr>
      <w:tr w:rsidR="00131D1B" w:rsidRPr="008B577E" w14:paraId="0DCC4990" w14:textId="77777777" w:rsidTr="009A4A55">
        <w:tc>
          <w:tcPr>
            <w:tcW w:w="7560" w:type="dxa"/>
            <w:shd w:val="clear" w:color="auto" w:fill="auto"/>
          </w:tcPr>
          <w:p w14:paraId="30A39F8A" w14:textId="77777777" w:rsidR="00131D1B" w:rsidRDefault="00131D1B" w:rsidP="009A4A55">
            <w:pPr>
              <w:pStyle w:val="NoSpacing"/>
              <w:rPr>
                <w:rFonts w:ascii="Arial" w:eastAsia="Calibri" w:hAnsi="Arial" w:cs="Arial"/>
                <w:color w:val="auto"/>
                <w:sz w:val="20"/>
                <w:szCs w:val="20"/>
                <w:lang w:val="en-CA"/>
              </w:rPr>
            </w:pPr>
          </w:p>
        </w:tc>
        <w:tc>
          <w:tcPr>
            <w:tcW w:w="2250" w:type="dxa"/>
            <w:shd w:val="clear" w:color="auto" w:fill="auto"/>
          </w:tcPr>
          <w:p w14:paraId="102C47D4" w14:textId="77777777" w:rsidR="00131D1B" w:rsidRDefault="00131D1B" w:rsidP="009A4A55">
            <w:pPr>
              <w:pStyle w:val="NoSpacing"/>
              <w:rPr>
                <w:rFonts w:ascii="Arial" w:eastAsia="Calibri" w:hAnsi="Arial" w:cs="Arial"/>
                <w:color w:val="auto"/>
                <w:sz w:val="20"/>
                <w:szCs w:val="20"/>
                <w:lang w:val="en-CA"/>
              </w:rPr>
            </w:pPr>
          </w:p>
        </w:tc>
      </w:tr>
      <w:tr w:rsidR="00131D1B" w:rsidRPr="008B577E" w14:paraId="43E45DA3" w14:textId="77777777" w:rsidTr="009A4A55">
        <w:tc>
          <w:tcPr>
            <w:tcW w:w="7560" w:type="dxa"/>
            <w:shd w:val="clear" w:color="auto" w:fill="auto"/>
          </w:tcPr>
          <w:p w14:paraId="712EDFF8" w14:textId="77777777" w:rsidR="00131D1B" w:rsidRPr="00E55CE3" w:rsidRDefault="00131D1B" w:rsidP="009A4A55">
            <w:pPr>
              <w:pStyle w:val="NoSpacing"/>
              <w:rPr>
                <w:rFonts w:ascii="Arial" w:eastAsia="Calibri" w:hAnsi="Arial" w:cs="Arial"/>
                <w:color w:val="auto"/>
                <w:sz w:val="12"/>
                <w:szCs w:val="12"/>
                <w:lang w:val="en-CA"/>
              </w:rPr>
            </w:pPr>
          </w:p>
        </w:tc>
        <w:tc>
          <w:tcPr>
            <w:tcW w:w="2250" w:type="dxa"/>
            <w:shd w:val="clear" w:color="auto" w:fill="auto"/>
          </w:tcPr>
          <w:p w14:paraId="2E5311F3" w14:textId="77777777" w:rsidR="00131D1B" w:rsidRPr="00E55CE3" w:rsidRDefault="00131D1B" w:rsidP="009A4A55">
            <w:pPr>
              <w:pStyle w:val="NoSpacing"/>
              <w:rPr>
                <w:rFonts w:ascii="Arial" w:eastAsia="Calibri" w:hAnsi="Arial" w:cs="Arial"/>
                <w:color w:val="auto"/>
                <w:sz w:val="12"/>
                <w:szCs w:val="12"/>
                <w:lang w:val="en-CA"/>
              </w:rPr>
            </w:pPr>
          </w:p>
        </w:tc>
      </w:tr>
      <w:tr w:rsidR="00131D1B" w:rsidRPr="008B577E" w14:paraId="6C3B6C77" w14:textId="77777777" w:rsidTr="009A4A55">
        <w:tc>
          <w:tcPr>
            <w:tcW w:w="7560" w:type="dxa"/>
            <w:shd w:val="clear" w:color="auto" w:fill="auto"/>
          </w:tcPr>
          <w:p w14:paraId="2AE8FF32" w14:textId="77777777" w:rsidR="00131D1B" w:rsidRDefault="00131D1B" w:rsidP="009A4A55">
            <w:pPr>
              <w:pStyle w:val="NoSpacing"/>
              <w:rPr>
                <w:rFonts w:ascii="Arial" w:eastAsia="Calibri" w:hAnsi="Arial" w:cs="Arial"/>
                <w:color w:val="auto"/>
                <w:sz w:val="20"/>
                <w:szCs w:val="20"/>
                <w:lang w:val="en-CA"/>
              </w:rPr>
            </w:pPr>
          </w:p>
        </w:tc>
        <w:tc>
          <w:tcPr>
            <w:tcW w:w="2250" w:type="dxa"/>
            <w:shd w:val="clear" w:color="auto" w:fill="auto"/>
          </w:tcPr>
          <w:p w14:paraId="4792F7DB" w14:textId="77777777" w:rsidR="00131D1B" w:rsidRDefault="00131D1B" w:rsidP="009A4A55">
            <w:pPr>
              <w:pStyle w:val="NoSpacing"/>
              <w:rPr>
                <w:rFonts w:ascii="Arial" w:eastAsia="Calibri" w:hAnsi="Arial" w:cs="Arial"/>
                <w:color w:val="auto"/>
                <w:sz w:val="20"/>
                <w:szCs w:val="20"/>
                <w:lang w:val="en-CA"/>
              </w:rPr>
            </w:pPr>
          </w:p>
        </w:tc>
      </w:tr>
    </w:tbl>
    <w:p w14:paraId="3EBCFE40" w14:textId="77777777" w:rsidR="00131D1B" w:rsidRDefault="00131D1B" w:rsidP="00131D1B">
      <w:pPr>
        <w:tabs>
          <w:tab w:val="left" w:pos="180"/>
        </w:tabs>
        <w:ind w:left="180" w:hanging="180"/>
        <w:rPr>
          <w:rFonts w:ascii="Arial" w:eastAsia="Calibri" w:hAnsi="Arial"/>
          <w:sz w:val="12"/>
          <w:szCs w:val="12"/>
          <w:lang w:val="en-CA"/>
        </w:rPr>
      </w:pPr>
    </w:p>
    <w:p w14:paraId="7372C22D" w14:textId="77777777" w:rsidR="00131D1B" w:rsidRDefault="00131D1B" w:rsidP="00131D1B">
      <w:pPr>
        <w:tabs>
          <w:tab w:val="left" w:pos="180"/>
        </w:tabs>
        <w:ind w:left="180" w:hanging="180"/>
        <w:rPr>
          <w:rFonts w:ascii="Arial" w:eastAsia="Calibri" w:hAnsi="Arial"/>
          <w:sz w:val="12"/>
          <w:szCs w:val="12"/>
          <w:lang w:val="en-CA"/>
        </w:rPr>
      </w:pPr>
    </w:p>
    <w:p w14:paraId="14902BE4" w14:textId="77777777" w:rsidR="00131D1B" w:rsidRDefault="00131D1B" w:rsidP="00131D1B">
      <w:pPr>
        <w:tabs>
          <w:tab w:val="left" w:pos="180"/>
        </w:tabs>
        <w:ind w:left="180" w:hanging="180"/>
        <w:rPr>
          <w:rFonts w:ascii="Arial" w:eastAsia="Calibri" w:hAnsi="Arial"/>
          <w:sz w:val="12"/>
          <w:szCs w:val="12"/>
          <w:lang w:val="en-CA"/>
        </w:rPr>
      </w:pPr>
    </w:p>
    <w:p w14:paraId="79F080E6" w14:textId="754C99C8" w:rsidR="00131D1B" w:rsidRPr="00A74F5B" w:rsidRDefault="00131D1B" w:rsidP="00131D1B">
      <w:pPr>
        <w:pStyle w:val="NoSpacing"/>
        <w:rPr>
          <w:rFonts w:eastAsia="Calibri"/>
          <w:b/>
          <w:lang w:val="en-CA"/>
        </w:rPr>
      </w:pPr>
      <w:r w:rsidRPr="00A74F5B">
        <w:rPr>
          <w:rFonts w:eastAsia="Calibri"/>
          <w:b/>
          <w:lang w:val="en-CA"/>
        </w:rPr>
        <w:t>3. Access to Indigenous Healthcare Program</w:t>
      </w:r>
    </w:p>
    <w:p w14:paraId="521DB1EB" w14:textId="583F6DCB" w:rsidR="00131D1B" w:rsidRDefault="00131D1B" w:rsidP="00131D1B">
      <w:pPr>
        <w:pStyle w:val="NoSpacing"/>
        <w:rPr>
          <w:rFonts w:eastAsia="Calibri"/>
          <w:lang w:val="en-CA"/>
        </w:rPr>
      </w:pPr>
    </w:p>
    <w:p w14:paraId="1463F464" w14:textId="418639D0" w:rsidR="00131D1B" w:rsidRDefault="00131D1B" w:rsidP="00131D1B">
      <w:pPr>
        <w:pStyle w:val="NoSpacing"/>
        <w:rPr>
          <w:rFonts w:eastAsia="Calibri"/>
          <w:lang w:val="en-CA"/>
        </w:rPr>
      </w:pPr>
      <w:r>
        <w:rPr>
          <w:rFonts w:eastAsia="Calibri"/>
          <w:lang w:val="en-CA"/>
        </w:rPr>
        <w:t>In 2018, Fleming Indigenous Student Services began the Access to Indigenous Healthcare program.</w:t>
      </w:r>
    </w:p>
    <w:p w14:paraId="0C94B63F" w14:textId="43154409" w:rsidR="00131D1B" w:rsidRPr="00F73499" w:rsidRDefault="00131D1B" w:rsidP="00131D1B">
      <w:pPr>
        <w:pStyle w:val="NoSpacing"/>
        <w:rPr>
          <w:rFonts w:eastAsia="Calibri"/>
          <w:lang w:val="en-CA"/>
        </w:rPr>
      </w:pPr>
      <w:r>
        <w:rPr>
          <w:rFonts w:eastAsia="Calibri"/>
          <w:lang w:val="en-CA"/>
        </w:rPr>
        <w:t xml:space="preserve">Any student at Fleming College can book 1:1 </w:t>
      </w:r>
      <w:proofErr w:type="gramStart"/>
      <w:r>
        <w:rPr>
          <w:rFonts w:eastAsia="Calibri"/>
          <w:lang w:val="en-CA"/>
        </w:rPr>
        <w:t>appointments</w:t>
      </w:r>
      <w:proofErr w:type="gramEnd"/>
      <w:r>
        <w:rPr>
          <w:rFonts w:eastAsia="Calibri"/>
          <w:lang w:val="en-CA"/>
        </w:rPr>
        <w:t xml:space="preserve"> with traditional </w:t>
      </w:r>
      <w:proofErr w:type="spellStart"/>
      <w:r>
        <w:rPr>
          <w:rFonts w:eastAsia="Calibri"/>
          <w:lang w:val="en-CA"/>
        </w:rPr>
        <w:t>Anishinaabe</w:t>
      </w:r>
      <w:proofErr w:type="spellEnd"/>
      <w:r>
        <w:rPr>
          <w:rFonts w:eastAsia="Calibri"/>
          <w:lang w:val="en-CA"/>
        </w:rPr>
        <w:t xml:space="preserve"> </w:t>
      </w:r>
      <w:proofErr w:type="spellStart"/>
      <w:r>
        <w:rPr>
          <w:rFonts w:eastAsia="Calibri"/>
          <w:lang w:val="en-CA"/>
        </w:rPr>
        <w:t>mshkiki</w:t>
      </w:r>
      <w:proofErr w:type="spellEnd"/>
      <w:r>
        <w:rPr>
          <w:rFonts w:eastAsia="Calibri"/>
          <w:lang w:val="en-CA"/>
        </w:rPr>
        <w:t xml:space="preserve"> </w:t>
      </w:r>
      <w:proofErr w:type="spellStart"/>
      <w:r>
        <w:rPr>
          <w:rFonts w:eastAsia="Calibri"/>
          <w:lang w:val="en-CA"/>
        </w:rPr>
        <w:t>nini</w:t>
      </w:r>
      <w:proofErr w:type="spellEnd"/>
      <w:r>
        <w:rPr>
          <w:rFonts w:eastAsia="Calibri"/>
          <w:lang w:val="en-CA"/>
        </w:rPr>
        <w:t xml:space="preserve">, Joseph Pitawanakwat to access advising on traditional Indigenous plant-based medicine. We also have a medicine room “the </w:t>
      </w:r>
      <w:proofErr w:type="spellStart"/>
      <w:r>
        <w:rPr>
          <w:rFonts w:eastAsia="Calibri"/>
          <w:lang w:val="en-CA"/>
        </w:rPr>
        <w:t>Naadaamaagaawin</w:t>
      </w:r>
      <w:proofErr w:type="spellEnd"/>
      <w:r>
        <w:rPr>
          <w:rFonts w:eastAsia="Calibri"/>
          <w:lang w:val="en-CA"/>
        </w:rPr>
        <w:t xml:space="preserve"> Room” (the art of helping) where medicines can be found and utilized by students who access </w:t>
      </w:r>
      <w:proofErr w:type="spellStart"/>
      <w:r>
        <w:rPr>
          <w:rFonts w:eastAsia="Calibri"/>
          <w:lang w:val="en-CA"/>
        </w:rPr>
        <w:t>Indigneous</w:t>
      </w:r>
      <w:proofErr w:type="spellEnd"/>
      <w:r>
        <w:rPr>
          <w:rFonts w:eastAsia="Calibri"/>
          <w:lang w:val="en-CA"/>
        </w:rPr>
        <w:t xml:space="preserve"> Student Services on campus.</w:t>
      </w:r>
    </w:p>
    <w:p w14:paraId="6EFB871A" w14:textId="16B48D30" w:rsidR="00131D1B" w:rsidRDefault="00131D1B" w:rsidP="00CF5B1C">
      <w:pPr>
        <w:widowControl w:val="0"/>
        <w:autoSpaceDE w:val="0"/>
        <w:autoSpaceDN w:val="0"/>
        <w:adjustRightInd w:val="0"/>
        <w:rPr>
          <w:rFonts w:cs="–_˝ø/√Ú"/>
          <w:sz w:val="22"/>
          <w:szCs w:val="22"/>
        </w:rPr>
      </w:pPr>
    </w:p>
    <w:p w14:paraId="279923E9" w14:textId="39036156" w:rsidR="00131D1B" w:rsidRDefault="00131D1B" w:rsidP="00CF5B1C">
      <w:pPr>
        <w:widowControl w:val="0"/>
        <w:autoSpaceDE w:val="0"/>
        <w:autoSpaceDN w:val="0"/>
        <w:adjustRightInd w:val="0"/>
        <w:rPr>
          <w:rFonts w:cs="–_˝ø/√Ú"/>
          <w:sz w:val="22"/>
          <w:szCs w:val="22"/>
        </w:rPr>
      </w:pPr>
    </w:p>
    <w:p w14:paraId="0E673C78" w14:textId="7123C4D4" w:rsidR="00131D1B" w:rsidRPr="00A74F5B" w:rsidRDefault="00131D1B" w:rsidP="00CF5B1C">
      <w:pPr>
        <w:widowControl w:val="0"/>
        <w:autoSpaceDE w:val="0"/>
        <w:autoSpaceDN w:val="0"/>
        <w:adjustRightInd w:val="0"/>
        <w:rPr>
          <w:rFonts w:cs="–_˝ø/√Ú"/>
          <w:b/>
          <w:sz w:val="22"/>
          <w:szCs w:val="22"/>
        </w:rPr>
      </w:pPr>
      <w:r w:rsidRPr="00A74F5B">
        <w:rPr>
          <w:rFonts w:cs="–_˝ø/√Ú"/>
          <w:b/>
          <w:sz w:val="22"/>
          <w:szCs w:val="22"/>
        </w:rPr>
        <w:t xml:space="preserve">4. Indigenous Rights Declaration, Convocation </w:t>
      </w:r>
    </w:p>
    <w:p w14:paraId="0442FB2C" w14:textId="18AA67BB" w:rsidR="00131D1B" w:rsidRDefault="00131D1B" w:rsidP="00CF5B1C">
      <w:pPr>
        <w:widowControl w:val="0"/>
        <w:autoSpaceDE w:val="0"/>
        <w:autoSpaceDN w:val="0"/>
        <w:adjustRightInd w:val="0"/>
        <w:rPr>
          <w:rFonts w:cs="–_˝ø/√Ú"/>
          <w:sz w:val="22"/>
          <w:szCs w:val="22"/>
        </w:rPr>
      </w:pPr>
    </w:p>
    <w:p w14:paraId="356130C2" w14:textId="23ECF744" w:rsidR="00131D1B" w:rsidRPr="00131D1B" w:rsidRDefault="00131D1B" w:rsidP="00131D1B">
      <w:pPr>
        <w:widowControl w:val="0"/>
        <w:autoSpaceDE w:val="0"/>
        <w:autoSpaceDN w:val="0"/>
        <w:adjustRightInd w:val="0"/>
        <w:rPr>
          <w:rFonts w:cs="–_˝ø/√Ú"/>
          <w:sz w:val="22"/>
          <w:szCs w:val="22"/>
        </w:rPr>
      </w:pPr>
      <w:r w:rsidRPr="00131D1B">
        <w:rPr>
          <w:rFonts w:cs="–_˝ø/√Ú"/>
          <w:sz w:val="22"/>
          <w:szCs w:val="22"/>
        </w:rPr>
        <w:t xml:space="preserve">Every year at convocation, a representative from Indigenous Student Services will stand before graduates to acknowledge that Fleming College is situated on </w:t>
      </w:r>
      <w:proofErr w:type="spellStart"/>
      <w:r w:rsidRPr="00131D1B">
        <w:rPr>
          <w:rFonts w:cs="–_˝ø/√Ú"/>
          <w:sz w:val="22"/>
          <w:szCs w:val="22"/>
        </w:rPr>
        <w:t>Michi</w:t>
      </w:r>
      <w:proofErr w:type="spellEnd"/>
      <w:r w:rsidRPr="00131D1B">
        <w:rPr>
          <w:rFonts w:cs="–_˝ø/√Ú"/>
          <w:sz w:val="22"/>
          <w:szCs w:val="22"/>
        </w:rPr>
        <w:t xml:space="preserve"> </w:t>
      </w:r>
      <w:proofErr w:type="spellStart"/>
      <w:r w:rsidRPr="00131D1B">
        <w:rPr>
          <w:rFonts w:cs="–_˝ø/√Ú"/>
          <w:sz w:val="22"/>
          <w:szCs w:val="22"/>
        </w:rPr>
        <w:t>Saagiig</w:t>
      </w:r>
      <w:proofErr w:type="spellEnd"/>
      <w:r w:rsidRPr="00131D1B">
        <w:rPr>
          <w:rFonts w:cs="–_˝ø/√Ú"/>
          <w:sz w:val="22"/>
          <w:szCs w:val="22"/>
        </w:rPr>
        <w:t xml:space="preserve"> lands and the traditional territory covered by the Williams Treaty and Treaty Number 20, and thank the </w:t>
      </w:r>
      <w:proofErr w:type="spellStart"/>
      <w:r w:rsidRPr="00131D1B">
        <w:rPr>
          <w:rFonts w:cs="–_˝ø/√Ú"/>
          <w:sz w:val="22"/>
          <w:szCs w:val="22"/>
        </w:rPr>
        <w:t>Michi</w:t>
      </w:r>
      <w:proofErr w:type="spellEnd"/>
      <w:r w:rsidRPr="00131D1B">
        <w:rPr>
          <w:rFonts w:cs="–_˝ø/√Ú"/>
          <w:sz w:val="22"/>
          <w:szCs w:val="22"/>
        </w:rPr>
        <w:t xml:space="preserve"> </w:t>
      </w:r>
      <w:proofErr w:type="spellStart"/>
      <w:r w:rsidRPr="00131D1B">
        <w:rPr>
          <w:rFonts w:cs="–_˝ø/√Ú"/>
          <w:sz w:val="22"/>
          <w:szCs w:val="22"/>
        </w:rPr>
        <w:t>Saagiig</w:t>
      </w:r>
      <w:proofErr w:type="spellEnd"/>
      <w:r w:rsidRPr="00131D1B">
        <w:rPr>
          <w:rFonts w:cs="–_˝ø/√Ú"/>
          <w:sz w:val="22"/>
          <w:szCs w:val="22"/>
        </w:rPr>
        <w:t xml:space="preserve"> peoples for allowing us to work in their territory. But </w:t>
      </w:r>
      <w:r w:rsidR="00A74F5B">
        <w:rPr>
          <w:rFonts w:cs="–_˝ø/√Ú"/>
          <w:sz w:val="22"/>
          <w:szCs w:val="22"/>
        </w:rPr>
        <w:t>the last two year’s</w:t>
      </w:r>
      <w:r w:rsidRPr="00131D1B">
        <w:rPr>
          <w:rFonts w:cs="–_˝ø/√Ú"/>
          <w:sz w:val="22"/>
          <w:szCs w:val="22"/>
        </w:rPr>
        <w:t xml:space="preserve"> ceremonies, many in the sea of graduates adorned their gown with a medicine wheel pin to acknowledge the rights of Indigenous peoples.</w:t>
      </w:r>
    </w:p>
    <w:p w14:paraId="6C985798" w14:textId="77777777" w:rsidR="00131D1B" w:rsidRPr="00131D1B" w:rsidRDefault="00131D1B" w:rsidP="00131D1B">
      <w:pPr>
        <w:widowControl w:val="0"/>
        <w:autoSpaceDE w:val="0"/>
        <w:autoSpaceDN w:val="0"/>
        <w:adjustRightInd w:val="0"/>
        <w:rPr>
          <w:rFonts w:cs="–_˝ø/√Ú"/>
          <w:sz w:val="22"/>
          <w:szCs w:val="22"/>
        </w:rPr>
      </w:pPr>
    </w:p>
    <w:p w14:paraId="2B65493F" w14:textId="77777777" w:rsidR="00131D1B" w:rsidRPr="00131D1B" w:rsidRDefault="00131D1B" w:rsidP="00131D1B">
      <w:pPr>
        <w:widowControl w:val="0"/>
        <w:autoSpaceDE w:val="0"/>
        <w:autoSpaceDN w:val="0"/>
        <w:adjustRightInd w:val="0"/>
        <w:rPr>
          <w:rFonts w:cs="–_˝ø/√Ú"/>
          <w:sz w:val="22"/>
          <w:szCs w:val="22"/>
        </w:rPr>
      </w:pPr>
      <w:r w:rsidRPr="00131D1B">
        <w:rPr>
          <w:rFonts w:cs="–_˝ø/√Ú"/>
          <w:sz w:val="22"/>
          <w:szCs w:val="22"/>
        </w:rPr>
        <w:t>At the Frost Campus and Sutherland Campus convocation ceremonies, Indigenous Student Services staff and volunteers congratulated graduates before the ceremony and gave them the opportunity to sign a declaration. The declaration states, “By signing above, I am making a declaration to move forward in my professional and personal life as a person who acknowledges the rights of Indigenous peoples and will advocate for further respect towards First Nation, Métis and Inuit peoples within the territory that I choose to call home.”</w:t>
      </w:r>
    </w:p>
    <w:p w14:paraId="67B7C66F" w14:textId="77777777" w:rsidR="00131D1B" w:rsidRPr="00131D1B" w:rsidRDefault="00131D1B" w:rsidP="00131D1B">
      <w:pPr>
        <w:widowControl w:val="0"/>
        <w:autoSpaceDE w:val="0"/>
        <w:autoSpaceDN w:val="0"/>
        <w:adjustRightInd w:val="0"/>
        <w:rPr>
          <w:rFonts w:cs="–_˝ø/√Ú"/>
          <w:sz w:val="22"/>
          <w:szCs w:val="22"/>
        </w:rPr>
      </w:pPr>
    </w:p>
    <w:p w14:paraId="10447448" w14:textId="5F9CD387" w:rsidR="00131D1B" w:rsidRPr="00131D1B" w:rsidRDefault="00131D1B" w:rsidP="00131D1B">
      <w:pPr>
        <w:widowControl w:val="0"/>
        <w:autoSpaceDE w:val="0"/>
        <w:autoSpaceDN w:val="0"/>
        <w:adjustRightInd w:val="0"/>
        <w:rPr>
          <w:rFonts w:cs="–_˝ø/√Ú"/>
          <w:sz w:val="22"/>
          <w:szCs w:val="22"/>
        </w:rPr>
      </w:pPr>
      <w:r w:rsidRPr="00131D1B">
        <w:rPr>
          <w:rFonts w:cs="–_˝ø/√Ú"/>
          <w:sz w:val="22"/>
          <w:szCs w:val="22"/>
        </w:rPr>
        <w:t xml:space="preserve">Each student who signed the declaration was given a medicine wheel pin to proudly display on their convocation gown. According to Indigenous Student Services, </w:t>
      </w:r>
      <w:r w:rsidR="00A74F5B">
        <w:rPr>
          <w:rFonts w:cs="–_˝ø/√Ú"/>
          <w:sz w:val="22"/>
          <w:szCs w:val="22"/>
        </w:rPr>
        <w:t>_____</w:t>
      </w:r>
      <w:r w:rsidRPr="00131D1B">
        <w:rPr>
          <w:rFonts w:cs="–_˝ø/√Ú"/>
          <w:sz w:val="22"/>
          <w:szCs w:val="22"/>
        </w:rPr>
        <w:t xml:space="preserve">graduates signed the declaration </w:t>
      </w:r>
      <w:r w:rsidR="00A74F5B">
        <w:rPr>
          <w:rFonts w:cs="–_˝ø/√Ú"/>
          <w:sz w:val="22"/>
          <w:szCs w:val="22"/>
        </w:rPr>
        <w:t xml:space="preserve">over the past 2 years. </w:t>
      </w:r>
    </w:p>
    <w:p w14:paraId="2D2DAD79" w14:textId="77777777" w:rsidR="00131D1B" w:rsidRPr="00131D1B" w:rsidRDefault="00131D1B" w:rsidP="00131D1B">
      <w:pPr>
        <w:widowControl w:val="0"/>
        <w:autoSpaceDE w:val="0"/>
        <w:autoSpaceDN w:val="0"/>
        <w:adjustRightInd w:val="0"/>
        <w:rPr>
          <w:rFonts w:cs="–_˝ø/√Ú"/>
          <w:sz w:val="22"/>
          <w:szCs w:val="22"/>
        </w:rPr>
      </w:pPr>
    </w:p>
    <w:p w14:paraId="4C64C117" w14:textId="77777777" w:rsidR="00131D1B" w:rsidRPr="00131D1B" w:rsidRDefault="00131D1B" w:rsidP="00131D1B">
      <w:pPr>
        <w:widowControl w:val="0"/>
        <w:autoSpaceDE w:val="0"/>
        <w:autoSpaceDN w:val="0"/>
        <w:adjustRightInd w:val="0"/>
        <w:rPr>
          <w:rFonts w:cs="–_˝ø/√Ú"/>
          <w:sz w:val="22"/>
          <w:szCs w:val="22"/>
        </w:rPr>
      </w:pPr>
      <w:r w:rsidRPr="00131D1B">
        <w:rPr>
          <w:rFonts w:cs="–_˝ø/√Ú"/>
          <w:sz w:val="22"/>
          <w:szCs w:val="22"/>
        </w:rPr>
        <w:t xml:space="preserve">“As a college, we are collectively striving towards creating a campus culture of one that respects and </w:t>
      </w:r>
      <w:proofErr w:type="spellStart"/>
      <w:r w:rsidRPr="00131D1B">
        <w:rPr>
          <w:rFonts w:cs="–_˝ø/√Ú"/>
          <w:sz w:val="22"/>
          <w:szCs w:val="22"/>
        </w:rPr>
        <w:t>honours</w:t>
      </w:r>
      <w:proofErr w:type="spellEnd"/>
      <w:r w:rsidRPr="00131D1B">
        <w:rPr>
          <w:rFonts w:cs="–_˝ø/√Ú"/>
          <w:sz w:val="22"/>
          <w:szCs w:val="22"/>
        </w:rPr>
        <w:t xml:space="preserve"> the First Peoples of this land. This initiative, this opportunity for making a public declaration, brings us one step closer to seeing this vision come to fruition,” said Kylie Fox, Assistant Manager of Indigenous Student Services, who said Fleming College has done a lot of great work in the past few years to ensure Indigenous students and staff feel welcome and safe on campus, and is working towards a place where Indigenous peoples will begin to see themselves represented in all areas of campus life.</w:t>
      </w:r>
    </w:p>
    <w:p w14:paraId="505069CB" w14:textId="77777777" w:rsidR="00131D1B" w:rsidRPr="00131D1B" w:rsidRDefault="00131D1B" w:rsidP="00131D1B">
      <w:pPr>
        <w:widowControl w:val="0"/>
        <w:autoSpaceDE w:val="0"/>
        <w:autoSpaceDN w:val="0"/>
        <w:adjustRightInd w:val="0"/>
        <w:rPr>
          <w:rFonts w:cs="–_˝ø/√Ú"/>
          <w:sz w:val="22"/>
          <w:szCs w:val="22"/>
        </w:rPr>
      </w:pPr>
    </w:p>
    <w:p w14:paraId="6086DB32" w14:textId="54D6A552" w:rsidR="00131D1B" w:rsidRPr="00131D1B" w:rsidRDefault="00A74F5B" w:rsidP="00131D1B">
      <w:pPr>
        <w:widowControl w:val="0"/>
        <w:autoSpaceDE w:val="0"/>
        <w:autoSpaceDN w:val="0"/>
        <w:adjustRightInd w:val="0"/>
        <w:rPr>
          <w:rFonts w:cs="–_˝ø/√Ú"/>
          <w:sz w:val="22"/>
          <w:szCs w:val="22"/>
        </w:rPr>
      </w:pPr>
      <w:r w:rsidRPr="00131D1B">
        <w:rPr>
          <w:rFonts w:cs="–_˝ø/√Ú"/>
          <w:sz w:val="22"/>
          <w:szCs w:val="22"/>
        </w:rPr>
        <w:t xml:space="preserve"> </w:t>
      </w:r>
      <w:r w:rsidR="00131D1B" w:rsidRPr="00131D1B">
        <w:rPr>
          <w:rFonts w:cs="–_˝ø/√Ú"/>
          <w:sz w:val="22"/>
          <w:szCs w:val="22"/>
        </w:rPr>
        <w:t xml:space="preserve">“Standing in the audience this year, visibly seeing our allies in the room, it was overwhelming and extremely powerful. You could see how proud students were to show their support,” said Kylie. “Knowing that almost 1, 000 Fleming graduates are moving into the workforce with this intention of </w:t>
      </w:r>
      <w:proofErr w:type="spellStart"/>
      <w:r w:rsidR="00131D1B" w:rsidRPr="00131D1B">
        <w:rPr>
          <w:rFonts w:cs="–_˝ø/√Ú"/>
          <w:sz w:val="22"/>
          <w:szCs w:val="22"/>
        </w:rPr>
        <w:t>honouring</w:t>
      </w:r>
      <w:proofErr w:type="spellEnd"/>
      <w:r w:rsidR="00131D1B" w:rsidRPr="00131D1B">
        <w:rPr>
          <w:rFonts w:cs="–_˝ø/√Ú"/>
          <w:sz w:val="22"/>
          <w:szCs w:val="22"/>
        </w:rPr>
        <w:t xml:space="preserve"> the rights of Indigenous peoples, I think that gives us a lot of hope for our future and it also says a lot about the type of citizens we are fostering here at Fleming. So, </w:t>
      </w:r>
      <w:proofErr w:type="spellStart"/>
      <w:r w:rsidR="00131D1B" w:rsidRPr="00131D1B">
        <w:rPr>
          <w:rFonts w:cs="–_˝ø/√Ú"/>
          <w:sz w:val="22"/>
          <w:szCs w:val="22"/>
        </w:rPr>
        <w:t>miigwech</w:t>
      </w:r>
      <w:proofErr w:type="spellEnd"/>
      <w:r w:rsidR="00131D1B" w:rsidRPr="00131D1B">
        <w:rPr>
          <w:rFonts w:cs="–_˝ø/√Ú"/>
          <w:sz w:val="22"/>
          <w:szCs w:val="22"/>
        </w:rPr>
        <w:t xml:space="preserve">, thank you to all of you who supported this initiative and to those of you who signed the declaration. </w:t>
      </w:r>
      <w:proofErr w:type="spellStart"/>
      <w:r w:rsidR="00131D1B" w:rsidRPr="00131D1B">
        <w:rPr>
          <w:rFonts w:cs="–_˝ø/√Ú"/>
          <w:sz w:val="22"/>
          <w:szCs w:val="22"/>
        </w:rPr>
        <w:t>Niwii</w:t>
      </w:r>
      <w:proofErr w:type="spellEnd"/>
      <w:r w:rsidR="00131D1B" w:rsidRPr="00131D1B">
        <w:rPr>
          <w:rFonts w:cs="–_˝ø/√Ú"/>
          <w:sz w:val="22"/>
          <w:szCs w:val="22"/>
        </w:rPr>
        <w:t xml:space="preserve"> </w:t>
      </w:r>
      <w:proofErr w:type="spellStart"/>
      <w:r w:rsidR="00131D1B" w:rsidRPr="00131D1B">
        <w:rPr>
          <w:rFonts w:cs="–_˝ø/√Ú"/>
          <w:sz w:val="22"/>
          <w:szCs w:val="22"/>
        </w:rPr>
        <w:t>Kaanaaganaa</w:t>
      </w:r>
      <w:proofErr w:type="spellEnd"/>
      <w:r w:rsidR="00131D1B" w:rsidRPr="00131D1B">
        <w:rPr>
          <w:rFonts w:cs="–_˝ø/√Ú"/>
          <w:sz w:val="22"/>
          <w:szCs w:val="22"/>
        </w:rPr>
        <w:t>, with all of my relations.”</w:t>
      </w:r>
    </w:p>
    <w:p w14:paraId="30940979" w14:textId="77777777" w:rsidR="00131D1B" w:rsidRPr="00131D1B" w:rsidRDefault="00131D1B" w:rsidP="00131D1B">
      <w:pPr>
        <w:widowControl w:val="0"/>
        <w:autoSpaceDE w:val="0"/>
        <w:autoSpaceDN w:val="0"/>
        <w:adjustRightInd w:val="0"/>
        <w:rPr>
          <w:rFonts w:cs="–_˝ø/√Ú"/>
          <w:sz w:val="22"/>
          <w:szCs w:val="22"/>
        </w:rPr>
      </w:pPr>
    </w:p>
    <w:p w14:paraId="5C5A32DE" w14:textId="16134BC7" w:rsidR="00131D1B" w:rsidRDefault="00131D1B" w:rsidP="00131D1B">
      <w:pPr>
        <w:widowControl w:val="0"/>
        <w:autoSpaceDE w:val="0"/>
        <w:autoSpaceDN w:val="0"/>
        <w:adjustRightInd w:val="0"/>
        <w:rPr>
          <w:rFonts w:cs="–_˝ø/√Ú"/>
          <w:sz w:val="22"/>
          <w:szCs w:val="22"/>
        </w:rPr>
      </w:pPr>
      <w:r w:rsidRPr="00131D1B">
        <w:rPr>
          <w:rFonts w:cs="–_˝ø/√Ú"/>
          <w:sz w:val="22"/>
          <w:szCs w:val="22"/>
        </w:rPr>
        <w:t>Indigenous Student Services Coordinator Ashley Safar said the declaration will be offered annually at Fleming convocation. “This is an idea we’ve discussed for a while because we wanted to increase awareness,” she said. “And the Indigenous Perspectives Designation</w:t>
      </w:r>
      <w:r w:rsidR="00A74F5B">
        <w:rPr>
          <w:rFonts w:cs="–_˝ø/√Ú"/>
          <w:sz w:val="22"/>
          <w:szCs w:val="22"/>
        </w:rPr>
        <w:t xml:space="preserve"> option</w:t>
      </w:r>
      <w:r w:rsidRPr="00131D1B">
        <w:rPr>
          <w:rFonts w:cs="–_˝ø/√Ú"/>
          <w:sz w:val="22"/>
          <w:szCs w:val="22"/>
        </w:rPr>
        <w:t xml:space="preserve"> has gained more momentum and more schools are incorporating it into their curriculum. There’s some growth in the college and we wanted to represent that.”</w:t>
      </w:r>
    </w:p>
    <w:p w14:paraId="7D4EDD1E" w14:textId="5585C135" w:rsidR="00A74F5B" w:rsidRDefault="00A74F5B" w:rsidP="00131D1B">
      <w:pPr>
        <w:widowControl w:val="0"/>
        <w:autoSpaceDE w:val="0"/>
        <w:autoSpaceDN w:val="0"/>
        <w:adjustRightInd w:val="0"/>
        <w:rPr>
          <w:rFonts w:cs="–_˝ø/√Ú"/>
          <w:sz w:val="22"/>
          <w:szCs w:val="22"/>
        </w:rPr>
      </w:pPr>
    </w:p>
    <w:p w14:paraId="0751EB18" w14:textId="77777777" w:rsidR="00A74F5B" w:rsidRPr="00CF5B1C" w:rsidRDefault="00A74F5B" w:rsidP="00131D1B">
      <w:pPr>
        <w:widowControl w:val="0"/>
        <w:autoSpaceDE w:val="0"/>
        <w:autoSpaceDN w:val="0"/>
        <w:adjustRightInd w:val="0"/>
        <w:rPr>
          <w:rFonts w:cs="–_˝ø/√Ú"/>
          <w:sz w:val="22"/>
          <w:szCs w:val="22"/>
        </w:rPr>
      </w:pPr>
    </w:p>
    <w:sectPr w:rsidR="00A74F5B" w:rsidRPr="00CF5B1C" w:rsidSect="00547C7A">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_˝ø/√Ú">
    <w:altName w:val="Cambria"/>
    <w:panose1 w:val="00000000000000000000"/>
    <w:charset w:val="4D"/>
    <w:family w:val="auto"/>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70D22"/>
    <w:multiLevelType w:val="multilevel"/>
    <w:tmpl w:val="1CD0B2B4"/>
    <w:lvl w:ilvl="0">
      <w:start w:val="1"/>
      <w:numFmt w:val="decimal"/>
      <w:lvlText w:val="%1"/>
      <w:lvlJc w:val="left"/>
      <w:pPr>
        <w:ind w:left="900" w:hanging="900"/>
      </w:pPr>
      <w:rPr>
        <w:rFonts w:hint="default"/>
      </w:rPr>
    </w:lvl>
    <w:lvl w:ilvl="1">
      <w:start w:val="1"/>
      <w:numFmt w:val="decimal"/>
      <w:lvlText w:val="%1.%2"/>
      <w:lvlJc w:val="left"/>
      <w:pPr>
        <w:ind w:left="1440" w:hanging="900"/>
      </w:pPr>
      <w:rPr>
        <w:rFonts w:hint="default"/>
      </w:rPr>
    </w:lvl>
    <w:lvl w:ilvl="2">
      <w:start w:val="1"/>
      <w:numFmt w:val="decimal"/>
      <w:lvlText w:val="%1.%2.%3"/>
      <w:lvlJc w:val="left"/>
      <w:pPr>
        <w:ind w:left="1980" w:hanging="900"/>
      </w:pPr>
      <w:rPr>
        <w:rFonts w:hint="default"/>
      </w:rPr>
    </w:lvl>
    <w:lvl w:ilvl="3">
      <w:start w:val="1"/>
      <w:numFmt w:val="decimal"/>
      <w:lvlText w:val="%1.%2.%3.%4"/>
      <w:lvlJc w:val="left"/>
      <w:pPr>
        <w:ind w:left="2520" w:hanging="90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 w15:restartNumberingAfterBreak="0">
    <w:nsid w:val="722F4883"/>
    <w:multiLevelType w:val="hybridMultilevel"/>
    <w:tmpl w:val="0660ED0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FDC"/>
    <w:rsid w:val="00131D1B"/>
    <w:rsid w:val="00237FF5"/>
    <w:rsid w:val="00373FDC"/>
    <w:rsid w:val="00547C7A"/>
    <w:rsid w:val="00960ED2"/>
    <w:rsid w:val="00A55EB1"/>
    <w:rsid w:val="00A74F5B"/>
    <w:rsid w:val="00CF5B1C"/>
    <w:rsid w:val="00E533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CA1232E"/>
  <w14:defaultImageDpi w14:val="300"/>
  <w15:docId w15:val="{4229EC02-6D70-49E1-9C3F-65A9FBC2E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3FD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1D1B"/>
    <w:pPr>
      <w:ind w:left="720"/>
      <w:contextualSpacing/>
    </w:pPr>
  </w:style>
  <w:style w:type="character" w:styleId="Hyperlink">
    <w:name w:val="Hyperlink"/>
    <w:basedOn w:val="DefaultParagraphFont"/>
    <w:uiPriority w:val="99"/>
    <w:unhideWhenUsed/>
    <w:rsid w:val="00131D1B"/>
    <w:rPr>
      <w:color w:val="0000FF" w:themeColor="hyperlink"/>
      <w:u w:val="single"/>
    </w:rPr>
  </w:style>
  <w:style w:type="paragraph" w:styleId="NoSpacing">
    <w:name w:val="No Spacing"/>
    <w:uiPriority w:val="1"/>
    <w:qFormat/>
    <w:rsid w:val="00131D1B"/>
    <w:rPr>
      <w:rFonts w:ascii="Times New Roman" w:eastAsia="Times New Roman" w:hAnsi="Times New Roman" w:cs="Times New Roman"/>
      <w:color w:val="000000"/>
    </w:rPr>
  </w:style>
  <w:style w:type="table" w:styleId="TableGrid">
    <w:name w:val="Table Grid"/>
    <w:basedOn w:val="TableNormal"/>
    <w:uiPriority w:val="59"/>
    <w:rsid w:val="00131D1B"/>
    <w:rPr>
      <w:rFonts w:ascii="Arial" w:eastAsia="Calibri" w:hAnsi="Arial" w:cs="Times New Roman"/>
      <w:sz w:val="22"/>
      <w:szCs w:val="22"/>
      <w:lang w:val="en-C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epartment.flemingcollege.ca/aec/indigenous-education-protoco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B37737D3</Template>
  <TotalTime>1</TotalTime>
  <Pages>6</Pages>
  <Words>1944</Words>
  <Characters>11081</Characters>
  <Application>Microsoft Office Word</Application>
  <DocSecurity>4</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Marcy Adzich</dc:creator>
  <cp:keywords/>
  <dc:description/>
  <cp:lastModifiedBy>Kylie Fox</cp:lastModifiedBy>
  <cp:revision>2</cp:revision>
  <dcterms:created xsi:type="dcterms:W3CDTF">2019-08-06T17:59:00Z</dcterms:created>
  <dcterms:modified xsi:type="dcterms:W3CDTF">2019-08-06T17:59:00Z</dcterms:modified>
</cp:coreProperties>
</file>