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Spec="center" w:tblpYSpec="center"/>
        <w:tblW w:w="5000" w:type="pct"/>
        <w:tblCellMar>
          <w:top w:w="216" w:type="dxa"/>
          <w:left w:w="216" w:type="dxa"/>
          <w:bottom w:w="216" w:type="dxa"/>
          <w:right w:w="216" w:type="dxa"/>
        </w:tblCellMar>
        <w:tblLook w:val="00A0" w:firstRow="1" w:lastRow="0" w:firstColumn="1" w:lastColumn="0" w:noHBand="0" w:noVBand="0"/>
      </w:tblPr>
      <w:tblGrid>
        <w:gridCol w:w="4009"/>
        <w:gridCol w:w="2647"/>
        <w:gridCol w:w="2704"/>
      </w:tblGrid>
      <w:tr w:rsidR="00BB5BF9" w:rsidTr="007467FC">
        <w:trPr>
          <w:trHeight w:val="5634"/>
        </w:trPr>
        <w:tc>
          <w:tcPr>
            <w:tcW w:w="3525" w:type="dxa"/>
            <w:tcBorders>
              <w:bottom w:val="single" w:sz="18" w:space="0" w:color="808080"/>
              <w:right w:val="single" w:sz="18" w:space="0" w:color="808080"/>
            </w:tcBorders>
            <w:vAlign w:val="center"/>
          </w:tcPr>
          <w:p w:rsidR="00BB5BF9" w:rsidRDefault="00BB5BF9" w:rsidP="007467FC">
            <w:pPr>
              <w:pStyle w:val="NoSpacing"/>
              <w:jc w:val="center"/>
              <w:rPr>
                <w:rFonts w:ascii="Cambria" w:hAnsi="Cambria"/>
                <w:sz w:val="76"/>
                <w:szCs w:val="72"/>
              </w:rPr>
            </w:pPr>
            <w:r w:rsidRPr="00E435E7">
              <w:rPr>
                <w:sz w:val="72"/>
                <w:szCs w:val="72"/>
              </w:rPr>
              <w:t xml:space="preserve"> SUNY, College at Oneonta Greenhouse Gas Inventory </w:t>
            </w:r>
          </w:p>
        </w:tc>
        <w:tc>
          <w:tcPr>
            <w:tcW w:w="6267" w:type="dxa"/>
            <w:gridSpan w:val="2"/>
            <w:tcBorders>
              <w:left w:val="single" w:sz="18" w:space="0" w:color="808080"/>
              <w:bottom w:val="single" w:sz="18" w:space="0" w:color="808080"/>
            </w:tcBorders>
            <w:vAlign w:val="center"/>
          </w:tcPr>
          <w:p w:rsidR="00BB5BF9" w:rsidRDefault="00BB5BF9" w:rsidP="007467FC">
            <w:pPr>
              <w:pStyle w:val="NoSpacing"/>
              <w:rPr>
                <w:rFonts w:ascii="Cambria" w:hAnsi="Cambria"/>
                <w:sz w:val="36"/>
                <w:szCs w:val="36"/>
              </w:rPr>
            </w:pPr>
          </w:p>
          <w:p w:rsidR="00BB5BF9" w:rsidRDefault="004205D4" w:rsidP="007467FC">
            <w:pPr>
              <w:pStyle w:val="NoSpacing"/>
              <w:rPr>
                <w:color w:val="4F81BD"/>
                <w:sz w:val="200"/>
                <w:szCs w:val="200"/>
              </w:rPr>
            </w:pPr>
            <w:r>
              <w:rPr>
                <w:color w:val="76923C"/>
                <w:sz w:val="200"/>
                <w:szCs w:val="200"/>
              </w:rPr>
              <w:t>2013</w:t>
            </w:r>
          </w:p>
        </w:tc>
      </w:tr>
      <w:tr w:rsidR="00BB5BF9" w:rsidTr="007467FC">
        <w:tc>
          <w:tcPr>
            <w:tcW w:w="7054" w:type="dxa"/>
            <w:gridSpan w:val="2"/>
            <w:tcBorders>
              <w:top w:val="single" w:sz="18" w:space="0" w:color="808080"/>
            </w:tcBorders>
            <w:vAlign w:val="center"/>
          </w:tcPr>
          <w:p w:rsidR="004205D4" w:rsidRDefault="00BB5BF9" w:rsidP="004205D4">
            <w:pPr>
              <w:pStyle w:val="NoSpacing"/>
              <w:rPr>
                <w:sz w:val="36"/>
                <w:szCs w:val="36"/>
              </w:rPr>
            </w:pPr>
            <w:r w:rsidRPr="00E435E7">
              <w:rPr>
                <w:sz w:val="36"/>
                <w:szCs w:val="36"/>
              </w:rPr>
              <w:t xml:space="preserve">Prepared by </w:t>
            </w:r>
            <w:r w:rsidR="004205D4">
              <w:rPr>
                <w:sz w:val="36"/>
                <w:szCs w:val="36"/>
              </w:rPr>
              <w:t xml:space="preserve">sustainability Intern </w:t>
            </w:r>
          </w:p>
          <w:p w:rsidR="00BB5BF9" w:rsidRPr="00E435E7" w:rsidRDefault="004205D4" w:rsidP="004205D4">
            <w:pPr>
              <w:pStyle w:val="NoSpacing"/>
              <w:rPr>
                <w:sz w:val="36"/>
                <w:szCs w:val="36"/>
              </w:rPr>
            </w:pPr>
            <w:r>
              <w:rPr>
                <w:sz w:val="36"/>
                <w:szCs w:val="36"/>
              </w:rPr>
              <w:t>Crystal Wyllie,</w:t>
            </w:r>
            <w:r w:rsidR="00BB5BF9" w:rsidRPr="00E435E7">
              <w:rPr>
                <w:sz w:val="36"/>
                <w:szCs w:val="36"/>
              </w:rPr>
              <w:t xml:space="preserve"> </w:t>
            </w:r>
            <w:r>
              <w:rPr>
                <w:sz w:val="36"/>
                <w:szCs w:val="36"/>
              </w:rPr>
              <w:t>Spring 2015</w:t>
            </w:r>
          </w:p>
        </w:tc>
        <w:tc>
          <w:tcPr>
            <w:tcW w:w="2738" w:type="dxa"/>
            <w:tcBorders>
              <w:top w:val="single" w:sz="18" w:space="0" w:color="808080"/>
            </w:tcBorders>
            <w:vAlign w:val="center"/>
          </w:tcPr>
          <w:p w:rsidR="00BB5BF9" w:rsidRDefault="0080320E" w:rsidP="007467FC">
            <w:pPr>
              <w:pStyle w:val="NoSpacing"/>
              <w:rPr>
                <w:rFonts w:ascii="Cambria" w:hAnsi="Cambria"/>
                <w:sz w:val="36"/>
                <w:szCs w:val="36"/>
              </w:rPr>
            </w:pPr>
            <w:r>
              <w:rPr>
                <w:rFonts w:ascii="Cambria" w:hAnsi="Cambria"/>
                <w:noProof/>
                <w:sz w:val="36"/>
                <w:szCs w:val="36"/>
              </w:rPr>
              <w:drawing>
                <wp:inline distT="0" distB="0" distL="0" distR="0">
                  <wp:extent cx="1362075" cy="1323975"/>
                  <wp:effectExtent l="0" t="0" r="9525" b="9525"/>
                  <wp:docPr id="1" name="Picture 27" descr="SUCO%20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UCO%20Se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a:ln>
                            <a:noFill/>
                          </a:ln>
                        </pic:spPr>
                      </pic:pic>
                    </a:graphicData>
                  </a:graphic>
                </wp:inline>
              </w:drawing>
            </w:r>
          </w:p>
        </w:tc>
      </w:tr>
    </w:tbl>
    <w:p w:rsidR="00BB5BF9" w:rsidRDefault="00BB5BF9"/>
    <w:p w:rsidR="00FE25E2" w:rsidRDefault="00FE25E2" w:rsidP="00FE25E2">
      <w:pPr>
        <w:pStyle w:val="Title"/>
        <w:rPr>
          <w:rFonts w:ascii="Calibri" w:hAnsi="Calibri"/>
        </w:rPr>
      </w:pPr>
    </w:p>
    <w:p w:rsidR="00FE25E2" w:rsidRDefault="00FE25E2" w:rsidP="00FE25E2">
      <w:pPr>
        <w:pStyle w:val="Title"/>
        <w:rPr>
          <w:rFonts w:ascii="Calibri" w:hAnsi="Calibri"/>
        </w:rPr>
      </w:pPr>
    </w:p>
    <w:p w:rsidR="00FE25E2" w:rsidRDefault="00FE25E2" w:rsidP="00FE25E2">
      <w:pPr>
        <w:pStyle w:val="Title"/>
        <w:rPr>
          <w:rFonts w:ascii="Calibri" w:hAnsi="Calibri"/>
        </w:rPr>
      </w:pPr>
    </w:p>
    <w:p w:rsidR="00FE25E2" w:rsidRPr="00FE25E2" w:rsidRDefault="00FE25E2" w:rsidP="00FE25E2"/>
    <w:p w:rsidR="00FE25E2" w:rsidRPr="00FE25E2" w:rsidRDefault="00FE25E2" w:rsidP="00FE25E2"/>
    <w:p w:rsidR="00D052E0" w:rsidRDefault="00D052E0" w:rsidP="00322DBC">
      <w:pPr>
        <w:pStyle w:val="NormalWeb"/>
        <w:outlineLvl w:val="0"/>
        <w:rPr>
          <w:rFonts w:ascii="Calibri" w:hAnsi="Calibri"/>
          <w:b/>
          <w:sz w:val="32"/>
          <w:szCs w:val="32"/>
        </w:rPr>
      </w:pPr>
      <w:r w:rsidRPr="00D052E0">
        <w:rPr>
          <w:rFonts w:ascii="Calibri" w:hAnsi="Calibri"/>
          <w:b/>
          <w:sz w:val="40"/>
          <w:szCs w:val="40"/>
        </w:rPr>
        <w:lastRenderedPageBreak/>
        <w:t>Table of Contents</w:t>
      </w:r>
      <w:r w:rsidRPr="00D052E0">
        <w:rPr>
          <w:rFonts w:ascii="Calibri" w:hAnsi="Calibri"/>
          <w:b/>
          <w:sz w:val="40"/>
          <w:szCs w:val="40"/>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t>Page</w:t>
      </w:r>
    </w:p>
    <w:p w:rsidR="00A202BE" w:rsidRDefault="00D052E0" w:rsidP="00322DBC">
      <w:pPr>
        <w:pStyle w:val="NormalWeb"/>
        <w:outlineLvl w:val="0"/>
        <w:rPr>
          <w:rFonts w:ascii="Calibri" w:hAnsi="Calibri"/>
          <w:b/>
          <w:sz w:val="32"/>
          <w:szCs w:val="32"/>
        </w:rPr>
      </w:pPr>
      <w:r>
        <w:rPr>
          <w:rFonts w:ascii="Calibri" w:hAnsi="Calibri"/>
          <w:b/>
          <w:sz w:val="32"/>
          <w:szCs w:val="32"/>
        </w:rPr>
        <w:t>Introduction</w:t>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t>3</w:t>
      </w:r>
    </w:p>
    <w:p w:rsidR="00B5645E" w:rsidRDefault="00B5645E" w:rsidP="00322DBC">
      <w:pPr>
        <w:pStyle w:val="NormalWeb"/>
        <w:outlineLvl w:val="0"/>
        <w:rPr>
          <w:rFonts w:ascii="Calibri" w:hAnsi="Calibri"/>
          <w:b/>
          <w:sz w:val="32"/>
          <w:szCs w:val="32"/>
        </w:rPr>
      </w:pPr>
      <w:r>
        <w:rPr>
          <w:rFonts w:ascii="Calibri" w:hAnsi="Calibri"/>
          <w:b/>
          <w:sz w:val="32"/>
          <w:szCs w:val="32"/>
        </w:rPr>
        <w:t>Key Terms</w:t>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t>4</w:t>
      </w:r>
    </w:p>
    <w:p w:rsidR="00D052E0" w:rsidRDefault="00D052E0" w:rsidP="00322DBC">
      <w:pPr>
        <w:pStyle w:val="NormalWeb"/>
        <w:outlineLvl w:val="0"/>
        <w:rPr>
          <w:rFonts w:ascii="Calibri" w:hAnsi="Calibri"/>
          <w:b/>
          <w:sz w:val="32"/>
          <w:szCs w:val="32"/>
        </w:rPr>
      </w:pPr>
      <w:r>
        <w:rPr>
          <w:rFonts w:ascii="Calibri" w:hAnsi="Calibri"/>
          <w:b/>
          <w:sz w:val="32"/>
          <w:szCs w:val="32"/>
        </w:rPr>
        <w:t>Part I: Carbon calculator</w:t>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sidR="00A202BE">
        <w:rPr>
          <w:rFonts w:ascii="Calibri" w:hAnsi="Calibri"/>
          <w:b/>
          <w:sz w:val="32"/>
          <w:szCs w:val="32"/>
        </w:rPr>
        <w:t>4</w:t>
      </w:r>
    </w:p>
    <w:p w:rsidR="00D052E0" w:rsidRDefault="00D052E0" w:rsidP="00322DBC">
      <w:pPr>
        <w:pStyle w:val="NormalWeb"/>
        <w:outlineLvl w:val="0"/>
        <w:rPr>
          <w:rFonts w:ascii="Calibri" w:hAnsi="Calibri"/>
          <w:b/>
          <w:sz w:val="32"/>
          <w:szCs w:val="32"/>
        </w:rPr>
      </w:pPr>
      <w:r>
        <w:rPr>
          <w:rFonts w:ascii="Calibri" w:hAnsi="Calibri"/>
          <w:b/>
          <w:sz w:val="32"/>
          <w:szCs w:val="32"/>
        </w:rPr>
        <w:t>Part II: Data Collection &amp; Results</w:t>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sidR="00A202BE">
        <w:rPr>
          <w:rFonts w:ascii="Calibri" w:hAnsi="Calibri"/>
          <w:b/>
          <w:sz w:val="32"/>
          <w:szCs w:val="32"/>
        </w:rPr>
        <w:t>5</w:t>
      </w:r>
    </w:p>
    <w:p w:rsidR="00D052E0" w:rsidRDefault="00D052E0" w:rsidP="00322DBC">
      <w:pPr>
        <w:pStyle w:val="NormalWeb"/>
        <w:outlineLvl w:val="0"/>
        <w:rPr>
          <w:rFonts w:ascii="Calibri" w:hAnsi="Calibri"/>
          <w:b/>
          <w:sz w:val="32"/>
          <w:szCs w:val="32"/>
        </w:rPr>
      </w:pPr>
      <w:r>
        <w:rPr>
          <w:rFonts w:ascii="Calibri" w:hAnsi="Calibri"/>
          <w:b/>
          <w:sz w:val="32"/>
          <w:szCs w:val="32"/>
        </w:rPr>
        <w:t>Part III: Comparative Analysis</w:t>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t>11</w:t>
      </w:r>
    </w:p>
    <w:p w:rsidR="00D052E0" w:rsidRDefault="00D052E0" w:rsidP="00322DBC">
      <w:pPr>
        <w:pStyle w:val="NormalWeb"/>
        <w:outlineLvl w:val="0"/>
        <w:rPr>
          <w:rFonts w:ascii="Calibri" w:hAnsi="Calibri"/>
          <w:b/>
          <w:sz w:val="32"/>
          <w:szCs w:val="32"/>
        </w:rPr>
      </w:pPr>
      <w:r>
        <w:rPr>
          <w:rFonts w:ascii="Calibri" w:hAnsi="Calibri"/>
          <w:b/>
          <w:sz w:val="32"/>
          <w:szCs w:val="32"/>
        </w:rPr>
        <w:t>Part IV: Recommendations</w:t>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t>14</w:t>
      </w:r>
    </w:p>
    <w:p w:rsidR="00D052E0" w:rsidRDefault="00D052E0" w:rsidP="00322DBC">
      <w:pPr>
        <w:pStyle w:val="NormalWeb"/>
        <w:outlineLvl w:val="0"/>
        <w:rPr>
          <w:rFonts w:ascii="Calibri" w:hAnsi="Calibri"/>
          <w:b/>
          <w:sz w:val="32"/>
          <w:szCs w:val="32"/>
        </w:rPr>
      </w:pPr>
      <w:r>
        <w:rPr>
          <w:rFonts w:ascii="Calibri" w:hAnsi="Calibri"/>
          <w:b/>
          <w:sz w:val="32"/>
          <w:szCs w:val="32"/>
        </w:rPr>
        <w:t xml:space="preserve">Part V: Conclusion </w:t>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r>
      <w:r w:rsidR="00B5645E">
        <w:rPr>
          <w:rFonts w:ascii="Calibri" w:hAnsi="Calibri"/>
          <w:b/>
          <w:sz w:val="32"/>
          <w:szCs w:val="32"/>
        </w:rPr>
        <w:tab/>
        <w:t>15</w:t>
      </w:r>
      <w:bookmarkStart w:id="0" w:name="_GoBack"/>
      <w:bookmarkEnd w:id="0"/>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A202BE" w:rsidRDefault="00A202BE"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p>
    <w:p w:rsidR="00D052E0" w:rsidRDefault="00D052E0" w:rsidP="00322DBC">
      <w:pPr>
        <w:pStyle w:val="NormalWeb"/>
        <w:outlineLvl w:val="0"/>
        <w:rPr>
          <w:rFonts w:ascii="Calibri" w:hAnsi="Calibri"/>
          <w:b/>
          <w:sz w:val="32"/>
          <w:szCs w:val="32"/>
        </w:rPr>
      </w:pPr>
      <w:r>
        <w:rPr>
          <w:rFonts w:ascii="Calibri" w:hAnsi="Calibri"/>
          <w:b/>
          <w:sz w:val="32"/>
          <w:szCs w:val="32"/>
        </w:rPr>
        <w:t>Intr</w:t>
      </w:r>
      <w:r w:rsidR="00011E10">
        <w:rPr>
          <w:rFonts w:ascii="Calibri" w:hAnsi="Calibri"/>
          <w:b/>
          <w:sz w:val="32"/>
          <w:szCs w:val="32"/>
        </w:rPr>
        <w:t>oduction</w:t>
      </w:r>
    </w:p>
    <w:p w:rsidR="009733D9" w:rsidRDefault="009733D9" w:rsidP="00E55B3B">
      <w:pPr>
        <w:pStyle w:val="NormalWeb"/>
        <w:ind w:firstLine="720"/>
        <w:jc w:val="center"/>
        <w:outlineLvl w:val="0"/>
        <w:rPr>
          <w:rFonts w:ascii="Calibri" w:hAnsi="Calibri"/>
          <w:i/>
        </w:rPr>
      </w:pPr>
      <w:r w:rsidRPr="009733D9">
        <w:rPr>
          <w:rFonts w:ascii="Calibri" w:hAnsi="Calibri"/>
          <w:i/>
        </w:rPr>
        <w:t xml:space="preserve">“…we can s6rive to expand our college’s commitment to sustainability in all of our activities…Sustainability should infuse our teaching and learning, our construction, maintenance, and landscaping, the food we eat, and the way we use resources.” </w:t>
      </w:r>
      <w:r>
        <w:rPr>
          <w:rFonts w:ascii="Calibri" w:hAnsi="Calibri"/>
          <w:i/>
        </w:rPr>
        <w:t xml:space="preserve">   </w:t>
      </w:r>
      <w:r>
        <w:rPr>
          <w:rFonts w:ascii="Calibri" w:hAnsi="Calibri"/>
          <w:i/>
        </w:rPr>
        <w:tab/>
      </w:r>
      <w:r>
        <w:rPr>
          <w:rFonts w:ascii="Calibri" w:hAnsi="Calibri"/>
          <w:i/>
        </w:rPr>
        <w:tab/>
      </w:r>
      <w:r w:rsidR="00E55B3B">
        <w:rPr>
          <w:rFonts w:ascii="Calibri" w:hAnsi="Calibri"/>
          <w:i/>
        </w:rPr>
        <w:t>-</w:t>
      </w:r>
      <w:r>
        <w:rPr>
          <w:rFonts w:ascii="Calibri" w:hAnsi="Calibri"/>
          <w:i/>
        </w:rPr>
        <w:t xml:space="preserve">Nancy </w:t>
      </w:r>
      <w:proofErr w:type="spellStart"/>
      <w:r>
        <w:rPr>
          <w:rFonts w:ascii="Calibri" w:hAnsi="Calibri"/>
          <w:i/>
        </w:rPr>
        <w:t>Kleniewski</w:t>
      </w:r>
      <w:proofErr w:type="spellEnd"/>
      <w:r>
        <w:rPr>
          <w:rFonts w:ascii="Calibri" w:hAnsi="Calibri"/>
          <w:i/>
        </w:rPr>
        <w:t>, 20</w:t>
      </w:r>
      <w:r w:rsidRPr="009733D9">
        <w:rPr>
          <w:rFonts w:ascii="Calibri" w:hAnsi="Calibri"/>
          <w:i/>
          <w:vertAlign w:val="superscript"/>
        </w:rPr>
        <w:t>th</w:t>
      </w:r>
      <w:r>
        <w:rPr>
          <w:rFonts w:ascii="Calibri" w:hAnsi="Calibri"/>
          <w:i/>
        </w:rPr>
        <w:t xml:space="preserve"> President of SUNY, College at Oneonta, 2008.</w:t>
      </w:r>
    </w:p>
    <w:p w:rsidR="009733D9" w:rsidRDefault="00502DD5" w:rsidP="00E55B3B">
      <w:pPr>
        <w:pStyle w:val="NormalWeb"/>
        <w:ind w:firstLine="720"/>
        <w:outlineLvl w:val="0"/>
        <w:rPr>
          <w:rFonts w:ascii="Calibri" w:hAnsi="Calibri"/>
        </w:rPr>
      </w:pPr>
      <w:r w:rsidRPr="00502DD5">
        <w:rPr>
          <w:rFonts w:ascii="Calibri" w:hAnsi="Calibri"/>
        </w:rPr>
        <w:t xml:space="preserve">As part of SUNY Oneonta’s growing commitment to sustainability, a decision was made </w:t>
      </w:r>
      <w:r w:rsidR="00E55B3B">
        <w:rPr>
          <w:rFonts w:ascii="Calibri" w:hAnsi="Calibri"/>
        </w:rPr>
        <w:t xml:space="preserve">in 2008 by Dr. Nancy </w:t>
      </w:r>
      <w:proofErr w:type="spellStart"/>
      <w:r w:rsidR="00E55B3B">
        <w:rPr>
          <w:rFonts w:ascii="Calibri" w:hAnsi="Calibri"/>
        </w:rPr>
        <w:t>Kleniewski</w:t>
      </w:r>
      <w:proofErr w:type="spellEnd"/>
      <w:r w:rsidR="00E55B3B">
        <w:rPr>
          <w:rFonts w:ascii="Calibri" w:hAnsi="Calibri"/>
        </w:rPr>
        <w:t>, 20</w:t>
      </w:r>
      <w:r w:rsidR="00E55B3B" w:rsidRPr="00E55B3B">
        <w:rPr>
          <w:rFonts w:ascii="Calibri" w:hAnsi="Calibri"/>
          <w:vertAlign w:val="superscript"/>
        </w:rPr>
        <w:t>th</w:t>
      </w:r>
      <w:r w:rsidR="00E55B3B">
        <w:rPr>
          <w:rFonts w:ascii="Calibri" w:hAnsi="Calibri"/>
        </w:rPr>
        <w:t xml:space="preserve"> President of SUNY, </w:t>
      </w:r>
      <w:proofErr w:type="gramStart"/>
      <w:r w:rsidR="00E55B3B">
        <w:rPr>
          <w:rFonts w:ascii="Calibri" w:hAnsi="Calibri"/>
        </w:rPr>
        <w:t>College</w:t>
      </w:r>
      <w:proofErr w:type="gramEnd"/>
      <w:r w:rsidR="00E55B3B">
        <w:rPr>
          <w:rFonts w:ascii="Calibri" w:hAnsi="Calibri"/>
        </w:rPr>
        <w:t xml:space="preserve"> at Oneonta</w:t>
      </w:r>
      <w:r w:rsidR="00FE362B">
        <w:rPr>
          <w:rFonts w:ascii="Calibri" w:hAnsi="Calibri"/>
        </w:rPr>
        <w:t>,</w:t>
      </w:r>
      <w:r w:rsidR="00E55B3B">
        <w:rPr>
          <w:rFonts w:ascii="Calibri" w:hAnsi="Calibri"/>
        </w:rPr>
        <w:t xml:space="preserve"> to</w:t>
      </w:r>
      <w:r w:rsidRPr="00502DD5">
        <w:rPr>
          <w:rFonts w:ascii="Calibri" w:hAnsi="Calibri"/>
        </w:rPr>
        <w:t xml:space="preserve"> conduct a complete greenhouse gas (GHG) inventory and calculate Institutional emissions using the Clean Air-Cool Planet Campus Carbon Calculator. This tool is recommended by the American College and University Presidents Climate Agreement </w:t>
      </w:r>
      <w:r>
        <w:rPr>
          <w:rFonts w:ascii="Calibri" w:hAnsi="Calibri"/>
        </w:rPr>
        <w:t xml:space="preserve">(ACUPCC). </w:t>
      </w:r>
    </w:p>
    <w:p w:rsidR="00502DD5" w:rsidRPr="00502DD5" w:rsidRDefault="00502DD5" w:rsidP="00E55B3B">
      <w:pPr>
        <w:pStyle w:val="NormalWeb"/>
        <w:ind w:firstLine="720"/>
        <w:outlineLvl w:val="0"/>
        <w:rPr>
          <w:rFonts w:ascii="Calibri" w:hAnsi="Calibri"/>
        </w:rPr>
      </w:pPr>
      <w:r w:rsidRPr="00502DD5">
        <w:rPr>
          <w:rFonts w:ascii="Calibri" w:hAnsi="Calibri"/>
        </w:rPr>
        <w:t>The 2008 GHG Inventory</w:t>
      </w:r>
      <w:r w:rsidR="00E55B3B">
        <w:rPr>
          <w:rFonts w:ascii="Calibri" w:hAnsi="Calibri"/>
        </w:rPr>
        <w:t xml:space="preserve"> was</w:t>
      </w:r>
      <w:r w:rsidRPr="00502DD5">
        <w:rPr>
          <w:rFonts w:ascii="Calibri" w:hAnsi="Calibri"/>
        </w:rPr>
        <w:t xml:space="preserve"> used as a first step in developing </w:t>
      </w:r>
      <w:r w:rsidR="00E55B3B">
        <w:rPr>
          <w:rFonts w:ascii="Calibri" w:hAnsi="Calibri"/>
        </w:rPr>
        <w:t>a Climate Action Plan for SUNY Oneonta under</w:t>
      </w:r>
      <w:r w:rsidRPr="00502DD5">
        <w:rPr>
          <w:rFonts w:ascii="Calibri" w:hAnsi="Calibri"/>
        </w:rPr>
        <w:t xml:space="preserve"> the President’s Sustainability Task Force. The Sustainability Task Force, formed in 2008 and chaired by Thomas Rathbone, Associate Vice-President of Facilities, was created to consolidate all SUNY Oneonta sustainability efforts and is the supervisory and consulting body for this project. This baseline data would enable SUNY, College at Oneonta to compare itself to other similarly sized campuses in New York. </w:t>
      </w:r>
    </w:p>
    <w:p w:rsidR="00502DD5" w:rsidRDefault="00502DD5" w:rsidP="00FE362B">
      <w:pPr>
        <w:pStyle w:val="NormalWeb"/>
        <w:ind w:firstLine="720"/>
        <w:outlineLvl w:val="0"/>
        <w:rPr>
          <w:rFonts w:ascii="Calibri" w:hAnsi="Calibri"/>
        </w:rPr>
      </w:pPr>
      <w:r w:rsidRPr="00502DD5">
        <w:rPr>
          <w:rFonts w:ascii="Calibri" w:hAnsi="Calibri"/>
        </w:rPr>
        <w:t xml:space="preserve">In fall 2009, students Katherine </w:t>
      </w:r>
      <w:proofErr w:type="spellStart"/>
      <w:r w:rsidRPr="00502DD5">
        <w:rPr>
          <w:rFonts w:ascii="Calibri" w:hAnsi="Calibri"/>
        </w:rPr>
        <w:t>Ogut</w:t>
      </w:r>
      <w:proofErr w:type="spellEnd"/>
      <w:r w:rsidRPr="00502DD5">
        <w:rPr>
          <w:rFonts w:ascii="Calibri" w:hAnsi="Calibri"/>
        </w:rPr>
        <w:t xml:space="preserve"> and </w:t>
      </w:r>
      <w:proofErr w:type="spellStart"/>
      <w:r w:rsidRPr="00502DD5">
        <w:rPr>
          <w:rFonts w:ascii="Calibri" w:hAnsi="Calibri"/>
        </w:rPr>
        <w:t>Maribeth</w:t>
      </w:r>
      <w:proofErr w:type="spellEnd"/>
      <w:r w:rsidRPr="00502DD5">
        <w:rPr>
          <w:rFonts w:ascii="Calibri" w:hAnsi="Calibri"/>
        </w:rPr>
        <w:t xml:space="preserve"> Rubenstein were hired as project Interns and charged with the task of gathering emissions data for the year 2008. The project was directly supervised by Thomas Rathbone and Dr. Gina Keel, Assistant Professor of Political Science. The authors of the 2008 report found that SUNY Oneonta’s overall carbon emi</w:t>
      </w:r>
      <w:r w:rsidR="00FE362B">
        <w:rPr>
          <w:rFonts w:ascii="Calibri" w:hAnsi="Calibri"/>
        </w:rPr>
        <w:t>ssions for 2008 were</w:t>
      </w:r>
      <w:r w:rsidRPr="00502DD5">
        <w:rPr>
          <w:rFonts w:ascii="Calibri" w:hAnsi="Calibri"/>
        </w:rPr>
        <w:t xml:space="preserve"> 33,725.50 eCO2. This report was intended to be used as a template </w:t>
      </w:r>
      <w:r w:rsidR="00FE362B">
        <w:rPr>
          <w:rFonts w:ascii="Calibri" w:hAnsi="Calibri"/>
        </w:rPr>
        <w:t xml:space="preserve">as well as provide valuable baseline data </w:t>
      </w:r>
      <w:r w:rsidR="00FE362B" w:rsidRPr="00502DD5">
        <w:rPr>
          <w:rFonts w:ascii="Calibri" w:hAnsi="Calibri"/>
        </w:rPr>
        <w:t>for future greenhouse gas (GHG) Inventory projects</w:t>
      </w:r>
      <w:r w:rsidR="00D41732">
        <w:rPr>
          <w:rFonts w:ascii="Calibri" w:hAnsi="Calibri"/>
        </w:rPr>
        <w:t>.</w:t>
      </w:r>
    </w:p>
    <w:p w:rsidR="00D41732" w:rsidRDefault="00D41732" w:rsidP="00FE362B">
      <w:pPr>
        <w:pStyle w:val="NormalWeb"/>
        <w:ind w:firstLine="720"/>
        <w:outlineLvl w:val="0"/>
        <w:rPr>
          <w:rFonts w:ascii="Calibri" w:hAnsi="Calibri"/>
        </w:rPr>
      </w:pPr>
      <w:r>
        <w:rPr>
          <w:rFonts w:ascii="Calibri" w:hAnsi="Calibri"/>
        </w:rPr>
        <w:t xml:space="preserve">This report documents the methodology, raw data, and analysis for SUNY Oneonta’s Green House Gas Inventory for 2013. The total carbon emissions for SUNY Oneonta in 2013 were </w:t>
      </w:r>
      <w:r w:rsidR="006A5E8E">
        <w:rPr>
          <w:rFonts w:ascii="Calibri" w:hAnsi="Calibri"/>
        </w:rPr>
        <w:t xml:space="preserve">found to be 36,589.90 eCO2. This is 2,864.40 eCO2 more than the 2008 report’s value of </w:t>
      </w:r>
      <w:r w:rsidR="006A5E8E" w:rsidRPr="00502DD5">
        <w:rPr>
          <w:rFonts w:ascii="Calibri" w:hAnsi="Calibri"/>
        </w:rPr>
        <w:t>33,725.50 eCO2.</w:t>
      </w:r>
      <w:r w:rsidR="006A5E8E">
        <w:rPr>
          <w:rFonts w:ascii="Calibri" w:hAnsi="Calibri"/>
        </w:rPr>
        <w:t xml:space="preserve"> The greatest impact</w:t>
      </w:r>
      <w:r w:rsidR="00FF2167">
        <w:rPr>
          <w:rFonts w:ascii="Calibri" w:hAnsi="Calibri"/>
        </w:rPr>
        <w:t xml:space="preserve"> on total emissions for 2013 was</w:t>
      </w:r>
      <w:r w:rsidR="006A5E8E">
        <w:rPr>
          <w:rFonts w:ascii="Calibri" w:hAnsi="Calibri"/>
        </w:rPr>
        <w:t xml:space="preserve"> from scope 2, which includes purchased electricity. </w:t>
      </w:r>
      <w:r w:rsidR="00FF2167">
        <w:rPr>
          <w:rFonts w:ascii="Calibri" w:hAnsi="Calibri"/>
        </w:rPr>
        <w:t xml:space="preserve">Scopes 1 and 3 contributed nearly equal amounts to the college’s total carbon emissions. </w:t>
      </w:r>
    </w:p>
    <w:p w:rsidR="00FF2167" w:rsidRDefault="00A36A40" w:rsidP="00FE362B">
      <w:pPr>
        <w:pStyle w:val="NormalWeb"/>
        <w:ind w:firstLine="720"/>
        <w:outlineLvl w:val="0"/>
        <w:rPr>
          <w:rFonts w:ascii="Calibri" w:hAnsi="Calibri"/>
        </w:rPr>
      </w:pPr>
      <w:r>
        <w:rPr>
          <w:rFonts w:ascii="Calibri" w:hAnsi="Calibri"/>
        </w:rPr>
        <w:t xml:space="preserve">The 2013 Green House Gas Inventory Report includes key terms, contact information for data sources, and comprehensive analysis for all data. </w:t>
      </w:r>
      <w:r w:rsidR="00B3596A">
        <w:rPr>
          <w:rFonts w:ascii="Calibri" w:hAnsi="Calibri"/>
        </w:rPr>
        <w:t>The author</w:t>
      </w:r>
      <w:r w:rsidR="00A45400">
        <w:rPr>
          <w:rFonts w:ascii="Calibri" w:hAnsi="Calibri"/>
        </w:rPr>
        <w:t xml:space="preserve"> took into consideration many of the recommendations </w:t>
      </w:r>
      <w:r w:rsidR="00B3596A">
        <w:rPr>
          <w:rFonts w:ascii="Calibri" w:hAnsi="Calibri"/>
        </w:rPr>
        <w:t xml:space="preserve">for improving methods </w:t>
      </w:r>
      <w:r w:rsidR="00A45400">
        <w:rPr>
          <w:rFonts w:ascii="Calibri" w:hAnsi="Calibri"/>
        </w:rPr>
        <w:t xml:space="preserve">that were made in the 2008 </w:t>
      </w:r>
      <w:r w:rsidR="00B3596A">
        <w:rPr>
          <w:rFonts w:ascii="Calibri" w:hAnsi="Calibri"/>
        </w:rPr>
        <w:t>GHG report.</w:t>
      </w:r>
      <w:r w:rsidR="00A45400">
        <w:rPr>
          <w:rFonts w:ascii="Calibri" w:hAnsi="Calibri"/>
        </w:rPr>
        <w:t xml:space="preserve"> </w:t>
      </w:r>
      <w:r w:rsidR="00B3596A">
        <w:rPr>
          <w:rFonts w:ascii="Calibri" w:hAnsi="Calibri"/>
        </w:rPr>
        <w:t>Throughout this</w:t>
      </w:r>
      <w:r w:rsidR="00A45400">
        <w:rPr>
          <w:rFonts w:ascii="Calibri" w:hAnsi="Calibri"/>
        </w:rPr>
        <w:t xml:space="preserve"> report each scope is broken down so that all raw data can be viewed and interpreted. </w:t>
      </w:r>
      <w:r>
        <w:rPr>
          <w:rFonts w:ascii="Calibri" w:hAnsi="Calibri"/>
        </w:rPr>
        <w:t>This report also includes a detailed description for using the Clean Air-Cool Planet Carbon Calculator</w:t>
      </w:r>
      <w:r w:rsidR="00A45400">
        <w:rPr>
          <w:rFonts w:ascii="Calibri" w:hAnsi="Calibri"/>
        </w:rPr>
        <w:t xml:space="preserve">. The author of this report </w:t>
      </w:r>
      <w:r w:rsidR="00B3596A">
        <w:rPr>
          <w:rFonts w:ascii="Calibri" w:hAnsi="Calibri"/>
        </w:rPr>
        <w:t xml:space="preserve">hopes that the compiled data from this report as </w:t>
      </w:r>
      <w:r w:rsidR="00B3596A">
        <w:rPr>
          <w:rFonts w:ascii="Calibri" w:hAnsi="Calibri"/>
        </w:rPr>
        <w:lastRenderedPageBreak/>
        <w:t xml:space="preserve">well as the 2008 inventory will serve to further sustainability on SUNY Oneonta campus for years to come. </w:t>
      </w:r>
    </w:p>
    <w:p w:rsidR="005F0A7B" w:rsidRDefault="005F0A7B" w:rsidP="00322DBC">
      <w:pPr>
        <w:pStyle w:val="NormalWeb"/>
        <w:outlineLvl w:val="0"/>
        <w:rPr>
          <w:rFonts w:ascii="Calibri" w:hAnsi="Calibri"/>
          <w:b/>
          <w:sz w:val="32"/>
          <w:szCs w:val="32"/>
        </w:rPr>
      </w:pPr>
      <w:r>
        <w:rPr>
          <w:rFonts w:ascii="Calibri" w:hAnsi="Calibri"/>
          <w:b/>
          <w:sz w:val="32"/>
          <w:szCs w:val="32"/>
        </w:rPr>
        <w:t>Key Terms:</w:t>
      </w:r>
    </w:p>
    <w:p w:rsidR="005F0A7B" w:rsidRDefault="005F0A7B" w:rsidP="005F0A7B">
      <w:pPr>
        <w:pStyle w:val="NormalWeb"/>
        <w:ind w:left="2160" w:hanging="2160"/>
        <w:outlineLvl w:val="0"/>
        <w:rPr>
          <w:rFonts w:ascii="Calibri" w:hAnsi="Calibri"/>
        </w:rPr>
      </w:pPr>
      <w:r w:rsidRPr="005F0A7B">
        <w:rPr>
          <w:rFonts w:ascii="Calibri" w:hAnsi="Calibri"/>
        </w:rPr>
        <w:t>Greenhouse Gas:</w:t>
      </w:r>
      <w:r w:rsidRPr="005F0A7B">
        <w:t xml:space="preserve"> </w:t>
      </w:r>
      <w:r>
        <w:tab/>
      </w:r>
      <w:r w:rsidRPr="005F0A7B">
        <w:rPr>
          <w:rFonts w:ascii="Calibri" w:hAnsi="Calibri"/>
        </w:rPr>
        <w:t>A greenhouse gas (sometimes abbreviated GHG) is a gas in an atmosphere that absorbs and emits radiation within the thermal infrared range. This process is the fundamental cause of the greenhouse effect. The primary greenhouse gases in Earth's atmosphere are water vapor, carbon dioxide, methane, nitrous oxide, and ozone.</w:t>
      </w:r>
    </w:p>
    <w:p w:rsidR="005F0A7B" w:rsidRDefault="005F0A7B" w:rsidP="005F0A7B">
      <w:pPr>
        <w:pStyle w:val="NormalWeb"/>
        <w:ind w:left="2160" w:hanging="2160"/>
        <w:outlineLvl w:val="0"/>
        <w:rPr>
          <w:rFonts w:ascii="Calibri" w:hAnsi="Calibri"/>
        </w:rPr>
      </w:pPr>
      <w:r>
        <w:rPr>
          <w:rFonts w:ascii="Calibri" w:hAnsi="Calibri"/>
        </w:rPr>
        <w:t>eCO2:</w:t>
      </w:r>
      <w:r>
        <w:rPr>
          <w:rFonts w:ascii="Calibri" w:hAnsi="Calibri"/>
        </w:rPr>
        <w:tab/>
      </w:r>
      <w:r w:rsidR="009578CC">
        <w:rPr>
          <w:rFonts w:ascii="Calibri" w:hAnsi="Calibri"/>
        </w:rPr>
        <w:t xml:space="preserve">CO2 Equivalents. A metric measure used to compare the emissions from various greenhouse gases based upon their global warming potential (GWP). Carbon Dioxide equivalents are commonly expressed as “metric tons of carbon dioxide equivalents (MTCDE).” The carbon dioxide </w:t>
      </w:r>
      <w:r w:rsidR="00EB1C7E">
        <w:rPr>
          <w:rFonts w:ascii="Calibri" w:hAnsi="Calibri"/>
        </w:rPr>
        <w:t>equivalent for a gas is derived by multiplying the tons of the gas by the associated GWP. (MTCDE= (million metric tons of gas) * (GWP of the gas)).</w:t>
      </w:r>
    </w:p>
    <w:p w:rsidR="00EB1C7E" w:rsidRPr="00EB1C7E" w:rsidRDefault="00EB1C7E" w:rsidP="00CC59C7">
      <w:pPr>
        <w:pStyle w:val="NormalWeb"/>
        <w:ind w:left="2160" w:hanging="2160"/>
        <w:outlineLvl w:val="0"/>
        <w:rPr>
          <w:rFonts w:ascii="Calibri" w:hAnsi="Calibri"/>
        </w:rPr>
      </w:pPr>
      <w:r>
        <w:rPr>
          <w:rFonts w:ascii="Calibri" w:hAnsi="Calibri"/>
        </w:rPr>
        <w:t>Emissions coefficient</w:t>
      </w:r>
      <w:r w:rsidR="00CC59C7">
        <w:rPr>
          <w:rFonts w:ascii="Calibri" w:hAnsi="Calibri"/>
        </w:rPr>
        <w:t xml:space="preserve">: A unique value for scaling emissions to activity data in terms of a standard rate of emissions per unit of activity. Any gas that absorbs infrared radiation in the atmosphere. </w:t>
      </w:r>
    </w:p>
    <w:p w:rsidR="00FE25E2" w:rsidRPr="00322DBC" w:rsidRDefault="00BB5BF9" w:rsidP="00322DBC">
      <w:pPr>
        <w:pStyle w:val="NormalWeb"/>
        <w:outlineLvl w:val="0"/>
        <w:rPr>
          <w:rFonts w:ascii="Calibri" w:hAnsi="Calibri"/>
          <w:b/>
          <w:sz w:val="32"/>
          <w:szCs w:val="32"/>
        </w:rPr>
      </w:pPr>
      <w:r>
        <w:rPr>
          <w:rFonts w:ascii="Calibri" w:hAnsi="Calibri"/>
          <w:b/>
          <w:sz w:val="32"/>
          <w:szCs w:val="32"/>
        </w:rPr>
        <w:t xml:space="preserve">Part I: Carbon Calculator </w:t>
      </w:r>
    </w:p>
    <w:p w:rsidR="00BB5BF9" w:rsidRDefault="00BB5BF9" w:rsidP="00E25AB9">
      <w:pPr>
        <w:pStyle w:val="NormalWeb"/>
        <w:rPr>
          <w:rFonts w:ascii="Calibri" w:hAnsi="Calibri"/>
        </w:rPr>
      </w:pPr>
      <w:r>
        <w:rPr>
          <w:rFonts w:ascii="Calibri" w:hAnsi="Calibri"/>
        </w:rPr>
        <w:t>Clean Air-Cool Planet is an organization dedicated to “finding and promoting solutions to global warming.” In order to aid institutions in evaluating their carbon footprint this organization created the Campus Carbon Calculator.</w:t>
      </w:r>
      <w:r>
        <w:rPr>
          <w:rFonts w:ascii="Calibri" w:hAnsi="Calibri"/>
          <w:b/>
        </w:rPr>
        <w:t xml:space="preserve"> </w:t>
      </w:r>
      <w:r>
        <w:rPr>
          <w:rFonts w:ascii="Calibri" w:hAnsi="Calibri"/>
        </w:rPr>
        <w:t xml:space="preserve">The calculator is a Microsoft Excel-based spreadsheet tool that is used to investigate sources of emissions on college campuses. Sources of emission are categorized into three major areas or “Scopes”. </w:t>
      </w:r>
    </w:p>
    <w:p w:rsidR="00BB5BF9" w:rsidRDefault="00BB5BF9" w:rsidP="00E25AB9">
      <w:pPr>
        <w:numPr>
          <w:ilvl w:val="0"/>
          <w:numId w:val="1"/>
        </w:numPr>
        <w:spacing w:after="0" w:line="240" w:lineRule="auto"/>
        <w:rPr>
          <w:sz w:val="24"/>
          <w:szCs w:val="24"/>
        </w:rPr>
      </w:pPr>
      <w:r>
        <w:rPr>
          <w:b/>
          <w:sz w:val="24"/>
          <w:szCs w:val="24"/>
        </w:rPr>
        <w:t>Scope 1</w:t>
      </w:r>
      <w:r>
        <w:rPr>
          <w:sz w:val="24"/>
          <w:szCs w:val="24"/>
        </w:rPr>
        <w:t xml:space="preserve"> - includes all direct sources of GHG emissions from sources that are owned or controlled by your institution, including (but not limited to): production of electricity, heat, or steam; transportation or materials, products, waste, and community members; and fugitive emissions (from unintentional leaks).</w:t>
      </w:r>
    </w:p>
    <w:p w:rsidR="00C91B56" w:rsidRDefault="00C91B56" w:rsidP="00C91B56">
      <w:pPr>
        <w:spacing w:after="0" w:line="240" w:lineRule="auto"/>
        <w:ind w:left="360"/>
        <w:rPr>
          <w:sz w:val="24"/>
          <w:szCs w:val="24"/>
        </w:rPr>
      </w:pPr>
    </w:p>
    <w:p w:rsidR="00BB5BF9" w:rsidRDefault="00BB5BF9" w:rsidP="00E25AB9">
      <w:pPr>
        <w:numPr>
          <w:ilvl w:val="0"/>
          <w:numId w:val="1"/>
        </w:numPr>
        <w:spacing w:after="0" w:line="240" w:lineRule="auto"/>
        <w:rPr>
          <w:sz w:val="24"/>
          <w:szCs w:val="24"/>
        </w:rPr>
      </w:pPr>
      <w:r>
        <w:rPr>
          <w:b/>
          <w:sz w:val="24"/>
          <w:szCs w:val="24"/>
        </w:rPr>
        <w:t>Scope 2</w:t>
      </w:r>
      <w:r>
        <w:rPr>
          <w:sz w:val="24"/>
          <w:szCs w:val="24"/>
        </w:rPr>
        <w:t xml:space="preserve"> - includes GHG emissions from imports of electricity, heat or steam – generally those associated with the generation of imported sources of energy. </w:t>
      </w:r>
    </w:p>
    <w:p w:rsidR="00C91B56" w:rsidRDefault="00C91B56" w:rsidP="00C91B56">
      <w:pPr>
        <w:spacing w:after="0" w:line="240" w:lineRule="auto"/>
        <w:rPr>
          <w:sz w:val="24"/>
          <w:szCs w:val="24"/>
        </w:rPr>
      </w:pPr>
    </w:p>
    <w:p w:rsidR="00BB5BF9" w:rsidRDefault="00BB5BF9" w:rsidP="00E25AB9">
      <w:pPr>
        <w:numPr>
          <w:ilvl w:val="0"/>
          <w:numId w:val="1"/>
        </w:numPr>
        <w:spacing w:after="0" w:line="240" w:lineRule="auto"/>
        <w:rPr>
          <w:sz w:val="24"/>
          <w:szCs w:val="24"/>
        </w:rPr>
      </w:pPr>
      <w:r>
        <w:rPr>
          <w:b/>
          <w:sz w:val="24"/>
          <w:szCs w:val="24"/>
        </w:rPr>
        <w:t>Scope 3</w:t>
      </w:r>
      <w:r>
        <w:rPr>
          <w:sz w:val="24"/>
          <w:szCs w:val="24"/>
        </w:rPr>
        <w:t xml:space="preserve"> - includes all other indirect sources of GHG emissions that may result from the activities of the institution but occur from sources owned or controlled by another company, such as: business travel, outsourced activities and contracts, emissions from waste generated by the institution when the GHG emissions occur at a facility controlled by </w:t>
      </w:r>
      <w:r>
        <w:rPr>
          <w:sz w:val="24"/>
          <w:szCs w:val="24"/>
        </w:rPr>
        <w:lastRenderedPageBreak/>
        <w:t xml:space="preserve">another company, e.g. methane emissions from landfilled waste, and the commuting habits of community members. </w:t>
      </w:r>
    </w:p>
    <w:p w:rsidR="00BB5BF9" w:rsidRDefault="00BB5BF9" w:rsidP="00BB58CF">
      <w:pPr>
        <w:pStyle w:val="NormalWeb"/>
        <w:outlineLvl w:val="0"/>
        <w:rPr>
          <w:rFonts w:ascii="Calibri" w:hAnsi="Calibri"/>
        </w:rPr>
      </w:pPr>
      <w:r>
        <w:rPr>
          <w:rFonts w:ascii="Calibri" w:hAnsi="Calibri"/>
        </w:rPr>
        <w:t xml:space="preserve">These scopes are further broken down into areas such as </w:t>
      </w:r>
    </w:p>
    <w:p w:rsidR="00BB5BF9" w:rsidRDefault="00BB5BF9" w:rsidP="00E25AB9">
      <w:pPr>
        <w:pStyle w:val="NormalWeb"/>
        <w:numPr>
          <w:ilvl w:val="0"/>
          <w:numId w:val="2"/>
        </w:numPr>
        <w:rPr>
          <w:rFonts w:ascii="Calibri" w:hAnsi="Calibri"/>
        </w:rPr>
      </w:pPr>
      <w:r>
        <w:rPr>
          <w:rFonts w:ascii="Calibri" w:hAnsi="Calibri"/>
        </w:rPr>
        <w:t>On Campus energy production</w:t>
      </w:r>
    </w:p>
    <w:p w:rsidR="00BB5BF9" w:rsidRDefault="00BB5BF9" w:rsidP="00E25AB9">
      <w:pPr>
        <w:pStyle w:val="NormalWeb"/>
        <w:numPr>
          <w:ilvl w:val="0"/>
          <w:numId w:val="2"/>
        </w:numPr>
        <w:rPr>
          <w:rFonts w:ascii="Calibri" w:hAnsi="Calibri"/>
        </w:rPr>
      </w:pPr>
      <w:r>
        <w:rPr>
          <w:rFonts w:ascii="Calibri" w:hAnsi="Calibri"/>
        </w:rPr>
        <w:t>Purchased electricity</w:t>
      </w:r>
    </w:p>
    <w:p w:rsidR="00BB5BF9" w:rsidRDefault="00BB5BF9" w:rsidP="00E25AB9">
      <w:pPr>
        <w:pStyle w:val="NormalWeb"/>
        <w:numPr>
          <w:ilvl w:val="0"/>
          <w:numId w:val="2"/>
        </w:numPr>
        <w:rPr>
          <w:rFonts w:ascii="Calibri" w:hAnsi="Calibri"/>
        </w:rPr>
      </w:pPr>
      <w:r>
        <w:rPr>
          <w:rFonts w:ascii="Calibri" w:hAnsi="Calibri"/>
        </w:rPr>
        <w:t>Transportation</w:t>
      </w:r>
    </w:p>
    <w:p w:rsidR="00BB5BF9" w:rsidRDefault="00BB5BF9" w:rsidP="00E25AB9">
      <w:pPr>
        <w:pStyle w:val="NormalWeb"/>
        <w:numPr>
          <w:ilvl w:val="0"/>
          <w:numId w:val="2"/>
        </w:numPr>
        <w:rPr>
          <w:rFonts w:ascii="Calibri" w:hAnsi="Calibri"/>
        </w:rPr>
      </w:pPr>
      <w:r>
        <w:rPr>
          <w:rFonts w:ascii="Calibri" w:hAnsi="Calibri"/>
        </w:rPr>
        <w:t>Waste</w:t>
      </w:r>
    </w:p>
    <w:p w:rsidR="00BB5BF9" w:rsidRDefault="00BB5BF9" w:rsidP="00E25AB9">
      <w:pPr>
        <w:pStyle w:val="NormalWeb"/>
        <w:numPr>
          <w:ilvl w:val="0"/>
          <w:numId w:val="2"/>
        </w:numPr>
        <w:rPr>
          <w:rFonts w:ascii="Calibri" w:hAnsi="Calibri"/>
        </w:rPr>
      </w:pPr>
      <w:r>
        <w:rPr>
          <w:rFonts w:ascii="Calibri" w:hAnsi="Calibri"/>
        </w:rPr>
        <w:t>Agriculture</w:t>
      </w:r>
    </w:p>
    <w:p w:rsidR="00BB5BF9" w:rsidRDefault="00BB5BF9" w:rsidP="00E25AB9">
      <w:pPr>
        <w:pStyle w:val="NormalWeb"/>
        <w:numPr>
          <w:ilvl w:val="0"/>
          <w:numId w:val="2"/>
        </w:numPr>
        <w:rPr>
          <w:rFonts w:ascii="Calibri" w:hAnsi="Calibri"/>
        </w:rPr>
      </w:pPr>
      <w:r>
        <w:rPr>
          <w:rFonts w:ascii="Calibri" w:hAnsi="Calibri"/>
        </w:rPr>
        <w:t>Refrigerants</w:t>
      </w:r>
    </w:p>
    <w:p w:rsidR="00BB5BF9" w:rsidRDefault="00BB5BF9" w:rsidP="00E25AB9">
      <w:pPr>
        <w:pStyle w:val="NormalWeb"/>
        <w:rPr>
          <w:rFonts w:ascii="Calibri" w:hAnsi="Calibri"/>
        </w:rPr>
      </w:pPr>
      <w:r>
        <w:rPr>
          <w:rFonts w:ascii="Calibri" w:hAnsi="Calibri"/>
        </w:rPr>
        <w:t xml:space="preserve">Emissions may be modified by “offsets” such as composting, forest preservation and purchased green credits. </w:t>
      </w:r>
    </w:p>
    <w:p w:rsidR="00BB5BF9" w:rsidRDefault="00BB5BF9" w:rsidP="00E25AB9">
      <w:pPr>
        <w:pStyle w:val="NormalWeb"/>
        <w:rPr>
          <w:rFonts w:ascii="Calibri" w:hAnsi="Calibri"/>
        </w:rPr>
      </w:pPr>
      <w:r>
        <w:rPr>
          <w:rFonts w:ascii="Calibri" w:hAnsi="Calibri"/>
        </w:rPr>
        <w:t xml:space="preserve">The process of the calculator begins with data collection. This process involves working with various departments and campus staff to compile the necessary raw data to enter into the calculator. The software uses a combination of formulas, conversion factors (coefficients) and emission factors to calculate the final emission totals. </w:t>
      </w:r>
    </w:p>
    <w:p w:rsidR="00933B26" w:rsidRPr="00C91B56" w:rsidRDefault="00BB5BF9" w:rsidP="00C91B56">
      <w:pPr>
        <w:pStyle w:val="NormalWeb"/>
        <w:rPr>
          <w:rFonts w:ascii="Calibri" w:hAnsi="Calibri"/>
        </w:rPr>
      </w:pPr>
      <w:r>
        <w:rPr>
          <w:rFonts w:ascii="Calibri" w:hAnsi="Calibri"/>
        </w:rPr>
        <w:t>The calculator then reports this data in graph, chart and spreadsheet form. These results provide in depth insight about specific sources of emissions. The analysis is based on this output.</w:t>
      </w:r>
      <w:r>
        <w:rPr>
          <w:rFonts w:ascii="Calibri" w:hAnsi="Calibri"/>
          <w:b/>
          <w:sz w:val="32"/>
          <w:szCs w:val="32"/>
        </w:rPr>
        <w:t xml:space="preserve"> </w:t>
      </w:r>
    </w:p>
    <w:p w:rsidR="00BB5BF9" w:rsidRDefault="00BB5BF9" w:rsidP="00BB58CF">
      <w:pPr>
        <w:pStyle w:val="NormalWeb"/>
        <w:outlineLvl w:val="0"/>
        <w:rPr>
          <w:rFonts w:ascii="Calibri" w:hAnsi="Calibri"/>
          <w:b/>
          <w:sz w:val="32"/>
          <w:szCs w:val="32"/>
        </w:rPr>
      </w:pPr>
      <w:r>
        <w:rPr>
          <w:rFonts w:ascii="Calibri" w:hAnsi="Calibri"/>
          <w:b/>
          <w:sz w:val="32"/>
          <w:szCs w:val="32"/>
        </w:rPr>
        <w:t>Part II: Data Collection and Results</w:t>
      </w:r>
    </w:p>
    <w:p w:rsidR="00BB5BF9" w:rsidRDefault="00BB5BF9" w:rsidP="00BB58CF">
      <w:pPr>
        <w:pStyle w:val="NormalWeb"/>
        <w:outlineLvl w:val="0"/>
        <w:rPr>
          <w:rFonts w:ascii="Calibri" w:hAnsi="Calibri"/>
          <w:u w:val="single"/>
        </w:rPr>
      </w:pPr>
      <w:r>
        <w:rPr>
          <w:rFonts w:ascii="Calibri" w:hAnsi="Calibri"/>
          <w:u w:val="single"/>
        </w:rPr>
        <w:t>Institutional Data</w:t>
      </w:r>
    </w:p>
    <w:p w:rsidR="00BB5BF9" w:rsidRDefault="00BB5BF9" w:rsidP="00E25AB9">
      <w:pPr>
        <w:pStyle w:val="NormalWeb"/>
        <w:rPr>
          <w:rFonts w:ascii="Calibri" w:hAnsi="Calibri"/>
          <w:b/>
        </w:rPr>
      </w:pPr>
      <w:r>
        <w:rPr>
          <w:rFonts w:ascii="Calibri" w:hAnsi="Calibri"/>
        </w:rPr>
        <w:t xml:space="preserve">Building physical size information was provided by </w:t>
      </w:r>
      <w:r w:rsidR="00683D1C">
        <w:rPr>
          <w:rFonts w:ascii="Calibri" w:hAnsi="Calibri"/>
          <w:b/>
        </w:rPr>
        <w:t xml:space="preserve">Philip Bidwell, Facilities and Safety IT Specialist.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7"/>
        <w:gridCol w:w="1897"/>
      </w:tblGrid>
      <w:tr w:rsidR="00BB5BF9" w:rsidRPr="007E19D5" w:rsidTr="00372E7B">
        <w:trPr>
          <w:trHeight w:val="301"/>
        </w:trPr>
        <w:tc>
          <w:tcPr>
            <w:tcW w:w="2197" w:type="dxa"/>
          </w:tcPr>
          <w:p w:rsidR="00BB5BF9" w:rsidRPr="007E19D5" w:rsidRDefault="00BB5BF9">
            <w:r w:rsidRPr="007E19D5">
              <w:t>Total Building Space</w:t>
            </w:r>
          </w:p>
        </w:tc>
        <w:tc>
          <w:tcPr>
            <w:tcW w:w="1897" w:type="dxa"/>
          </w:tcPr>
          <w:p w:rsidR="00BB5BF9" w:rsidRPr="007E19D5" w:rsidRDefault="00372E7B">
            <w:r>
              <w:t>1,955,909</w:t>
            </w:r>
            <w:r w:rsidR="00BB5BF9" w:rsidRPr="007E19D5">
              <w:t xml:space="preserve"> sq. feet</w:t>
            </w:r>
          </w:p>
        </w:tc>
      </w:tr>
    </w:tbl>
    <w:p w:rsidR="00BB5BF9" w:rsidRDefault="00BB5BF9" w:rsidP="00E25AB9">
      <w:pPr>
        <w:pStyle w:val="NormalWeb"/>
        <w:rPr>
          <w:rFonts w:ascii="Calibri" w:hAnsi="Calibri"/>
        </w:rPr>
      </w:pPr>
      <w:r>
        <w:rPr>
          <w:rFonts w:ascii="Calibri" w:hAnsi="Calibri"/>
        </w:rPr>
        <w:t xml:space="preserve">Budget information was provided by </w:t>
      </w:r>
      <w:r>
        <w:rPr>
          <w:rFonts w:ascii="Calibri" w:hAnsi="Calibri"/>
          <w:b/>
        </w:rPr>
        <w:t xml:space="preserve">Julie </w:t>
      </w:r>
      <w:proofErr w:type="spellStart"/>
      <w:r>
        <w:rPr>
          <w:rFonts w:ascii="Calibri" w:hAnsi="Calibri"/>
          <w:b/>
        </w:rPr>
        <w:t>Roseboom</w:t>
      </w:r>
      <w:proofErr w:type="spellEnd"/>
      <w:r>
        <w:rPr>
          <w:rFonts w:ascii="Calibri" w:hAnsi="Calibri"/>
          <w:b/>
        </w:rPr>
        <w:t>, Budget Control Officer</w:t>
      </w:r>
      <w:r>
        <w:rPr>
          <w:rFonts w:ascii="Calibri" w:hAnsi="Calibr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3"/>
        <w:gridCol w:w="1596"/>
      </w:tblGrid>
      <w:tr w:rsidR="00BB5BF9" w:rsidRPr="007E19D5" w:rsidTr="00E25AB9">
        <w:tc>
          <w:tcPr>
            <w:tcW w:w="2223" w:type="dxa"/>
          </w:tcPr>
          <w:p w:rsidR="00BB5BF9" w:rsidRPr="007E19D5" w:rsidRDefault="00BB5BF9">
            <w:r w:rsidRPr="007E19D5">
              <w:t>Operational Budget</w:t>
            </w:r>
          </w:p>
        </w:tc>
        <w:tc>
          <w:tcPr>
            <w:tcW w:w="1596" w:type="dxa"/>
          </w:tcPr>
          <w:p w:rsidR="00BB5BF9" w:rsidRPr="007E19D5" w:rsidRDefault="00BB5BF9" w:rsidP="00B71085">
            <w:r w:rsidRPr="007E19D5">
              <w:t xml:space="preserve">$ </w:t>
            </w:r>
            <w:r w:rsidR="00B71085">
              <w:t>108,500,000</w:t>
            </w:r>
          </w:p>
        </w:tc>
      </w:tr>
      <w:tr w:rsidR="00BB5BF9" w:rsidRPr="007E19D5" w:rsidTr="00E25AB9">
        <w:tc>
          <w:tcPr>
            <w:tcW w:w="2223" w:type="dxa"/>
          </w:tcPr>
          <w:p w:rsidR="00BB5BF9" w:rsidRPr="007E19D5" w:rsidRDefault="00BB5BF9">
            <w:r w:rsidRPr="007E19D5">
              <w:t>Research Budget</w:t>
            </w:r>
          </w:p>
        </w:tc>
        <w:tc>
          <w:tcPr>
            <w:tcW w:w="1596" w:type="dxa"/>
          </w:tcPr>
          <w:p w:rsidR="00BB5BF9" w:rsidRPr="007E19D5" w:rsidRDefault="00BB5BF9">
            <w:r w:rsidRPr="007E19D5">
              <w:t>N/A</w:t>
            </w:r>
          </w:p>
        </w:tc>
      </w:tr>
      <w:tr w:rsidR="00BB5BF9" w:rsidRPr="007E19D5" w:rsidTr="00E25AB9">
        <w:tc>
          <w:tcPr>
            <w:tcW w:w="2223" w:type="dxa"/>
          </w:tcPr>
          <w:p w:rsidR="00BB5BF9" w:rsidRPr="007E19D5" w:rsidRDefault="00BB5BF9">
            <w:r w:rsidRPr="007E19D5">
              <w:t>Energy Budget</w:t>
            </w:r>
          </w:p>
        </w:tc>
        <w:tc>
          <w:tcPr>
            <w:tcW w:w="1596" w:type="dxa"/>
          </w:tcPr>
          <w:p w:rsidR="00BB5BF9" w:rsidRPr="007E19D5" w:rsidRDefault="00B71085">
            <w:r>
              <w:t>N/A</w:t>
            </w:r>
          </w:p>
        </w:tc>
      </w:tr>
    </w:tbl>
    <w:p w:rsidR="00BB5BF9" w:rsidRDefault="00BB5BF9" w:rsidP="00E25AB9">
      <w:pPr>
        <w:pStyle w:val="NormalWeb"/>
        <w:rPr>
          <w:rFonts w:ascii="Calibri" w:hAnsi="Calibri"/>
          <w:u w:val="single"/>
        </w:rPr>
      </w:pPr>
      <w:r>
        <w:rPr>
          <w:rFonts w:ascii="Calibri" w:hAnsi="Calibri"/>
        </w:rPr>
        <w:t xml:space="preserve"> </w:t>
      </w:r>
      <w:r>
        <w:rPr>
          <w:rFonts w:ascii="Calibri" w:hAnsi="Calibri"/>
          <w:u w:val="single"/>
        </w:rPr>
        <w:t>Population</w:t>
      </w:r>
    </w:p>
    <w:p w:rsidR="00BB5BF9" w:rsidRDefault="00BB5BF9" w:rsidP="00E25AB9">
      <w:pPr>
        <w:pStyle w:val="NormalWeb"/>
        <w:rPr>
          <w:rFonts w:ascii="Calibri" w:hAnsi="Calibri"/>
        </w:rPr>
      </w:pPr>
      <w:r>
        <w:rPr>
          <w:rFonts w:ascii="Calibri" w:hAnsi="Calibri"/>
        </w:rPr>
        <w:lastRenderedPageBreak/>
        <w:t xml:space="preserve">Population information was provided by </w:t>
      </w:r>
      <w:r w:rsidR="00372E7B" w:rsidRPr="00372E7B">
        <w:rPr>
          <w:rFonts w:ascii="Calibri" w:hAnsi="Calibri"/>
          <w:b/>
        </w:rPr>
        <w:t>Ernesto Henriquez,</w:t>
      </w:r>
      <w:r w:rsidRPr="00372E7B">
        <w:rPr>
          <w:rFonts w:ascii="Calibri" w:hAnsi="Calibri"/>
          <w:b/>
        </w:rPr>
        <w:t xml:space="preserve"> </w:t>
      </w:r>
      <w:r>
        <w:rPr>
          <w:rFonts w:ascii="Calibri" w:hAnsi="Calibri"/>
          <w:b/>
        </w:rPr>
        <w:t>Enrollment</w:t>
      </w:r>
      <w:r>
        <w:rPr>
          <w:rFonts w:ascii="Calibri" w:hAnsi="Calibri"/>
        </w:rPr>
        <w:t xml:space="preserve"> </w:t>
      </w:r>
      <w:r w:rsidR="00372E7B">
        <w:rPr>
          <w:rFonts w:ascii="Calibri" w:hAnsi="Calibri"/>
          <w:b/>
        </w:rPr>
        <w:t>Management</w:t>
      </w:r>
      <w:r>
        <w:rPr>
          <w:rFonts w:ascii="Calibri" w:hAnsi="Calibr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952"/>
        <w:gridCol w:w="1430"/>
      </w:tblGrid>
      <w:tr w:rsidR="00BB5BF9" w:rsidRPr="007E19D5" w:rsidTr="00E25AB9">
        <w:trPr>
          <w:trHeight w:val="489"/>
        </w:trPr>
        <w:tc>
          <w:tcPr>
            <w:tcW w:w="3115" w:type="dxa"/>
          </w:tcPr>
          <w:p w:rsidR="00BB5BF9" w:rsidRPr="007E19D5" w:rsidRDefault="00BB5BF9">
            <w:pPr>
              <w:jc w:val="center"/>
            </w:pPr>
            <w:r w:rsidRPr="007E19D5">
              <w:t>Population</w:t>
            </w:r>
          </w:p>
        </w:tc>
        <w:tc>
          <w:tcPr>
            <w:tcW w:w="952" w:type="dxa"/>
          </w:tcPr>
          <w:p w:rsidR="00BB5BF9" w:rsidRPr="007E19D5" w:rsidRDefault="00BB5BF9">
            <w:pPr>
              <w:jc w:val="center"/>
            </w:pPr>
            <w:r w:rsidRPr="007E19D5">
              <w:t>#</w:t>
            </w:r>
          </w:p>
        </w:tc>
        <w:tc>
          <w:tcPr>
            <w:tcW w:w="1430" w:type="dxa"/>
          </w:tcPr>
          <w:p w:rsidR="00BB5BF9" w:rsidRPr="007E19D5" w:rsidRDefault="00BB5BF9">
            <w:pPr>
              <w:jc w:val="center"/>
            </w:pPr>
            <w:r w:rsidRPr="007E19D5">
              <w:t>Weeks on Campus</w:t>
            </w:r>
          </w:p>
        </w:tc>
      </w:tr>
      <w:tr w:rsidR="00BB5BF9" w:rsidRPr="007E19D5" w:rsidTr="00E25AB9">
        <w:trPr>
          <w:trHeight w:val="489"/>
        </w:trPr>
        <w:tc>
          <w:tcPr>
            <w:tcW w:w="3115" w:type="dxa"/>
          </w:tcPr>
          <w:p w:rsidR="00BB5BF9" w:rsidRPr="007E19D5" w:rsidRDefault="00BB5BF9">
            <w:pPr>
              <w:jc w:val="center"/>
            </w:pPr>
            <w:r w:rsidRPr="007E19D5">
              <w:t>Full-time Students</w:t>
            </w:r>
          </w:p>
        </w:tc>
        <w:tc>
          <w:tcPr>
            <w:tcW w:w="952" w:type="dxa"/>
          </w:tcPr>
          <w:p w:rsidR="00BB5BF9" w:rsidRPr="007E19D5" w:rsidRDefault="00372E7B">
            <w:pPr>
              <w:jc w:val="center"/>
            </w:pPr>
            <w:r>
              <w:t>5,808</w:t>
            </w:r>
          </w:p>
        </w:tc>
        <w:tc>
          <w:tcPr>
            <w:tcW w:w="1430" w:type="dxa"/>
          </w:tcPr>
          <w:p w:rsidR="00BB5BF9" w:rsidRPr="007E19D5" w:rsidRDefault="00BB5BF9">
            <w:pPr>
              <w:jc w:val="center"/>
            </w:pPr>
            <w:r w:rsidRPr="007E19D5">
              <w:t>33</w:t>
            </w:r>
          </w:p>
        </w:tc>
      </w:tr>
      <w:tr w:rsidR="00BB5BF9" w:rsidRPr="007E19D5" w:rsidTr="00E25AB9">
        <w:trPr>
          <w:trHeight w:val="489"/>
        </w:trPr>
        <w:tc>
          <w:tcPr>
            <w:tcW w:w="3115" w:type="dxa"/>
          </w:tcPr>
          <w:p w:rsidR="00BB5BF9" w:rsidRPr="007E19D5" w:rsidRDefault="00BB5BF9">
            <w:pPr>
              <w:jc w:val="center"/>
            </w:pPr>
            <w:r w:rsidRPr="007E19D5">
              <w:t>Part-time Students</w:t>
            </w:r>
          </w:p>
        </w:tc>
        <w:tc>
          <w:tcPr>
            <w:tcW w:w="952" w:type="dxa"/>
          </w:tcPr>
          <w:p w:rsidR="00BB5BF9" w:rsidRPr="007E19D5" w:rsidRDefault="00372E7B">
            <w:pPr>
              <w:jc w:val="center"/>
            </w:pPr>
            <w:r>
              <w:t>226</w:t>
            </w:r>
          </w:p>
        </w:tc>
        <w:tc>
          <w:tcPr>
            <w:tcW w:w="1430" w:type="dxa"/>
          </w:tcPr>
          <w:p w:rsidR="00BB5BF9" w:rsidRPr="007E19D5" w:rsidRDefault="00BB5BF9">
            <w:pPr>
              <w:jc w:val="center"/>
            </w:pPr>
            <w:r w:rsidRPr="007E19D5">
              <w:t>33</w:t>
            </w:r>
          </w:p>
        </w:tc>
      </w:tr>
      <w:tr w:rsidR="00BB5BF9" w:rsidRPr="007E19D5" w:rsidTr="00E25AB9">
        <w:trPr>
          <w:trHeight w:val="489"/>
        </w:trPr>
        <w:tc>
          <w:tcPr>
            <w:tcW w:w="3115" w:type="dxa"/>
          </w:tcPr>
          <w:p w:rsidR="00BB5BF9" w:rsidRPr="007E19D5" w:rsidRDefault="00BB5BF9">
            <w:pPr>
              <w:jc w:val="center"/>
            </w:pPr>
            <w:r w:rsidRPr="007E19D5">
              <w:t>Summer Enrollment</w:t>
            </w:r>
          </w:p>
        </w:tc>
        <w:tc>
          <w:tcPr>
            <w:tcW w:w="952" w:type="dxa"/>
          </w:tcPr>
          <w:p w:rsidR="00BB5BF9" w:rsidRPr="007E19D5" w:rsidRDefault="00372E7B">
            <w:pPr>
              <w:jc w:val="center"/>
            </w:pPr>
            <w:r>
              <w:t>535</w:t>
            </w:r>
          </w:p>
        </w:tc>
        <w:tc>
          <w:tcPr>
            <w:tcW w:w="1430" w:type="dxa"/>
          </w:tcPr>
          <w:p w:rsidR="00BB5BF9" w:rsidRPr="007E19D5" w:rsidRDefault="00BB5BF9">
            <w:pPr>
              <w:jc w:val="center"/>
            </w:pPr>
            <w:r w:rsidRPr="007E19D5">
              <w:t>5-12</w:t>
            </w:r>
          </w:p>
        </w:tc>
      </w:tr>
      <w:tr w:rsidR="00BB5BF9" w:rsidRPr="007E19D5" w:rsidTr="00E25AB9">
        <w:trPr>
          <w:trHeight w:val="489"/>
        </w:trPr>
        <w:tc>
          <w:tcPr>
            <w:tcW w:w="3115" w:type="dxa"/>
          </w:tcPr>
          <w:p w:rsidR="00BB5BF9" w:rsidRPr="007E19D5" w:rsidRDefault="00BB5BF9">
            <w:pPr>
              <w:jc w:val="center"/>
            </w:pPr>
            <w:r w:rsidRPr="007E19D5">
              <w:t>Faculty</w:t>
            </w:r>
          </w:p>
        </w:tc>
        <w:tc>
          <w:tcPr>
            <w:tcW w:w="952" w:type="dxa"/>
          </w:tcPr>
          <w:p w:rsidR="00BB5BF9" w:rsidRPr="007E19D5" w:rsidRDefault="00372E7B">
            <w:pPr>
              <w:jc w:val="center"/>
            </w:pPr>
            <w:r>
              <w:t>493</w:t>
            </w:r>
          </w:p>
        </w:tc>
        <w:tc>
          <w:tcPr>
            <w:tcW w:w="1430" w:type="dxa"/>
          </w:tcPr>
          <w:p w:rsidR="00BB5BF9" w:rsidRPr="007E19D5" w:rsidRDefault="00BB5BF9">
            <w:pPr>
              <w:jc w:val="center"/>
            </w:pPr>
            <w:r w:rsidRPr="007E19D5">
              <w:t>33</w:t>
            </w:r>
          </w:p>
        </w:tc>
      </w:tr>
      <w:tr w:rsidR="00BB5BF9" w:rsidRPr="007E19D5" w:rsidTr="00E25AB9">
        <w:trPr>
          <w:trHeight w:val="501"/>
        </w:trPr>
        <w:tc>
          <w:tcPr>
            <w:tcW w:w="3115" w:type="dxa"/>
          </w:tcPr>
          <w:p w:rsidR="00BB5BF9" w:rsidRPr="007E19D5" w:rsidRDefault="00BB5BF9">
            <w:pPr>
              <w:jc w:val="center"/>
            </w:pPr>
            <w:r w:rsidRPr="007E19D5">
              <w:t>Staff</w:t>
            </w:r>
          </w:p>
        </w:tc>
        <w:tc>
          <w:tcPr>
            <w:tcW w:w="952" w:type="dxa"/>
          </w:tcPr>
          <w:p w:rsidR="00BB5BF9" w:rsidRPr="007E19D5" w:rsidRDefault="00372E7B">
            <w:pPr>
              <w:jc w:val="center"/>
            </w:pPr>
            <w:r>
              <w:t>664</w:t>
            </w:r>
          </w:p>
        </w:tc>
        <w:tc>
          <w:tcPr>
            <w:tcW w:w="1430" w:type="dxa"/>
          </w:tcPr>
          <w:p w:rsidR="00BB5BF9" w:rsidRPr="007E19D5" w:rsidRDefault="00BB5BF9">
            <w:pPr>
              <w:jc w:val="center"/>
            </w:pPr>
            <w:r w:rsidRPr="007E19D5">
              <w:t>52</w:t>
            </w:r>
          </w:p>
        </w:tc>
      </w:tr>
    </w:tbl>
    <w:p w:rsidR="00BB5BF9" w:rsidRDefault="00BB5BF9" w:rsidP="00FE25E2">
      <w:pPr>
        <w:pStyle w:val="NormalWeb"/>
        <w:outlineLvl w:val="0"/>
        <w:rPr>
          <w:rFonts w:ascii="Calibri" w:hAnsi="Calibri"/>
          <w:u w:val="single"/>
        </w:rPr>
      </w:pPr>
      <w:r>
        <w:rPr>
          <w:rFonts w:ascii="Calibri" w:hAnsi="Calibri"/>
          <w:u w:val="single"/>
        </w:rPr>
        <w:t>Scope 1</w:t>
      </w:r>
    </w:p>
    <w:p w:rsidR="00E736F9" w:rsidRPr="00322C4A" w:rsidRDefault="00322C4A" w:rsidP="00FE25E2">
      <w:pPr>
        <w:pStyle w:val="NormalWeb"/>
        <w:outlineLvl w:val="0"/>
        <w:rPr>
          <w:rFonts w:ascii="Calibri" w:hAnsi="Calibri"/>
        </w:rPr>
      </w:pPr>
      <w:r w:rsidRPr="00322C4A">
        <w:rPr>
          <w:rFonts w:ascii="Calibri" w:hAnsi="Calibri"/>
        </w:rPr>
        <w:t xml:space="preserve">Information regarding refrigerants, residual oil, fertilizers, university fleet, and natural gas was provided by </w:t>
      </w:r>
      <w:r w:rsidR="00E736F9" w:rsidRPr="00322C4A">
        <w:rPr>
          <w:rFonts w:ascii="Calibri" w:hAnsi="Calibri"/>
          <w:b/>
        </w:rPr>
        <w:t>Hannah Morg</w:t>
      </w:r>
      <w:r w:rsidRPr="00322C4A">
        <w:rPr>
          <w:rFonts w:ascii="Calibri" w:hAnsi="Calibri"/>
          <w:b/>
        </w:rPr>
        <w:t>an, Sustainability Director.</w:t>
      </w:r>
      <w:r w:rsidRPr="00322C4A">
        <w:rPr>
          <w:rFonts w:ascii="Calibri" w:hAnsi="Calibri"/>
        </w:rPr>
        <w:t xml:space="preserve"> </w:t>
      </w:r>
    </w:p>
    <w:tbl>
      <w:tblPr>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6"/>
        <w:gridCol w:w="4826"/>
      </w:tblGrid>
      <w:tr w:rsidR="00BB5BF9" w:rsidRPr="007E19D5" w:rsidTr="007E19D5">
        <w:trPr>
          <w:trHeight w:val="378"/>
        </w:trPr>
        <w:tc>
          <w:tcPr>
            <w:tcW w:w="4826" w:type="dxa"/>
          </w:tcPr>
          <w:p w:rsidR="00BB5BF9" w:rsidRPr="006076EA" w:rsidRDefault="00BB5BF9" w:rsidP="007E19D5">
            <w:pPr>
              <w:spacing w:after="0" w:line="240" w:lineRule="auto"/>
            </w:pPr>
            <w:r w:rsidRPr="006076EA">
              <w:t>Scope 1</w:t>
            </w:r>
          </w:p>
        </w:tc>
        <w:tc>
          <w:tcPr>
            <w:tcW w:w="4826" w:type="dxa"/>
          </w:tcPr>
          <w:p w:rsidR="00BB5BF9" w:rsidRPr="006076EA" w:rsidRDefault="00BB5BF9" w:rsidP="007E19D5">
            <w:pPr>
              <w:spacing w:after="0" w:line="240" w:lineRule="auto"/>
            </w:pPr>
          </w:p>
        </w:tc>
      </w:tr>
      <w:tr w:rsidR="00BB5BF9" w:rsidRPr="007E19D5" w:rsidTr="007E19D5">
        <w:trPr>
          <w:trHeight w:val="378"/>
        </w:trPr>
        <w:tc>
          <w:tcPr>
            <w:tcW w:w="4826" w:type="dxa"/>
          </w:tcPr>
          <w:p w:rsidR="00BB5BF9" w:rsidRPr="006076EA" w:rsidRDefault="00BB5BF9" w:rsidP="007E19D5">
            <w:pPr>
              <w:spacing w:after="0" w:line="240" w:lineRule="auto"/>
            </w:pPr>
            <w:r w:rsidRPr="006076EA">
              <w:t xml:space="preserve">Refrigerants </w:t>
            </w:r>
          </w:p>
        </w:tc>
        <w:tc>
          <w:tcPr>
            <w:tcW w:w="4826" w:type="dxa"/>
          </w:tcPr>
          <w:p w:rsidR="00BB5BF9" w:rsidRPr="006076EA" w:rsidRDefault="0061443C" w:rsidP="007E19D5">
            <w:pPr>
              <w:spacing w:after="0" w:line="240" w:lineRule="auto"/>
            </w:pPr>
            <w:r>
              <w:t>280</w:t>
            </w:r>
            <w:r w:rsidR="00930D4B">
              <w:t xml:space="preserve"> </w:t>
            </w:r>
            <w:proofErr w:type="spellStart"/>
            <w:r w:rsidR="00BB5BF9" w:rsidRPr="006076EA">
              <w:t>lbs</w:t>
            </w:r>
            <w:proofErr w:type="spellEnd"/>
          </w:p>
        </w:tc>
      </w:tr>
      <w:tr w:rsidR="00BB5BF9" w:rsidRPr="007E19D5" w:rsidTr="007E19D5">
        <w:trPr>
          <w:trHeight w:val="378"/>
        </w:trPr>
        <w:tc>
          <w:tcPr>
            <w:tcW w:w="4826" w:type="dxa"/>
          </w:tcPr>
          <w:p w:rsidR="00BB5BF9" w:rsidRPr="006076EA" w:rsidRDefault="00BB5BF9" w:rsidP="007E19D5">
            <w:pPr>
              <w:spacing w:after="0" w:line="240" w:lineRule="auto"/>
            </w:pPr>
            <w:r w:rsidRPr="006076EA">
              <w:t>LPG (Propane)</w:t>
            </w:r>
          </w:p>
        </w:tc>
        <w:tc>
          <w:tcPr>
            <w:tcW w:w="4826" w:type="dxa"/>
          </w:tcPr>
          <w:p w:rsidR="00BB5BF9" w:rsidRPr="006076EA" w:rsidRDefault="00372E7B" w:rsidP="007E19D5">
            <w:pPr>
              <w:spacing w:after="0" w:line="240" w:lineRule="auto"/>
            </w:pPr>
            <w:r>
              <w:t>15,312</w:t>
            </w:r>
            <w:r w:rsidR="00BB5BF9" w:rsidRPr="006076EA">
              <w:t xml:space="preserve"> gallons</w:t>
            </w:r>
          </w:p>
        </w:tc>
      </w:tr>
      <w:tr w:rsidR="00BB5BF9" w:rsidRPr="007E19D5" w:rsidTr="007E19D5">
        <w:trPr>
          <w:trHeight w:val="378"/>
        </w:trPr>
        <w:tc>
          <w:tcPr>
            <w:tcW w:w="4826" w:type="dxa"/>
          </w:tcPr>
          <w:p w:rsidR="00BB5BF9" w:rsidRPr="006076EA" w:rsidRDefault="00BB5BF9" w:rsidP="007E19D5">
            <w:pPr>
              <w:spacing w:after="0" w:line="240" w:lineRule="auto"/>
            </w:pPr>
            <w:r w:rsidRPr="006076EA">
              <w:t>Residual Oil (#5-6)</w:t>
            </w:r>
          </w:p>
        </w:tc>
        <w:tc>
          <w:tcPr>
            <w:tcW w:w="4826" w:type="dxa"/>
          </w:tcPr>
          <w:p w:rsidR="00BB5BF9" w:rsidRPr="006076EA" w:rsidRDefault="00372E7B" w:rsidP="007E19D5">
            <w:pPr>
              <w:spacing w:after="0" w:line="240" w:lineRule="auto"/>
            </w:pPr>
            <w:r>
              <w:t>99</w:t>
            </w:r>
            <w:r w:rsidR="00683D1C">
              <w:t>0</w:t>
            </w:r>
            <w:r w:rsidR="00BB5BF9" w:rsidRPr="006076EA">
              <w:t xml:space="preserve"> gallons</w:t>
            </w:r>
          </w:p>
        </w:tc>
      </w:tr>
      <w:tr w:rsidR="00BB5BF9" w:rsidRPr="007E19D5" w:rsidTr="007E19D5">
        <w:trPr>
          <w:trHeight w:val="378"/>
        </w:trPr>
        <w:tc>
          <w:tcPr>
            <w:tcW w:w="4826" w:type="dxa"/>
          </w:tcPr>
          <w:p w:rsidR="00BB5BF9" w:rsidRPr="006076EA" w:rsidRDefault="00BB5BF9" w:rsidP="007E19D5">
            <w:pPr>
              <w:spacing w:after="0" w:line="240" w:lineRule="auto"/>
            </w:pPr>
            <w:r w:rsidRPr="006076EA">
              <w:t>Fertilizers</w:t>
            </w:r>
          </w:p>
        </w:tc>
        <w:tc>
          <w:tcPr>
            <w:tcW w:w="4826" w:type="dxa"/>
          </w:tcPr>
          <w:p w:rsidR="00BB5BF9" w:rsidRPr="006076EA" w:rsidRDefault="00683D1C" w:rsidP="007E19D5">
            <w:pPr>
              <w:spacing w:after="0" w:line="240" w:lineRule="auto"/>
            </w:pPr>
            <w:r>
              <w:t>13,227</w:t>
            </w:r>
            <w:r w:rsidR="00BB5BF9" w:rsidRPr="006076EA">
              <w:t xml:space="preserve"> lbs.</w:t>
            </w:r>
          </w:p>
        </w:tc>
      </w:tr>
      <w:tr w:rsidR="00BB5BF9" w:rsidRPr="007E19D5" w:rsidTr="007E19D5">
        <w:trPr>
          <w:trHeight w:val="378"/>
        </w:trPr>
        <w:tc>
          <w:tcPr>
            <w:tcW w:w="4826" w:type="dxa"/>
          </w:tcPr>
          <w:p w:rsidR="00BB5BF9" w:rsidRPr="006076EA" w:rsidRDefault="00BB5BF9" w:rsidP="007E19D5">
            <w:pPr>
              <w:spacing w:after="0" w:line="240" w:lineRule="auto"/>
            </w:pPr>
            <w:r w:rsidRPr="006076EA">
              <w:t>University Fleet</w:t>
            </w:r>
          </w:p>
        </w:tc>
        <w:tc>
          <w:tcPr>
            <w:tcW w:w="4826" w:type="dxa"/>
          </w:tcPr>
          <w:p w:rsidR="00BB5BF9" w:rsidRPr="006076EA" w:rsidRDefault="00683D1C" w:rsidP="007E19D5">
            <w:pPr>
              <w:spacing w:after="0" w:line="240" w:lineRule="auto"/>
            </w:pPr>
            <w:r>
              <w:t>37,900</w:t>
            </w:r>
            <w:r w:rsidR="00BB5BF9" w:rsidRPr="006076EA">
              <w:t xml:space="preserve"> gallons</w:t>
            </w:r>
          </w:p>
        </w:tc>
      </w:tr>
      <w:tr w:rsidR="00BB5BF9" w:rsidRPr="007E19D5" w:rsidTr="007E19D5">
        <w:trPr>
          <w:trHeight w:val="403"/>
        </w:trPr>
        <w:tc>
          <w:tcPr>
            <w:tcW w:w="4826" w:type="dxa"/>
          </w:tcPr>
          <w:p w:rsidR="00BB5BF9" w:rsidRPr="006076EA" w:rsidRDefault="00BB5BF9" w:rsidP="007E19D5">
            <w:pPr>
              <w:spacing w:after="0" w:line="240" w:lineRule="auto"/>
            </w:pPr>
            <w:r w:rsidRPr="006076EA">
              <w:t>Natural Gas</w:t>
            </w:r>
          </w:p>
        </w:tc>
        <w:tc>
          <w:tcPr>
            <w:tcW w:w="4826" w:type="dxa"/>
          </w:tcPr>
          <w:p w:rsidR="00BB5BF9" w:rsidRPr="006076EA" w:rsidRDefault="00930D4B" w:rsidP="007E19D5">
            <w:pPr>
              <w:spacing w:after="0" w:line="240" w:lineRule="auto"/>
            </w:pPr>
            <w:r>
              <w:t>199,451</w:t>
            </w:r>
            <w:r w:rsidR="00BB5BF9" w:rsidRPr="006076EA">
              <w:t xml:space="preserve"> MMBtu</w:t>
            </w:r>
          </w:p>
        </w:tc>
      </w:tr>
    </w:tbl>
    <w:p w:rsidR="00BB5BF9" w:rsidRDefault="00BB5BF9" w:rsidP="00E25AB9">
      <w:pPr>
        <w:pStyle w:val="NormalWeb"/>
        <w:rPr>
          <w:rFonts w:ascii="Calibri" w:hAnsi="Calibri"/>
          <w:u w:val="single"/>
        </w:rPr>
      </w:pPr>
      <w:r>
        <w:rPr>
          <w:rFonts w:ascii="Calibri" w:hAnsi="Calibri"/>
          <w:u w:val="single"/>
        </w:rPr>
        <w:t>Scope Two</w:t>
      </w:r>
    </w:p>
    <w:p w:rsidR="00E736F9" w:rsidRPr="00E736F9" w:rsidRDefault="00E736F9" w:rsidP="00E736F9">
      <w:pPr>
        <w:rPr>
          <w:sz w:val="24"/>
          <w:szCs w:val="24"/>
        </w:rPr>
      </w:pPr>
      <w:r w:rsidRPr="0097744B">
        <w:rPr>
          <w:sz w:val="24"/>
          <w:szCs w:val="24"/>
        </w:rPr>
        <w:t>Purchased Electricity information was provided by</w:t>
      </w:r>
      <w:r>
        <w:rPr>
          <w:sz w:val="24"/>
          <w:szCs w:val="24"/>
        </w:rPr>
        <w:t xml:space="preserve"> </w:t>
      </w:r>
      <w:r w:rsidRPr="00E736F9">
        <w:rPr>
          <w:b/>
          <w:sz w:val="24"/>
          <w:szCs w:val="24"/>
        </w:rPr>
        <w:t xml:space="preserve">Hannah Morgan, Sustainability </w:t>
      </w:r>
      <w:r>
        <w:rPr>
          <w:b/>
          <w:sz w:val="24"/>
          <w:szCs w:val="24"/>
        </w:rPr>
        <w:t>Director</w:t>
      </w:r>
      <w:r w:rsidRPr="00E736F9">
        <w:rPr>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2"/>
        <w:gridCol w:w="1943"/>
      </w:tblGrid>
      <w:tr w:rsidR="00BB5BF9" w:rsidRPr="007E19D5" w:rsidTr="00AB1B87">
        <w:tc>
          <w:tcPr>
            <w:tcW w:w="2442" w:type="dxa"/>
          </w:tcPr>
          <w:p w:rsidR="00BB5BF9" w:rsidRPr="007E19D5" w:rsidRDefault="00BB5BF9" w:rsidP="00AB1B87">
            <w:r w:rsidRPr="007E19D5">
              <w:t xml:space="preserve">Purchased Electricity </w:t>
            </w:r>
          </w:p>
        </w:tc>
        <w:tc>
          <w:tcPr>
            <w:tcW w:w="1943" w:type="dxa"/>
          </w:tcPr>
          <w:p w:rsidR="00BB5BF9" w:rsidRPr="007E19D5" w:rsidRDefault="00930D4B" w:rsidP="00AB1B87">
            <w:r>
              <w:t>24,876,750</w:t>
            </w:r>
            <w:r w:rsidR="00BB5BF9" w:rsidRPr="007E19D5">
              <w:t xml:space="preserve"> kWh</w:t>
            </w:r>
          </w:p>
        </w:tc>
      </w:tr>
    </w:tbl>
    <w:p w:rsidR="00BB5BF9" w:rsidRDefault="00BB5BF9" w:rsidP="002E6198"/>
    <w:p w:rsidR="00BB5BF9" w:rsidRPr="0097744B" w:rsidRDefault="00BB5BF9" w:rsidP="002E6198">
      <w:pPr>
        <w:rPr>
          <w:rFonts w:cs="Times"/>
          <w:sz w:val="24"/>
          <w:szCs w:val="24"/>
        </w:rPr>
      </w:pPr>
      <w:r w:rsidRPr="0097744B">
        <w:rPr>
          <w:sz w:val="24"/>
          <w:szCs w:val="24"/>
        </w:rPr>
        <w:t>NYISO is the organization that provides the New York State grid with electrical energy. Due to the fact that SUNY Oneonta does not generate any electrical power on campus, the purchase of all electricity is a market-based, SUNY Central decision. This grid-purchased power is generated from a va</w:t>
      </w:r>
      <w:r w:rsidR="00DC5D4C">
        <w:rPr>
          <w:sz w:val="24"/>
          <w:szCs w:val="24"/>
        </w:rPr>
        <w:t>riety of sources including natural gas</w:t>
      </w:r>
      <w:r w:rsidRPr="00ED5614">
        <w:rPr>
          <w:rFonts w:cs="Times"/>
          <w:sz w:val="24"/>
          <w:szCs w:val="24"/>
        </w:rPr>
        <w:t xml:space="preserve">, </w:t>
      </w:r>
      <w:r w:rsidR="00DC5D4C">
        <w:rPr>
          <w:rFonts w:cs="Times"/>
          <w:sz w:val="24"/>
          <w:szCs w:val="24"/>
        </w:rPr>
        <w:t>biomass</w:t>
      </w:r>
      <w:r w:rsidRPr="00ED5614">
        <w:rPr>
          <w:rFonts w:cs="Times"/>
          <w:sz w:val="24"/>
          <w:szCs w:val="24"/>
        </w:rPr>
        <w:t>, and fossil fuels</w:t>
      </w:r>
      <w:r w:rsidRPr="0097744B">
        <w:rPr>
          <w:rFonts w:cs="Times"/>
          <w:sz w:val="24"/>
          <w:szCs w:val="24"/>
        </w:rPr>
        <w:t>.</w:t>
      </w:r>
    </w:p>
    <w:p w:rsidR="00BB5BF9" w:rsidRPr="006076EA" w:rsidRDefault="00BB5BF9" w:rsidP="006076EA">
      <w:pPr>
        <w:pStyle w:val="NormalWeb"/>
        <w:spacing w:line="276" w:lineRule="auto"/>
        <w:rPr>
          <w:rFonts w:ascii="Calibri" w:hAnsi="Calibri"/>
        </w:rPr>
      </w:pPr>
      <w:r w:rsidRPr="0097744B">
        <w:rPr>
          <w:rFonts w:ascii="Calibri" w:hAnsi="Calibri"/>
        </w:rPr>
        <w:lastRenderedPageBreak/>
        <w:t>The custom fuel mix option was used in the spreadsheet. The first step in determining the custom fuel blend was finding the campus location in the NYISO zone system. SUNY Oneonta is located</w:t>
      </w:r>
      <w:r w:rsidR="00DC5D4C">
        <w:rPr>
          <w:rFonts w:ascii="Calibri" w:hAnsi="Calibri"/>
        </w:rPr>
        <w:t xml:space="preserve"> within Zone E</w:t>
      </w:r>
      <w:r w:rsidRPr="0097744B">
        <w:rPr>
          <w:rFonts w:ascii="Calibri" w:hAnsi="Calibri"/>
        </w:rPr>
        <w:t>. The percentages of each generation source</w:t>
      </w:r>
      <w:r w:rsidR="00DC5D4C">
        <w:rPr>
          <w:rFonts w:ascii="Calibri" w:hAnsi="Calibri"/>
        </w:rPr>
        <w:t xml:space="preserve"> </w:t>
      </w:r>
      <w:r w:rsidRPr="0097744B">
        <w:rPr>
          <w:rFonts w:ascii="Calibri" w:hAnsi="Calibri"/>
        </w:rPr>
        <w:t xml:space="preserve">of the overall amount of electricity (MW) purchased by Zone E were calculated.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5"/>
        <w:gridCol w:w="939"/>
      </w:tblGrid>
      <w:tr w:rsidR="00BB5BF9" w:rsidRPr="007E19D5" w:rsidTr="00E25AB9">
        <w:tc>
          <w:tcPr>
            <w:tcW w:w="1375" w:type="dxa"/>
          </w:tcPr>
          <w:p w:rsidR="00BB5BF9" w:rsidRPr="007E19D5" w:rsidRDefault="00BB5BF9">
            <w:r w:rsidRPr="007E19D5">
              <w:t>Source</w:t>
            </w:r>
          </w:p>
        </w:tc>
        <w:tc>
          <w:tcPr>
            <w:tcW w:w="939" w:type="dxa"/>
          </w:tcPr>
          <w:p w:rsidR="00BB5BF9" w:rsidRPr="007E19D5" w:rsidRDefault="00BB5BF9">
            <w:r w:rsidRPr="007E19D5">
              <w:t>%</w:t>
            </w:r>
          </w:p>
        </w:tc>
      </w:tr>
      <w:tr w:rsidR="00BB5BF9" w:rsidRPr="007E19D5" w:rsidTr="00E25AB9">
        <w:tc>
          <w:tcPr>
            <w:tcW w:w="1375" w:type="dxa"/>
          </w:tcPr>
          <w:p w:rsidR="00BB5BF9" w:rsidRPr="007E19D5" w:rsidRDefault="00322DBC">
            <w:r>
              <w:t>Fuel Oil</w:t>
            </w:r>
          </w:p>
        </w:tc>
        <w:tc>
          <w:tcPr>
            <w:tcW w:w="939" w:type="dxa"/>
          </w:tcPr>
          <w:p w:rsidR="00BB5BF9" w:rsidRPr="007E19D5" w:rsidRDefault="00322DBC">
            <w:r>
              <w:t>22</w:t>
            </w:r>
          </w:p>
        </w:tc>
      </w:tr>
      <w:tr w:rsidR="00BB5BF9" w:rsidRPr="007E19D5" w:rsidTr="00E25AB9">
        <w:tc>
          <w:tcPr>
            <w:tcW w:w="1375" w:type="dxa"/>
          </w:tcPr>
          <w:p w:rsidR="00BB5BF9" w:rsidRPr="007E19D5" w:rsidRDefault="00BB5BF9">
            <w:r w:rsidRPr="007E19D5">
              <w:t>Natural Gas</w:t>
            </w:r>
          </w:p>
        </w:tc>
        <w:tc>
          <w:tcPr>
            <w:tcW w:w="939" w:type="dxa"/>
          </w:tcPr>
          <w:p w:rsidR="00BB5BF9" w:rsidRPr="007E19D5" w:rsidRDefault="00322DBC">
            <w:r>
              <w:t>55</w:t>
            </w:r>
          </w:p>
        </w:tc>
      </w:tr>
      <w:tr w:rsidR="00BB5BF9" w:rsidRPr="007E19D5" w:rsidTr="00E25AB9">
        <w:tc>
          <w:tcPr>
            <w:tcW w:w="1375" w:type="dxa"/>
          </w:tcPr>
          <w:p w:rsidR="00BB5BF9" w:rsidRPr="007E19D5" w:rsidRDefault="00BB5BF9">
            <w:r w:rsidRPr="007E19D5">
              <w:t>Biomass</w:t>
            </w:r>
          </w:p>
        </w:tc>
        <w:tc>
          <w:tcPr>
            <w:tcW w:w="939" w:type="dxa"/>
          </w:tcPr>
          <w:p w:rsidR="00BB5BF9" w:rsidRPr="007E19D5" w:rsidRDefault="00322DBC">
            <w:r>
              <w:t>18</w:t>
            </w:r>
          </w:p>
        </w:tc>
      </w:tr>
      <w:tr w:rsidR="00BB5BF9" w:rsidRPr="007E19D5" w:rsidTr="00E25AB9">
        <w:tc>
          <w:tcPr>
            <w:tcW w:w="1375" w:type="dxa"/>
          </w:tcPr>
          <w:p w:rsidR="00BB5BF9" w:rsidRPr="007E19D5" w:rsidRDefault="00322DBC">
            <w:r>
              <w:t xml:space="preserve">Other </w:t>
            </w:r>
          </w:p>
        </w:tc>
        <w:tc>
          <w:tcPr>
            <w:tcW w:w="939" w:type="dxa"/>
          </w:tcPr>
          <w:p w:rsidR="00BB5BF9" w:rsidRPr="007E19D5" w:rsidRDefault="00322DBC">
            <w:r>
              <w:t>5</w:t>
            </w:r>
          </w:p>
        </w:tc>
      </w:tr>
    </w:tbl>
    <w:p w:rsidR="00BB5BF9" w:rsidRDefault="00BB5BF9" w:rsidP="00BB58CF">
      <w:pPr>
        <w:pStyle w:val="NormalWeb"/>
        <w:outlineLvl w:val="0"/>
        <w:rPr>
          <w:rFonts w:ascii="Calibri" w:hAnsi="Calibri"/>
        </w:rPr>
      </w:pPr>
      <w:r>
        <w:rPr>
          <w:rFonts w:ascii="Calibri" w:hAnsi="Calibri"/>
          <w:u w:val="single"/>
        </w:rPr>
        <w:t>Scope Three</w:t>
      </w:r>
    </w:p>
    <w:p w:rsidR="00BB5BF9" w:rsidRDefault="00BB5BF9" w:rsidP="00E25AB9">
      <w:pPr>
        <w:pStyle w:val="NormalWeb"/>
        <w:rPr>
          <w:rFonts w:ascii="Calibri" w:hAnsi="Calibri"/>
        </w:rPr>
      </w:pPr>
      <w:r>
        <w:rPr>
          <w:rFonts w:ascii="Calibri" w:hAnsi="Calibri"/>
        </w:rPr>
        <w:t xml:space="preserve">Commuter Data was provided by </w:t>
      </w:r>
      <w:r w:rsidR="00152446">
        <w:rPr>
          <w:rFonts w:ascii="Calibri" w:hAnsi="Calibri"/>
          <w:b/>
        </w:rPr>
        <w:t xml:space="preserve">Philip </w:t>
      </w:r>
      <w:proofErr w:type="spellStart"/>
      <w:r w:rsidR="00152446">
        <w:rPr>
          <w:rFonts w:ascii="Calibri" w:hAnsi="Calibri"/>
          <w:b/>
        </w:rPr>
        <w:t>Sirianni</w:t>
      </w:r>
      <w:proofErr w:type="spellEnd"/>
      <w:r w:rsidR="00152446">
        <w:rPr>
          <w:rFonts w:ascii="Calibri" w:hAnsi="Calibri"/>
          <w:b/>
        </w:rPr>
        <w:t>, PH.D Assistant Professor of Economics</w:t>
      </w:r>
      <w:r>
        <w:rPr>
          <w:rFonts w:ascii="Calibri" w:hAnsi="Calibri"/>
        </w:rPr>
        <w:t>. Calculations were made based on the following estimates: students live within a five-mile radius, faculty live within a 25-mile radius and staff live within a ten-mile radius.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90"/>
        <w:gridCol w:w="3362"/>
      </w:tblGrid>
      <w:tr w:rsidR="00BB5BF9" w:rsidRPr="007E19D5" w:rsidTr="00E25AB9">
        <w:tc>
          <w:tcPr>
            <w:tcW w:w="4190" w:type="dxa"/>
          </w:tcPr>
          <w:p w:rsidR="00BB5BF9" w:rsidRPr="007E19D5" w:rsidRDefault="00BB5BF9">
            <w:pPr>
              <w:rPr>
                <w:b/>
              </w:rPr>
            </w:pPr>
            <w:r w:rsidRPr="007E19D5">
              <w:rPr>
                <w:b/>
              </w:rPr>
              <w:t>Students</w:t>
            </w:r>
          </w:p>
        </w:tc>
        <w:tc>
          <w:tcPr>
            <w:tcW w:w="3362" w:type="dxa"/>
          </w:tcPr>
          <w:p w:rsidR="00BB5BF9" w:rsidRPr="007E19D5" w:rsidRDefault="00BB5BF9"/>
        </w:tc>
      </w:tr>
      <w:tr w:rsidR="00BB5BF9" w:rsidRPr="007E19D5" w:rsidTr="00E25AB9">
        <w:tc>
          <w:tcPr>
            <w:tcW w:w="4190" w:type="dxa"/>
          </w:tcPr>
          <w:p w:rsidR="00BB5BF9" w:rsidRPr="007E19D5" w:rsidRDefault="00BB5BF9">
            <w:r w:rsidRPr="007E19D5">
              <w:t>Number of students with commuter passes</w:t>
            </w:r>
          </w:p>
        </w:tc>
        <w:tc>
          <w:tcPr>
            <w:tcW w:w="3362" w:type="dxa"/>
          </w:tcPr>
          <w:p w:rsidR="00BB5BF9" w:rsidRPr="007E19D5" w:rsidRDefault="00CB0F83">
            <w:r>
              <w:t>1,766</w:t>
            </w:r>
          </w:p>
        </w:tc>
      </w:tr>
      <w:tr w:rsidR="00BB5BF9" w:rsidRPr="007E19D5" w:rsidTr="00E25AB9">
        <w:tc>
          <w:tcPr>
            <w:tcW w:w="4190" w:type="dxa"/>
          </w:tcPr>
          <w:p w:rsidR="00BB5BF9" w:rsidRPr="007E19D5" w:rsidRDefault="00BB5BF9">
            <w:r w:rsidRPr="007E19D5">
              <w:t>Average Trips/Week</w:t>
            </w:r>
          </w:p>
        </w:tc>
        <w:tc>
          <w:tcPr>
            <w:tcW w:w="3362" w:type="dxa"/>
          </w:tcPr>
          <w:p w:rsidR="00BB5BF9" w:rsidRPr="007E19D5" w:rsidRDefault="00BB5BF9">
            <w:r w:rsidRPr="007E19D5">
              <w:t>10</w:t>
            </w:r>
          </w:p>
        </w:tc>
      </w:tr>
      <w:tr w:rsidR="00BB5BF9" w:rsidRPr="007E19D5" w:rsidTr="00E25AB9">
        <w:trPr>
          <w:trHeight w:val="188"/>
        </w:trPr>
        <w:tc>
          <w:tcPr>
            <w:tcW w:w="4190" w:type="dxa"/>
          </w:tcPr>
          <w:p w:rsidR="00BB5BF9" w:rsidRPr="007E19D5" w:rsidRDefault="00BB5BF9">
            <w:r w:rsidRPr="007E19D5">
              <w:t>Average Weeks/Year</w:t>
            </w:r>
          </w:p>
        </w:tc>
        <w:tc>
          <w:tcPr>
            <w:tcW w:w="3362" w:type="dxa"/>
          </w:tcPr>
          <w:p w:rsidR="00BB5BF9" w:rsidRPr="007E19D5" w:rsidRDefault="00BB5BF9">
            <w:r w:rsidRPr="007E19D5">
              <w:t xml:space="preserve">33 </w:t>
            </w:r>
          </w:p>
        </w:tc>
      </w:tr>
      <w:tr w:rsidR="00BB5BF9" w:rsidRPr="007E19D5" w:rsidTr="00E25AB9">
        <w:tc>
          <w:tcPr>
            <w:tcW w:w="4190" w:type="dxa"/>
          </w:tcPr>
          <w:p w:rsidR="00BB5BF9" w:rsidRPr="007E19D5" w:rsidRDefault="00BB5BF9">
            <w:r w:rsidRPr="007E19D5">
              <w:t>Average Miles/Trip</w:t>
            </w:r>
          </w:p>
        </w:tc>
        <w:tc>
          <w:tcPr>
            <w:tcW w:w="3362" w:type="dxa"/>
          </w:tcPr>
          <w:p w:rsidR="00BB5BF9" w:rsidRPr="007E19D5" w:rsidRDefault="00BB5BF9">
            <w:r w:rsidRPr="007E19D5">
              <w:t>5 miles</w:t>
            </w:r>
          </w:p>
        </w:tc>
      </w:tr>
      <w:tr w:rsidR="00BB5BF9" w:rsidRPr="007E19D5" w:rsidTr="00E25AB9">
        <w:trPr>
          <w:trHeight w:val="368"/>
        </w:trPr>
        <w:tc>
          <w:tcPr>
            <w:tcW w:w="4190" w:type="dxa"/>
          </w:tcPr>
          <w:p w:rsidR="00BB5BF9" w:rsidRPr="007E19D5" w:rsidRDefault="00BB5BF9">
            <w:pPr>
              <w:rPr>
                <w:b/>
              </w:rPr>
            </w:pPr>
            <w:r w:rsidRPr="007E19D5">
              <w:rPr>
                <w:b/>
              </w:rPr>
              <w:t>Faculty</w:t>
            </w:r>
          </w:p>
        </w:tc>
        <w:tc>
          <w:tcPr>
            <w:tcW w:w="3362" w:type="dxa"/>
          </w:tcPr>
          <w:p w:rsidR="00BB5BF9" w:rsidRPr="007E19D5" w:rsidRDefault="00BB5BF9"/>
        </w:tc>
      </w:tr>
      <w:tr w:rsidR="00BB5BF9" w:rsidRPr="007E19D5" w:rsidTr="00E25AB9">
        <w:trPr>
          <w:trHeight w:val="710"/>
        </w:trPr>
        <w:tc>
          <w:tcPr>
            <w:tcW w:w="4190" w:type="dxa"/>
          </w:tcPr>
          <w:p w:rsidR="00BB5BF9" w:rsidRPr="007E19D5" w:rsidRDefault="00BB5BF9">
            <w:r w:rsidRPr="007E19D5">
              <w:t>Number of Faculty with commuter passes</w:t>
            </w:r>
          </w:p>
        </w:tc>
        <w:tc>
          <w:tcPr>
            <w:tcW w:w="3362" w:type="dxa"/>
          </w:tcPr>
          <w:p w:rsidR="00BB5BF9" w:rsidRPr="007E19D5" w:rsidRDefault="00BB5BF9">
            <w:r w:rsidRPr="007E19D5">
              <w:t>1082 (buying a</w:t>
            </w:r>
            <w:r w:rsidR="0054067D">
              <w:t>n</w:t>
            </w:r>
            <w:r w:rsidRPr="007E19D5">
              <w:t xml:space="preserve"> average of 2-3 decals)</w:t>
            </w:r>
          </w:p>
        </w:tc>
      </w:tr>
      <w:tr w:rsidR="00BB5BF9" w:rsidRPr="007E19D5" w:rsidTr="00E25AB9">
        <w:tc>
          <w:tcPr>
            <w:tcW w:w="4190" w:type="dxa"/>
          </w:tcPr>
          <w:p w:rsidR="00BB5BF9" w:rsidRPr="007E19D5" w:rsidRDefault="00BB5BF9">
            <w:r w:rsidRPr="007E19D5">
              <w:t>Average trips/ week</w:t>
            </w:r>
          </w:p>
        </w:tc>
        <w:tc>
          <w:tcPr>
            <w:tcW w:w="3362" w:type="dxa"/>
          </w:tcPr>
          <w:p w:rsidR="00BB5BF9" w:rsidRPr="007E19D5" w:rsidRDefault="00BB5BF9">
            <w:r w:rsidRPr="007E19D5">
              <w:t>10</w:t>
            </w:r>
          </w:p>
        </w:tc>
      </w:tr>
      <w:tr w:rsidR="00BB5BF9" w:rsidRPr="007E19D5" w:rsidTr="00E25AB9">
        <w:tc>
          <w:tcPr>
            <w:tcW w:w="4190" w:type="dxa"/>
          </w:tcPr>
          <w:p w:rsidR="00BB5BF9" w:rsidRPr="007E19D5" w:rsidRDefault="00BB5BF9">
            <w:r w:rsidRPr="007E19D5">
              <w:t>Average weeks/year</w:t>
            </w:r>
          </w:p>
        </w:tc>
        <w:tc>
          <w:tcPr>
            <w:tcW w:w="3362" w:type="dxa"/>
          </w:tcPr>
          <w:p w:rsidR="00BB5BF9" w:rsidRPr="007E19D5" w:rsidRDefault="00BB5BF9">
            <w:r w:rsidRPr="007E19D5">
              <w:t>35</w:t>
            </w:r>
          </w:p>
        </w:tc>
      </w:tr>
      <w:tr w:rsidR="00BB5BF9" w:rsidRPr="007E19D5" w:rsidTr="00E25AB9">
        <w:tc>
          <w:tcPr>
            <w:tcW w:w="4190" w:type="dxa"/>
          </w:tcPr>
          <w:p w:rsidR="00BB5BF9" w:rsidRPr="007E19D5" w:rsidRDefault="00BB5BF9">
            <w:pPr>
              <w:tabs>
                <w:tab w:val="right" w:pos="3974"/>
              </w:tabs>
            </w:pPr>
            <w:r w:rsidRPr="007E19D5">
              <w:t>Average miles/trip</w:t>
            </w:r>
            <w:r w:rsidRPr="007E19D5">
              <w:tab/>
            </w:r>
          </w:p>
        </w:tc>
        <w:tc>
          <w:tcPr>
            <w:tcW w:w="3362" w:type="dxa"/>
          </w:tcPr>
          <w:p w:rsidR="00BB5BF9" w:rsidRPr="007E19D5" w:rsidRDefault="00BB5BF9">
            <w:r w:rsidRPr="007E19D5">
              <w:t>25 miles</w:t>
            </w:r>
          </w:p>
        </w:tc>
      </w:tr>
      <w:tr w:rsidR="00BB5BF9" w:rsidRPr="007E19D5" w:rsidTr="00E25AB9">
        <w:tc>
          <w:tcPr>
            <w:tcW w:w="4190" w:type="dxa"/>
          </w:tcPr>
          <w:p w:rsidR="00BB5BF9" w:rsidRPr="007E19D5" w:rsidRDefault="00BB5BF9">
            <w:pPr>
              <w:tabs>
                <w:tab w:val="right" w:pos="3974"/>
              </w:tabs>
              <w:rPr>
                <w:b/>
              </w:rPr>
            </w:pPr>
            <w:r w:rsidRPr="007E19D5">
              <w:rPr>
                <w:b/>
              </w:rPr>
              <w:t>Staff</w:t>
            </w:r>
          </w:p>
        </w:tc>
        <w:tc>
          <w:tcPr>
            <w:tcW w:w="3362" w:type="dxa"/>
          </w:tcPr>
          <w:p w:rsidR="00BB5BF9" w:rsidRPr="007E19D5" w:rsidRDefault="00BB5BF9"/>
        </w:tc>
      </w:tr>
      <w:tr w:rsidR="00BB5BF9" w:rsidRPr="007E19D5" w:rsidTr="00E25AB9">
        <w:tc>
          <w:tcPr>
            <w:tcW w:w="4190" w:type="dxa"/>
          </w:tcPr>
          <w:p w:rsidR="00BB5BF9" w:rsidRPr="007E19D5" w:rsidRDefault="00BB5BF9">
            <w:r w:rsidRPr="007E19D5">
              <w:lastRenderedPageBreak/>
              <w:t>Number of Staff with commuter passes</w:t>
            </w:r>
          </w:p>
        </w:tc>
        <w:tc>
          <w:tcPr>
            <w:tcW w:w="3362" w:type="dxa"/>
          </w:tcPr>
          <w:p w:rsidR="00BB5BF9" w:rsidRPr="007E19D5" w:rsidRDefault="00BB5BF9">
            <w:r w:rsidRPr="007E19D5">
              <w:t>796 (buying a</w:t>
            </w:r>
            <w:r w:rsidR="0054067D">
              <w:t>n</w:t>
            </w:r>
            <w:r w:rsidRPr="007E19D5">
              <w:t xml:space="preserve"> average of 2 decals)</w:t>
            </w:r>
          </w:p>
        </w:tc>
      </w:tr>
      <w:tr w:rsidR="00BB5BF9" w:rsidRPr="007E19D5" w:rsidTr="00E25AB9">
        <w:tc>
          <w:tcPr>
            <w:tcW w:w="4190" w:type="dxa"/>
          </w:tcPr>
          <w:p w:rsidR="00BB5BF9" w:rsidRPr="007E19D5" w:rsidRDefault="00BB5BF9">
            <w:r w:rsidRPr="007E19D5">
              <w:t>Average trips/week</w:t>
            </w:r>
          </w:p>
        </w:tc>
        <w:tc>
          <w:tcPr>
            <w:tcW w:w="3362" w:type="dxa"/>
          </w:tcPr>
          <w:p w:rsidR="00BB5BF9" w:rsidRPr="007E19D5" w:rsidRDefault="00BB5BF9">
            <w:r w:rsidRPr="007E19D5">
              <w:t>10</w:t>
            </w:r>
          </w:p>
        </w:tc>
      </w:tr>
      <w:tr w:rsidR="00BB5BF9" w:rsidRPr="007E19D5" w:rsidTr="00E25AB9">
        <w:tc>
          <w:tcPr>
            <w:tcW w:w="4190" w:type="dxa"/>
          </w:tcPr>
          <w:p w:rsidR="00BB5BF9" w:rsidRPr="007E19D5" w:rsidRDefault="00BB5BF9">
            <w:r w:rsidRPr="007E19D5">
              <w:t>Average weeks/year</w:t>
            </w:r>
          </w:p>
        </w:tc>
        <w:tc>
          <w:tcPr>
            <w:tcW w:w="3362" w:type="dxa"/>
          </w:tcPr>
          <w:p w:rsidR="00BB5BF9" w:rsidRPr="007E19D5" w:rsidRDefault="00BB5BF9">
            <w:r w:rsidRPr="007E19D5">
              <w:t>52</w:t>
            </w:r>
          </w:p>
        </w:tc>
      </w:tr>
      <w:tr w:rsidR="00BB5BF9" w:rsidRPr="007E19D5" w:rsidTr="00E25AB9">
        <w:tc>
          <w:tcPr>
            <w:tcW w:w="4190" w:type="dxa"/>
          </w:tcPr>
          <w:p w:rsidR="00BB5BF9" w:rsidRPr="007E19D5" w:rsidRDefault="00BB5BF9">
            <w:r w:rsidRPr="007E19D5">
              <w:t>Average miles/trip</w:t>
            </w:r>
          </w:p>
        </w:tc>
        <w:tc>
          <w:tcPr>
            <w:tcW w:w="3362" w:type="dxa"/>
          </w:tcPr>
          <w:p w:rsidR="00BB5BF9" w:rsidRPr="007E19D5" w:rsidRDefault="00BB5BF9">
            <w:r w:rsidRPr="007E19D5">
              <w:t>10 miles</w:t>
            </w:r>
          </w:p>
        </w:tc>
      </w:tr>
    </w:tbl>
    <w:p w:rsidR="00BB5BF9" w:rsidRDefault="00BB5BF9" w:rsidP="00E25AB9">
      <w:pPr>
        <w:pStyle w:val="NormalWeb"/>
        <w:rPr>
          <w:rFonts w:ascii="Calibri" w:hAnsi="Calibri"/>
        </w:rPr>
      </w:pPr>
      <w:r>
        <w:rPr>
          <w:rFonts w:ascii="Calibri" w:hAnsi="Calibri"/>
        </w:rPr>
        <w:t xml:space="preserve">Public transit data was provided by </w:t>
      </w:r>
      <w:r w:rsidR="004C092E">
        <w:rPr>
          <w:rFonts w:ascii="Calibri" w:hAnsi="Calibri"/>
          <w:b/>
        </w:rPr>
        <w:t>Bonnie Robinson</w:t>
      </w:r>
      <w:r w:rsidR="0054067D">
        <w:rPr>
          <w:rFonts w:ascii="Calibri" w:hAnsi="Calibri"/>
          <w:b/>
        </w:rPr>
        <w:t>, Administrative Assistant</w:t>
      </w:r>
      <w:r>
        <w:rPr>
          <w:rFonts w:ascii="Calibri" w:hAnsi="Calibri"/>
        </w:rPr>
        <w:t xml:space="preserve">. This information is from the SA financed OPT bus route.  </w:t>
      </w:r>
      <w:r w:rsidR="004C092E">
        <w:rPr>
          <w:rFonts w:ascii="Calibri" w:hAnsi="Calibri"/>
        </w:rPr>
        <w:t>Mrs. Robinson</w:t>
      </w:r>
      <w:r>
        <w:rPr>
          <w:rFonts w:ascii="Calibri" w:hAnsi="Calibri"/>
        </w:rPr>
        <w:t xml:space="preserve"> provided a “Route Summ</w:t>
      </w:r>
      <w:r w:rsidR="004C092E">
        <w:rPr>
          <w:rFonts w:ascii="Calibri" w:hAnsi="Calibri"/>
        </w:rPr>
        <w:t>ary Report” from January 1, 2013 thru December 31, 2014</w:t>
      </w:r>
      <w:r>
        <w:rPr>
          <w:rFonts w:ascii="Calibri" w:hAnsi="Calibri"/>
        </w:rPr>
        <w:t>. This document tabulated the number of card swipes per day on the SUCO Day and night bus routes.  The average number of swipes per day and night (assumed 2 swipes per student per day) were used to calculate the percentage of student bus riders of the total number of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3"/>
        <w:gridCol w:w="1216"/>
      </w:tblGrid>
      <w:tr w:rsidR="00BB5BF9" w:rsidRPr="007E19D5" w:rsidTr="00E25AB9">
        <w:tc>
          <w:tcPr>
            <w:tcW w:w="3243" w:type="dxa"/>
          </w:tcPr>
          <w:p w:rsidR="00BB5BF9" w:rsidRPr="007E19D5" w:rsidRDefault="00BB5BF9">
            <w:r w:rsidRPr="007E19D5">
              <w:t>% of students that ride the bus</w:t>
            </w:r>
          </w:p>
        </w:tc>
        <w:tc>
          <w:tcPr>
            <w:tcW w:w="1216" w:type="dxa"/>
          </w:tcPr>
          <w:p w:rsidR="00BB5BF9" w:rsidRPr="007E19D5" w:rsidRDefault="00BB5BF9">
            <w:r w:rsidRPr="007E19D5">
              <w:t>13%</w:t>
            </w:r>
          </w:p>
        </w:tc>
      </w:tr>
      <w:tr w:rsidR="00BB5BF9" w:rsidRPr="007E19D5" w:rsidTr="00E25AB9">
        <w:tc>
          <w:tcPr>
            <w:tcW w:w="3243" w:type="dxa"/>
          </w:tcPr>
          <w:p w:rsidR="00BB5BF9" w:rsidRPr="007E19D5" w:rsidRDefault="00BB5BF9">
            <w:r w:rsidRPr="007E19D5">
              <w:t>Average trips/week</w:t>
            </w:r>
          </w:p>
        </w:tc>
        <w:tc>
          <w:tcPr>
            <w:tcW w:w="1216" w:type="dxa"/>
          </w:tcPr>
          <w:p w:rsidR="00BB5BF9" w:rsidRPr="007E19D5" w:rsidRDefault="00BB5BF9">
            <w:r w:rsidRPr="007E19D5">
              <w:t>10</w:t>
            </w:r>
          </w:p>
        </w:tc>
      </w:tr>
      <w:tr w:rsidR="00BB5BF9" w:rsidRPr="007E19D5" w:rsidTr="00E25AB9">
        <w:tc>
          <w:tcPr>
            <w:tcW w:w="3243" w:type="dxa"/>
          </w:tcPr>
          <w:p w:rsidR="00BB5BF9" w:rsidRPr="007E19D5" w:rsidRDefault="00BB5BF9">
            <w:r w:rsidRPr="007E19D5">
              <w:t>Average weeks/year</w:t>
            </w:r>
          </w:p>
        </w:tc>
        <w:tc>
          <w:tcPr>
            <w:tcW w:w="1216" w:type="dxa"/>
          </w:tcPr>
          <w:p w:rsidR="00BB5BF9" w:rsidRPr="007E19D5" w:rsidRDefault="00BB5BF9">
            <w:r w:rsidRPr="007E19D5">
              <w:t>33</w:t>
            </w:r>
          </w:p>
        </w:tc>
      </w:tr>
      <w:tr w:rsidR="00BB5BF9" w:rsidRPr="007E19D5" w:rsidTr="00E25AB9">
        <w:tc>
          <w:tcPr>
            <w:tcW w:w="3243" w:type="dxa"/>
          </w:tcPr>
          <w:p w:rsidR="00BB5BF9" w:rsidRPr="007E19D5" w:rsidRDefault="00BB5BF9">
            <w:r w:rsidRPr="007E19D5">
              <w:t>Average miles/trip</w:t>
            </w:r>
          </w:p>
        </w:tc>
        <w:tc>
          <w:tcPr>
            <w:tcW w:w="1216" w:type="dxa"/>
          </w:tcPr>
          <w:p w:rsidR="00BB5BF9" w:rsidRPr="007E19D5" w:rsidRDefault="00BB5BF9">
            <w:r w:rsidRPr="007E19D5">
              <w:t>7.2 miles</w:t>
            </w:r>
          </w:p>
        </w:tc>
      </w:tr>
    </w:tbl>
    <w:p w:rsidR="00BB5BF9" w:rsidRDefault="00BB5BF9" w:rsidP="00E25AB9">
      <w:pPr>
        <w:pStyle w:val="NormalWeb"/>
        <w:rPr>
          <w:rFonts w:ascii="Calibri" w:hAnsi="Calibri"/>
        </w:rPr>
      </w:pPr>
      <w:r>
        <w:rPr>
          <w:rFonts w:ascii="Calibri" w:hAnsi="Calibri"/>
        </w:rPr>
        <w:t xml:space="preserve">Directly financed outsourced travel information was provided by </w:t>
      </w:r>
      <w:r>
        <w:rPr>
          <w:rFonts w:ascii="Calibri" w:hAnsi="Calibri"/>
          <w:b/>
        </w:rPr>
        <w:t>Terri Thomas, Airfare Coordinator, Accounting</w:t>
      </w:r>
      <w:r w:rsidR="00152446">
        <w:rPr>
          <w:rFonts w:ascii="Calibri" w:hAnsi="Calibri"/>
        </w:rPr>
        <w:t xml:space="preserve">.  </w:t>
      </w:r>
      <w:r w:rsidR="00C910B5">
        <w:rPr>
          <w:rFonts w:ascii="Calibri" w:hAnsi="Calibri"/>
        </w:rPr>
        <w:t>Calculations for</w:t>
      </w:r>
      <w:r w:rsidR="00152446">
        <w:rPr>
          <w:rFonts w:ascii="Calibri" w:hAnsi="Calibri"/>
        </w:rPr>
        <w:t xml:space="preserve"> bus, train</w:t>
      </w:r>
      <w:r>
        <w:rPr>
          <w:rFonts w:ascii="Calibri" w:hAnsi="Calibri"/>
        </w:rPr>
        <w:t xml:space="preserve">, </w:t>
      </w:r>
      <w:r w:rsidR="00152446">
        <w:rPr>
          <w:rFonts w:ascii="Calibri" w:hAnsi="Calibri"/>
        </w:rPr>
        <w:t>and taxi</w:t>
      </w:r>
      <w:r>
        <w:rPr>
          <w:rFonts w:ascii="Calibri" w:hAnsi="Calibri"/>
        </w:rPr>
        <w:t xml:space="preserve"> and rental </w:t>
      </w:r>
      <w:r w:rsidR="00152446">
        <w:rPr>
          <w:rFonts w:ascii="Calibri" w:hAnsi="Calibri"/>
        </w:rPr>
        <w:t>car mileage</w:t>
      </w:r>
      <w:r w:rsidR="00C910B5">
        <w:rPr>
          <w:rFonts w:ascii="Calibri" w:hAnsi="Calibri"/>
        </w:rPr>
        <w:t xml:space="preserve"> were estimated using MapQuest.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2"/>
        <w:gridCol w:w="1876"/>
      </w:tblGrid>
      <w:tr w:rsidR="00BB5BF9" w:rsidRPr="007E19D5" w:rsidTr="00E25AB9">
        <w:tc>
          <w:tcPr>
            <w:tcW w:w="3122" w:type="dxa"/>
          </w:tcPr>
          <w:p w:rsidR="00BB5BF9" w:rsidRPr="007E19D5" w:rsidRDefault="00BB5BF9">
            <w:r w:rsidRPr="007E19D5">
              <w:t>Air Travel</w:t>
            </w:r>
          </w:p>
        </w:tc>
        <w:tc>
          <w:tcPr>
            <w:tcW w:w="1876" w:type="dxa"/>
          </w:tcPr>
          <w:p w:rsidR="00BB5BF9" w:rsidRPr="007E19D5" w:rsidRDefault="004C092E">
            <w:r>
              <w:t>908,421</w:t>
            </w:r>
            <w:r w:rsidR="00BB5BF9" w:rsidRPr="007E19D5">
              <w:t xml:space="preserve"> miles</w:t>
            </w:r>
          </w:p>
        </w:tc>
      </w:tr>
      <w:tr w:rsidR="00BB5BF9" w:rsidRPr="007E19D5" w:rsidTr="00E25AB9">
        <w:tc>
          <w:tcPr>
            <w:tcW w:w="3122" w:type="dxa"/>
          </w:tcPr>
          <w:p w:rsidR="00BB5BF9" w:rsidRPr="007E19D5" w:rsidRDefault="00BB5BF9">
            <w:r w:rsidRPr="007E19D5">
              <w:t>Train</w:t>
            </w:r>
          </w:p>
        </w:tc>
        <w:tc>
          <w:tcPr>
            <w:tcW w:w="1876" w:type="dxa"/>
          </w:tcPr>
          <w:p w:rsidR="00BB5BF9" w:rsidRPr="007E19D5" w:rsidRDefault="00322DBC">
            <w:r>
              <w:t xml:space="preserve">1,200 </w:t>
            </w:r>
            <w:r w:rsidR="00BB5BF9" w:rsidRPr="007E19D5">
              <w:t>miles</w:t>
            </w:r>
          </w:p>
        </w:tc>
      </w:tr>
      <w:tr w:rsidR="00BB5BF9" w:rsidRPr="007E19D5" w:rsidTr="00E25AB9">
        <w:tc>
          <w:tcPr>
            <w:tcW w:w="3122" w:type="dxa"/>
          </w:tcPr>
          <w:p w:rsidR="00BB5BF9" w:rsidRPr="007E19D5" w:rsidRDefault="00BB5BF9">
            <w:r w:rsidRPr="007E19D5">
              <w:t>Taxi/Rental Car</w:t>
            </w:r>
          </w:p>
        </w:tc>
        <w:tc>
          <w:tcPr>
            <w:tcW w:w="1876" w:type="dxa"/>
          </w:tcPr>
          <w:p w:rsidR="00BB5BF9" w:rsidRPr="007E19D5" w:rsidRDefault="00322DBC">
            <w:r>
              <w:t>68,800</w:t>
            </w:r>
            <w:r w:rsidR="00BB5BF9" w:rsidRPr="007E19D5">
              <w:t xml:space="preserve"> miles</w:t>
            </w:r>
          </w:p>
        </w:tc>
      </w:tr>
      <w:tr w:rsidR="00BB5BF9" w:rsidRPr="007E19D5" w:rsidTr="00E25AB9">
        <w:tc>
          <w:tcPr>
            <w:tcW w:w="3122" w:type="dxa"/>
          </w:tcPr>
          <w:p w:rsidR="00BB5BF9" w:rsidRPr="007E19D5" w:rsidRDefault="00BB5BF9">
            <w:r w:rsidRPr="007E19D5">
              <w:t>Bus</w:t>
            </w:r>
          </w:p>
        </w:tc>
        <w:tc>
          <w:tcPr>
            <w:tcW w:w="1876" w:type="dxa"/>
          </w:tcPr>
          <w:p w:rsidR="00BB5BF9" w:rsidRPr="007E19D5" w:rsidRDefault="004C092E">
            <w:r>
              <w:t>417,480 miles</w:t>
            </w:r>
          </w:p>
        </w:tc>
      </w:tr>
    </w:tbl>
    <w:p w:rsidR="00BB5BF9" w:rsidRDefault="00CB0F83" w:rsidP="00E25AB9">
      <w:pPr>
        <w:pStyle w:val="NormalWeb"/>
        <w:rPr>
          <w:rFonts w:ascii="Calibri" w:hAnsi="Calibri"/>
        </w:rPr>
      </w:pPr>
      <w:r>
        <w:rPr>
          <w:rFonts w:ascii="Calibri" w:hAnsi="Calibri"/>
          <w:b/>
        </w:rPr>
        <w:t xml:space="preserve">Katie </w:t>
      </w:r>
      <w:proofErr w:type="spellStart"/>
      <w:r>
        <w:rPr>
          <w:rFonts w:ascii="Calibri" w:hAnsi="Calibri"/>
          <w:b/>
        </w:rPr>
        <w:t>Bronk</w:t>
      </w:r>
      <w:proofErr w:type="spellEnd"/>
      <w:r w:rsidR="00BB5BF9">
        <w:rPr>
          <w:rFonts w:ascii="Calibri" w:hAnsi="Calibri"/>
          <w:b/>
        </w:rPr>
        <w:t>, Coordinator of Study Abroad</w:t>
      </w:r>
      <w:r w:rsidR="00BB5BF9">
        <w:rPr>
          <w:rFonts w:ascii="Calibri" w:hAnsi="Calibri"/>
        </w:rPr>
        <w:t>, provided the student air mileage.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9"/>
        <w:gridCol w:w="1696"/>
      </w:tblGrid>
      <w:tr w:rsidR="00BB5BF9" w:rsidRPr="007E19D5" w:rsidTr="00E25AB9">
        <w:tc>
          <w:tcPr>
            <w:tcW w:w="3549" w:type="dxa"/>
          </w:tcPr>
          <w:p w:rsidR="00BB5BF9" w:rsidRPr="007E19D5" w:rsidRDefault="00BB5BF9">
            <w:r w:rsidRPr="007E19D5">
              <w:t>Study Abroad Travel by Students</w:t>
            </w:r>
          </w:p>
        </w:tc>
        <w:tc>
          <w:tcPr>
            <w:tcW w:w="1696" w:type="dxa"/>
          </w:tcPr>
          <w:p w:rsidR="00BB5BF9" w:rsidRPr="007E19D5" w:rsidRDefault="00CB0F83">
            <w:r>
              <w:t>908,421</w:t>
            </w:r>
            <w:r w:rsidR="00BB5BF9" w:rsidRPr="007E19D5">
              <w:t xml:space="preserve"> miles</w:t>
            </w:r>
          </w:p>
        </w:tc>
      </w:tr>
    </w:tbl>
    <w:p w:rsidR="00BB5BF9" w:rsidRDefault="00BB5BF9" w:rsidP="00E25AB9">
      <w:pPr>
        <w:pStyle w:val="NormalWeb"/>
        <w:rPr>
          <w:rFonts w:ascii="Calibri" w:hAnsi="Calibri"/>
        </w:rPr>
      </w:pPr>
      <w:r>
        <w:rPr>
          <w:rFonts w:ascii="Calibri" w:hAnsi="Calibri"/>
        </w:rPr>
        <w:t xml:space="preserve">Solid waste information was provided by </w:t>
      </w:r>
      <w:r w:rsidR="00322C4A" w:rsidRPr="00322C4A">
        <w:rPr>
          <w:rFonts w:ascii="Calibri" w:hAnsi="Calibri"/>
          <w:b/>
        </w:rPr>
        <w:t>Hannah Morgan, Sustainability Director.</w:t>
      </w:r>
      <w:r w:rsidR="00322C4A" w:rsidRPr="00322C4A">
        <w:rPr>
          <w:rFonts w:ascii="Calibri" w:hAnsi="Calibri"/>
        </w:rPr>
        <w:t xml:space="preserve"> </w:t>
      </w:r>
      <w:r>
        <w:rPr>
          <w:rFonts w:ascii="Calibri" w:hAnsi="Calibri"/>
        </w:rPr>
        <w:t>Solid waste is disposed of in a privately owned landfill that do</w:t>
      </w:r>
      <w:r w:rsidR="008F31DC">
        <w:rPr>
          <w:rFonts w:ascii="Calibri" w:hAnsi="Calibri"/>
        </w:rPr>
        <w:t>es not capture and use methane.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0"/>
        <w:gridCol w:w="2191"/>
      </w:tblGrid>
      <w:tr w:rsidR="00BB5BF9" w:rsidRPr="007E19D5" w:rsidTr="007E19D5">
        <w:tc>
          <w:tcPr>
            <w:tcW w:w="1630" w:type="dxa"/>
          </w:tcPr>
          <w:p w:rsidR="00BB5BF9" w:rsidRPr="007E19D5" w:rsidRDefault="00BB5BF9" w:rsidP="007E19D5">
            <w:pPr>
              <w:pStyle w:val="NormalWeb"/>
              <w:rPr>
                <w:rFonts w:ascii="Calibri" w:hAnsi="Calibri"/>
                <w:sz w:val="22"/>
                <w:szCs w:val="22"/>
              </w:rPr>
            </w:pPr>
            <w:r w:rsidRPr="007E19D5">
              <w:rPr>
                <w:rFonts w:ascii="Calibri" w:hAnsi="Calibri"/>
                <w:sz w:val="22"/>
                <w:szCs w:val="22"/>
              </w:rPr>
              <w:lastRenderedPageBreak/>
              <w:t>Solid Waste</w:t>
            </w:r>
          </w:p>
        </w:tc>
        <w:tc>
          <w:tcPr>
            <w:tcW w:w="2191" w:type="dxa"/>
          </w:tcPr>
          <w:p w:rsidR="00BB5BF9" w:rsidRPr="007E19D5" w:rsidRDefault="00930D4B" w:rsidP="007E19D5">
            <w:pPr>
              <w:pStyle w:val="NormalWeb"/>
              <w:rPr>
                <w:rFonts w:ascii="Calibri" w:hAnsi="Calibri"/>
                <w:sz w:val="22"/>
                <w:szCs w:val="22"/>
              </w:rPr>
            </w:pPr>
            <w:r>
              <w:rPr>
                <w:rFonts w:ascii="Calibri" w:hAnsi="Calibri"/>
                <w:sz w:val="22"/>
                <w:szCs w:val="22"/>
              </w:rPr>
              <w:t>857</w:t>
            </w:r>
            <w:r w:rsidR="00BB5BF9" w:rsidRPr="007E19D5">
              <w:rPr>
                <w:rFonts w:ascii="Calibri" w:hAnsi="Calibri"/>
                <w:sz w:val="22"/>
                <w:szCs w:val="22"/>
              </w:rPr>
              <w:t xml:space="preserve"> Tons</w:t>
            </w:r>
          </w:p>
        </w:tc>
      </w:tr>
    </w:tbl>
    <w:p w:rsidR="00BB5BF9" w:rsidRPr="0054067D" w:rsidRDefault="00BB5BF9" w:rsidP="00CB0F83">
      <w:pPr>
        <w:pStyle w:val="NormalWeb"/>
        <w:rPr>
          <w:rFonts w:ascii="Calibri" w:hAnsi="Calibri"/>
        </w:rPr>
      </w:pPr>
      <w:r w:rsidRPr="0054067D">
        <w:rPr>
          <w:rFonts w:ascii="Calibri" w:hAnsi="Calibri"/>
        </w:rPr>
        <w:t>A short ton is a u</w:t>
      </w:r>
      <w:r w:rsidR="00CB0F83" w:rsidRPr="0054067D">
        <w:rPr>
          <w:rFonts w:ascii="Calibri" w:hAnsi="Calibri"/>
        </w:rPr>
        <w:t>nit of weigh equal to 2000 lbs.</w:t>
      </w:r>
    </w:p>
    <w:p w:rsidR="00BB5BF9" w:rsidRPr="00C47BEC" w:rsidRDefault="00BB5BF9" w:rsidP="00BB58CF">
      <w:pPr>
        <w:outlineLvl w:val="0"/>
        <w:rPr>
          <w:b/>
          <w:sz w:val="32"/>
          <w:szCs w:val="32"/>
        </w:rPr>
      </w:pPr>
      <w:r w:rsidRPr="00C47BEC">
        <w:rPr>
          <w:b/>
          <w:sz w:val="32"/>
          <w:szCs w:val="32"/>
        </w:rPr>
        <w:t>Emissions by Scope</w:t>
      </w:r>
    </w:p>
    <w:p w:rsidR="00BB5BF9" w:rsidRPr="00640535" w:rsidRDefault="00BB5BF9" w:rsidP="00E25AB9">
      <w:pPr>
        <w:rPr>
          <w:b/>
          <w:sz w:val="28"/>
          <w:szCs w:val="28"/>
        </w:rPr>
      </w:pPr>
      <w:r w:rsidRPr="00640535">
        <w:rPr>
          <w:sz w:val="24"/>
          <w:szCs w:val="24"/>
        </w:rPr>
        <w:t>The following chart contains information that was calculated by multiplying raw data by co-</w:t>
      </w:r>
      <w:proofErr w:type="spellStart"/>
      <w:r w:rsidR="00933B26" w:rsidRPr="00640535">
        <w:rPr>
          <w:sz w:val="24"/>
          <w:szCs w:val="24"/>
        </w:rPr>
        <w:t>efficient</w:t>
      </w:r>
      <w:r w:rsidR="00933B26">
        <w:rPr>
          <w:sz w:val="24"/>
          <w:szCs w:val="24"/>
        </w:rPr>
        <w:t>s</w:t>
      </w:r>
      <w:proofErr w:type="spellEnd"/>
      <w:r w:rsidRPr="00640535">
        <w:rPr>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BB5BF9" w:rsidRPr="007E19D5" w:rsidTr="00CF77C0">
        <w:tc>
          <w:tcPr>
            <w:tcW w:w="4428" w:type="dxa"/>
          </w:tcPr>
          <w:p w:rsidR="00BB5BF9" w:rsidRPr="007E19D5" w:rsidRDefault="00BB5BF9" w:rsidP="00CF77C0">
            <w:pPr>
              <w:rPr>
                <w:b/>
              </w:rPr>
            </w:pPr>
            <w:r w:rsidRPr="007E19D5">
              <w:rPr>
                <w:b/>
              </w:rPr>
              <w:t>Scope 1</w:t>
            </w:r>
          </w:p>
        </w:tc>
        <w:tc>
          <w:tcPr>
            <w:tcW w:w="4428" w:type="dxa"/>
          </w:tcPr>
          <w:p w:rsidR="00BB5BF9" w:rsidRPr="007E19D5" w:rsidRDefault="00BB5BF9" w:rsidP="00CF77C0"/>
        </w:tc>
      </w:tr>
      <w:tr w:rsidR="00BB5BF9" w:rsidRPr="007E19D5" w:rsidTr="00CF77C0">
        <w:tc>
          <w:tcPr>
            <w:tcW w:w="4428" w:type="dxa"/>
          </w:tcPr>
          <w:p w:rsidR="00BB5BF9" w:rsidRPr="007E19D5" w:rsidRDefault="00BB5BF9" w:rsidP="00CF77C0">
            <w:r w:rsidRPr="007E19D5">
              <w:t>Residual Oil (#5-6), Natural Gas, and Propane</w:t>
            </w:r>
          </w:p>
        </w:tc>
        <w:tc>
          <w:tcPr>
            <w:tcW w:w="4428" w:type="dxa"/>
          </w:tcPr>
          <w:p w:rsidR="00BB5BF9" w:rsidRPr="007E19D5" w:rsidRDefault="001A6C5B" w:rsidP="00CF77C0">
            <w:r>
              <w:t xml:space="preserve">10,695.8 </w:t>
            </w:r>
            <w:r w:rsidR="00BB5BF9" w:rsidRPr="007E19D5">
              <w:t>MT eCO2</w:t>
            </w:r>
          </w:p>
        </w:tc>
      </w:tr>
      <w:tr w:rsidR="00BB5BF9" w:rsidRPr="007E19D5" w:rsidTr="00CF77C0">
        <w:tc>
          <w:tcPr>
            <w:tcW w:w="4428" w:type="dxa"/>
          </w:tcPr>
          <w:p w:rsidR="00BB5BF9" w:rsidRPr="007E19D5" w:rsidRDefault="00BB5BF9" w:rsidP="00CF77C0">
            <w:r w:rsidRPr="007E19D5">
              <w:t>Direct Transportation</w:t>
            </w:r>
          </w:p>
        </w:tc>
        <w:tc>
          <w:tcPr>
            <w:tcW w:w="4428" w:type="dxa"/>
          </w:tcPr>
          <w:p w:rsidR="00BB5BF9" w:rsidRPr="007E19D5" w:rsidRDefault="001A6C5B" w:rsidP="00CF77C0">
            <w:r>
              <w:t xml:space="preserve">467.1 </w:t>
            </w:r>
            <w:r w:rsidR="00BB5BF9" w:rsidRPr="007E19D5">
              <w:t>MT eCO2</w:t>
            </w:r>
          </w:p>
        </w:tc>
      </w:tr>
      <w:tr w:rsidR="00BB5BF9" w:rsidRPr="007E19D5" w:rsidTr="00CF77C0">
        <w:tc>
          <w:tcPr>
            <w:tcW w:w="4428" w:type="dxa"/>
          </w:tcPr>
          <w:p w:rsidR="00BB5BF9" w:rsidRPr="007E19D5" w:rsidRDefault="00BB5BF9" w:rsidP="00CF77C0">
            <w:r w:rsidRPr="007E19D5">
              <w:t>Refrigerants &amp; Chemicals</w:t>
            </w:r>
          </w:p>
        </w:tc>
        <w:tc>
          <w:tcPr>
            <w:tcW w:w="4428" w:type="dxa"/>
          </w:tcPr>
          <w:p w:rsidR="00BB5BF9" w:rsidRPr="007E19D5" w:rsidRDefault="001A6C5B" w:rsidP="00CF77C0">
            <w:r>
              <w:t xml:space="preserve">229.9 </w:t>
            </w:r>
            <w:r w:rsidR="00BB5BF9" w:rsidRPr="007E19D5">
              <w:t>MT eCO2</w:t>
            </w:r>
          </w:p>
        </w:tc>
      </w:tr>
      <w:tr w:rsidR="00BB5BF9" w:rsidRPr="007E19D5" w:rsidTr="00CF77C0">
        <w:tc>
          <w:tcPr>
            <w:tcW w:w="4428" w:type="dxa"/>
          </w:tcPr>
          <w:p w:rsidR="00BB5BF9" w:rsidRPr="007E19D5" w:rsidRDefault="00BB5BF9" w:rsidP="00CF77C0">
            <w:r w:rsidRPr="007E19D5">
              <w:t>Fertilizers</w:t>
            </w:r>
          </w:p>
        </w:tc>
        <w:tc>
          <w:tcPr>
            <w:tcW w:w="4428" w:type="dxa"/>
          </w:tcPr>
          <w:p w:rsidR="00BB5BF9" w:rsidRPr="007E19D5" w:rsidRDefault="001A6C5B" w:rsidP="00CF77C0">
            <w:r>
              <w:t xml:space="preserve">33.3 </w:t>
            </w:r>
            <w:r w:rsidR="00BB5BF9" w:rsidRPr="007E19D5">
              <w:t>MT eCO2</w:t>
            </w:r>
          </w:p>
        </w:tc>
      </w:tr>
      <w:tr w:rsidR="00BB5BF9" w:rsidRPr="007E19D5" w:rsidTr="00CF77C0">
        <w:tc>
          <w:tcPr>
            <w:tcW w:w="4428" w:type="dxa"/>
          </w:tcPr>
          <w:p w:rsidR="00BB5BF9" w:rsidRPr="007E19D5" w:rsidRDefault="00BB5BF9" w:rsidP="00CF77C0">
            <w:pPr>
              <w:rPr>
                <w:b/>
              </w:rPr>
            </w:pPr>
            <w:r w:rsidRPr="007E19D5">
              <w:rPr>
                <w:b/>
              </w:rPr>
              <w:t>Scope 2</w:t>
            </w:r>
          </w:p>
        </w:tc>
        <w:tc>
          <w:tcPr>
            <w:tcW w:w="4428" w:type="dxa"/>
          </w:tcPr>
          <w:p w:rsidR="00BB5BF9" w:rsidRPr="007E19D5" w:rsidRDefault="00BB5BF9" w:rsidP="00CF77C0"/>
        </w:tc>
      </w:tr>
      <w:tr w:rsidR="00BB5BF9" w:rsidRPr="007E19D5" w:rsidTr="00CF77C0">
        <w:tc>
          <w:tcPr>
            <w:tcW w:w="4428" w:type="dxa"/>
          </w:tcPr>
          <w:p w:rsidR="00BB5BF9" w:rsidRPr="007E19D5" w:rsidRDefault="00BB5BF9" w:rsidP="00CF77C0">
            <w:r w:rsidRPr="007E19D5">
              <w:t xml:space="preserve">Purchased Electricity </w:t>
            </w:r>
          </w:p>
        </w:tc>
        <w:tc>
          <w:tcPr>
            <w:tcW w:w="4428" w:type="dxa"/>
          </w:tcPr>
          <w:p w:rsidR="00BB5BF9" w:rsidRPr="007E19D5" w:rsidRDefault="001A6C5B" w:rsidP="00CF77C0">
            <w:r>
              <w:t xml:space="preserve">14,030.1 </w:t>
            </w:r>
            <w:r w:rsidR="00BB5BF9" w:rsidRPr="007E19D5">
              <w:t>MT eCO2</w:t>
            </w:r>
          </w:p>
        </w:tc>
      </w:tr>
      <w:tr w:rsidR="00BB5BF9" w:rsidRPr="007E19D5" w:rsidTr="00CF77C0">
        <w:tc>
          <w:tcPr>
            <w:tcW w:w="4428" w:type="dxa"/>
          </w:tcPr>
          <w:p w:rsidR="00BB5BF9" w:rsidRPr="007E19D5" w:rsidRDefault="00BB5BF9" w:rsidP="00CF77C0">
            <w:pPr>
              <w:rPr>
                <w:b/>
              </w:rPr>
            </w:pPr>
            <w:r w:rsidRPr="007E19D5">
              <w:rPr>
                <w:b/>
              </w:rPr>
              <w:t>Scope 3</w:t>
            </w:r>
          </w:p>
        </w:tc>
        <w:tc>
          <w:tcPr>
            <w:tcW w:w="4428" w:type="dxa"/>
          </w:tcPr>
          <w:p w:rsidR="00BB5BF9" w:rsidRPr="007E19D5" w:rsidRDefault="00BB5BF9" w:rsidP="00CF77C0"/>
        </w:tc>
      </w:tr>
      <w:tr w:rsidR="00BB5BF9" w:rsidRPr="007E19D5" w:rsidTr="00CF77C0">
        <w:tc>
          <w:tcPr>
            <w:tcW w:w="4428" w:type="dxa"/>
          </w:tcPr>
          <w:p w:rsidR="00BB5BF9" w:rsidRPr="007E19D5" w:rsidRDefault="00BB5BF9" w:rsidP="00CF77C0">
            <w:r w:rsidRPr="007E19D5">
              <w:t>Faculty &amp; Staff Commuting</w:t>
            </w:r>
          </w:p>
        </w:tc>
        <w:tc>
          <w:tcPr>
            <w:tcW w:w="4428" w:type="dxa"/>
          </w:tcPr>
          <w:p w:rsidR="00BB5BF9" w:rsidRPr="007E19D5" w:rsidRDefault="001A6C5B" w:rsidP="00CF77C0">
            <w:r>
              <w:t xml:space="preserve">5,832.7 </w:t>
            </w:r>
            <w:r w:rsidR="00BB5BF9" w:rsidRPr="007E19D5">
              <w:t>MT eCO2</w:t>
            </w:r>
          </w:p>
        </w:tc>
      </w:tr>
      <w:tr w:rsidR="00BB5BF9" w:rsidRPr="007E19D5" w:rsidTr="00CF77C0">
        <w:tc>
          <w:tcPr>
            <w:tcW w:w="4428" w:type="dxa"/>
          </w:tcPr>
          <w:p w:rsidR="00BB5BF9" w:rsidRPr="007E19D5" w:rsidRDefault="00BB5BF9" w:rsidP="00CF77C0">
            <w:r w:rsidRPr="007E19D5">
              <w:t>Student Commuting</w:t>
            </w:r>
          </w:p>
        </w:tc>
        <w:tc>
          <w:tcPr>
            <w:tcW w:w="4428" w:type="dxa"/>
          </w:tcPr>
          <w:p w:rsidR="00BB5BF9" w:rsidRPr="007E19D5" w:rsidRDefault="001A6C5B" w:rsidP="00CF77C0">
            <w:r>
              <w:t xml:space="preserve">1,232.3 </w:t>
            </w:r>
            <w:r w:rsidR="00BB5BF9" w:rsidRPr="007E19D5">
              <w:t>MT eCO2</w:t>
            </w:r>
          </w:p>
        </w:tc>
      </w:tr>
      <w:tr w:rsidR="00BB5BF9" w:rsidRPr="007E19D5" w:rsidTr="00CF77C0">
        <w:tc>
          <w:tcPr>
            <w:tcW w:w="4428" w:type="dxa"/>
          </w:tcPr>
          <w:p w:rsidR="00BB5BF9" w:rsidRPr="007E19D5" w:rsidRDefault="00BB5BF9" w:rsidP="00CF77C0">
            <w:r w:rsidRPr="007E19D5">
              <w:t>Directly Financed Travel</w:t>
            </w:r>
          </w:p>
        </w:tc>
        <w:tc>
          <w:tcPr>
            <w:tcW w:w="4428" w:type="dxa"/>
          </w:tcPr>
          <w:p w:rsidR="00BB5BF9" w:rsidRPr="007E19D5" w:rsidRDefault="001A6C5B" w:rsidP="00CF77C0">
            <w:r>
              <w:t xml:space="preserve">26.1 </w:t>
            </w:r>
            <w:r w:rsidR="00BB5BF9" w:rsidRPr="007E19D5">
              <w:t>MT eCO2</w:t>
            </w:r>
          </w:p>
        </w:tc>
      </w:tr>
      <w:tr w:rsidR="00BB5BF9" w:rsidRPr="007E19D5" w:rsidTr="00CF77C0">
        <w:tc>
          <w:tcPr>
            <w:tcW w:w="4428" w:type="dxa"/>
          </w:tcPr>
          <w:p w:rsidR="00BB5BF9" w:rsidRPr="007E19D5" w:rsidRDefault="00BB5BF9" w:rsidP="00CF77C0">
            <w:r w:rsidRPr="007E19D5">
              <w:t>Study Abroad Travel</w:t>
            </w:r>
          </w:p>
        </w:tc>
        <w:tc>
          <w:tcPr>
            <w:tcW w:w="4428" w:type="dxa"/>
          </w:tcPr>
          <w:p w:rsidR="00BB5BF9" w:rsidRPr="007E19D5" w:rsidRDefault="001A6C5B" w:rsidP="00CF77C0">
            <w:r>
              <w:t xml:space="preserve">461.7 </w:t>
            </w:r>
            <w:r w:rsidR="00BB5BF9" w:rsidRPr="007E19D5">
              <w:t>MT eCO2</w:t>
            </w:r>
          </w:p>
        </w:tc>
      </w:tr>
      <w:tr w:rsidR="00BB5BF9" w:rsidRPr="007E19D5" w:rsidTr="00CF77C0">
        <w:tc>
          <w:tcPr>
            <w:tcW w:w="4428" w:type="dxa"/>
          </w:tcPr>
          <w:p w:rsidR="00BB5BF9" w:rsidRPr="007E19D5" w:rsidRDefault="00BB5BF9" w:rsidP="00CF77C0">
            <w:r w:rsidRPr="007E19D5">
              <w:t>Solid Waste</w:t>
            </w:r>
          </w:p>
        </w:tc>
        <w:tc>
          <w:tcPr>
            <w:tcW w:w="4428" w:type="dxa"/>
          </w:tcPr>
          <w:p w:rsidR="00BB5BF9" w:rsidRPr="007E19D5" w:rsidRDefault="001A6C5B" w:rsidP="00CF77C0">
            <w:r>
              <w:t xml:space="preserve">2,656.7 </w:t>
            </w:r>
            <w:r w:rsidR="00BB5BF9" w:rsidRPr="007E19D5">
              <w:t>MT eCO2</w:t>
            </w:r>
          </w:p>
        </w:tc>
      </w:tr>
    </w:tbl>
    <w:p w:rsidR="00BB5BF9" w:rsidRDefault="00BB5BF9" w:rsidP="00E25AB9"/>
    <w:p w:rsidR="00303575" w:rsidRDefault="00303575" w:rsidP="00E25AB9">
      <w:r>
        <w:rPr>
          <w:noProof/>
        </w:rPr>
        <w:lastRenderedPageBreak/>
        <w:drawing>
          <wp:inline distT="0" distB="0" distL="0" distR="0" wp14:anchorId="2DF76449">
            <wp:extent cx="5743575" cy="30954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0932" cy="3120960"/>
                    </a:xfrm>
                    <a:prstGeom prst="rect">
                      <a:avLst/>
                    </a:prstGeom>
                    <a:noFill/>
                  </pic:spPr>
                </pic:pic>
              </a:graphicData>
            </a:graphic>
          </wp:inline>
        </w:drawing>
      </w:r>
    </w:p>
    <w:p w:rsidR="00303575" w:rsidRPr="00303575" w:rsidRDefault="00303575" w:rsidP="00303575">
      <w:pPr>
        <w:jc w:val="center"/>
        <w:rPr>
          <w:sz w:val="24"/>
          <w:szCs w:val="24"/>
        </w:rPr>
      </w:pPr>
      <w:r w:rsidRPr="00303575">
        <w:rPr>
          <w:b/>
          <w:sz w:val="24"/>
          <w:szCs w:val="24"/>
        </w:rPr>
        <w:t>Figure 1.</w:t>
      </w:r>
      <w:r w:rsidRPr="00303575">
        <w:rPr>
          <w:sz w:val="24"/>
          <w:szCs w:val="24"/>
        </w:rPr>
        <w:t xml:space="preserve"> Amount of MT eCO2 emissions by scope.</w:t>
      </w:r>
    </w:p>
    <w:p w:rsidR="00303575" w:rsidRPr="00303575" w:rsidRDefault="00303575" w:rsidP="00303575">
      <w:pPr>
        <w:jc w:val="center"/>
        <w:rPr>
          <w:sz w:val="24"/>
          <w:szCs w:val="24"/>
        </w:rPr>
      </w:pPr>
      <w:r w:rsidRPr="00303575">
        <w:rPr>
          <w:sz w:val="24"/>
          <w:szCs w:val="24"/>
        </w:rPr>
        <w:t>Scope 2 had the largest impact on overall emissions for SUNY Oneonta.</w:t>
      </w: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2E547E" w:rsidRDefault="002E547E" w:rsidP="00303575">
      <w:pPr>
        <w:rPr>
          <w:b/>
          <w:sz w:val="32"/>
          <w:szCs w:val="32"/>
        </w:rPr>
      </w:pPr>
    </w:p>
    <w:p w:rsidR="00303575" w:rsidRPr="00933B26" w:rsidRDefault="00303575" w:rsidP="00303575">
      <w:pPr>
        <w:rPr>
          <w:b/>
          <w:sz w:val="32"/>
          <w:szCs w:val="32"/>
        </w:rPr>
      </w:pPr>
      <w:r w:rsidRPr="00933B26">
        <w:rPr>
          <w:b/>
          <w:sz w:val="32"/>
          <w:szCs w:val="32"/>
        </w:rPr>
        <w:lastRenderedPageBreak/>
        <w:t>Part III: Comparative Analysis</w:t>
      </w:r>
    </w:p>
    <w:p w:rsidR="007D45F3" w:rsidRDefault="007D45F3" w:rsidP="007D45F3">
      <w:pPr>
        <w:spacing w:after="160" w:line="259" w:lineRule="auto"/>
        <w:rPr>
          <w:sz w:val="24"/>
          <w:szCs w:val="24"/>
        </w:rPr>
      </w:pPr>
      <w:r w:rsidRPr="007D45F3">
        <w:rPr>
          <w:sz w:val="24"/>
          <w:szCs w:val="24"/>
        </w:rPr>
        <w:t>To create a comparative analysis of SUNY Oneonta’s emissions, below there are data from several New York State colleges. These campuses share geographic proximity and similar enrollment data with SUNY Oneonta.</w:t>
      </w:r>
    </w:p>
    <w:p w:rsidR="002E547E" w:rsidRPr="007D45F3" w:rsidRDefault="002E547E" w:rsidP="007D45F3">
      <w:pPr>
        <w:spacing w:after="160" w:line="259" w:lineRule="auto"/>
        <w:rPr>
          <w:sz w:val="24"/>
          <w:szCs w:val="24"/>
        </w:rPr>
      </w:pPr>
    </w:p>
    <w:tbl>
      <w:tblPr>
        <w:tblStyle w:val="TableGrid1"/>
        <w:tblW w:w="0" w:type="auto"/>
        <w:tblLook w:val="04A0" w:firstRow="1" w:lastRow="0" w:firstColumn="1" w:lastColumn="0" w:noHBand="0" w:noVBand="1"/>
      </w:tblPr>
      <w:tblGrid>
        <w:gridCol w:w="1870"/>
        <w:gridCol w:w="1870"/>
        <w:gridCol w:w="1870"/>
        <w:gridCol w:w="1870"/>
        <w:gridCol w:w="1870"/>
      </w:tblGrid>
      <w:tr w:rsidR="007D45F3" w:rsidRPr="007D45F3" w:rsidTr="00CC08F6">
        <w:tc>
          <w:tcPr>
            <w:tcW w:w="1870" w:type="dxa"/>
          </w:tcPr>
          <w:p w:rsidR="007D45F3" w:rsidRPr="007D45F3" w:rsidRDefault="007D45F3" w:rsidP="007D45F3">
            <w:pPr>
              <w:spacing w:after="0" w:line="240" w:lineRule="auto"/>
              <w:jc w:val="center"/>
              <w:rPr>
                <w:b/>
                <w:sz w:val="24"/>
                <w:szCs w:val="24"/>
              </w:rPr>
            </w:pPr>
            <w:r w:rsidRPr="007D45F3">
              <w:rPr>
                <w:b/>
                <w:sz w:val="24"/>
                <w:szCs w:val="24"/>
              </w:rPr>
              <w:t>College</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Location</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Full-Time Enrollment</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Gross Square Foot of Building Space</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Total Air Mileage Emissions</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Cornell University*</w:t>
            </w:r>
          </w:p>
        </w:tc>
        <w:tc>
          <w:tcPr>
            <w:tcW w:w="1870" w:type="dxa"/>
          </w:tcPr>
          <w:p w:rsidR="007D45F3" w:rsidRPr="007D45F3" w:rsidRDefault="007D45F3" w:rsidP="007D45F3">
            <w:pPr>
              <w:spacing w:after="0" w:line="240" w:lineRule="auto"/>
              <w:rPr>
                <w:sz w:val="24"/>
                <w:szCs w:val="24"/>
              </w:rPr>
            </w:pPr>
            <w:r w:rsidRPr="007D45F3">
              <w:rPr>
                <w:sz w:val="24"/>
                <w:szCs w:val="24"/>
              </w:rPr>
              <w:t>Ithaca, New York</w:t>
            </w:r>
          </w:p>
          <w:p w:rsidR="007D45F3" w:rsidRPr="007D45F3" w:rsidRDefault="007D45F3" w:rsidP="007D45F3">
            <w:pPr>
              <w:spacing w:after="0" w:line="240" w:lineRule="auto"/>
              <w:rPr>
                <w:sz w:val="24"/>
                <w:szCs w:val="24"/>
              </w:rPr>
            </w:pPr>
          </w:p>
        </w:tc>
        <w:tc>
          <w:tcPr>
            <w:tcW w:w="1870" w:type="dxa"/>
          </w:tcPr>
          <w:p w:rsidR="007D45F3" w:rsidRPr="007D45F3" w:rsidRDefault="007D45F3" w:rsidP="007D45F3">
            <w:pPr>
              <w:spacing w:after="0" w:line="240" w:lineRule="auto"/>
              <w:jc w:val="center"/>
              <w:rPr>
                <w:sz w:val="24"/>
                <w:szCs w:val="24"/>
              </w:rPr>
            </w:pPr>
            <w:r w:rsidRPr="007D45F3">
              <w:rPr>
                <w:sz w:val="24"/>
                <w:szCs w:val="24"/>
              </w:rPr>
              <w:t>21,087</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15,805,000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29,841 MT eCO2</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Buffalo University*</w:t>
            </w:r>
          </w:p>
        </w:tc>
        <w:tc>
          <w:tcPr>
            <w:tcW w:w="1870" w:type="dxa"/>
          </w:tcPr>
          <w:p w:rsidR="007D45F3" w:rsidRPr="007D45F3" w:rsidRDefault="007D45F3" w:rsidP="007D45F3">
            <w:pPr>
              <w:spacing w:after="0" w:line="240" w:lineRule="auto"/>
              <w:rPr>
                <w:sz w:val="24"/>
                <w:szCs w:val="24"/>
              </w:rPr>
            </w:pPr>
            <w:r w:rsidRPr="007D45F3">
              <w:rPr>
                <w:sz w:val="24"/>
                <w:szCs w:val="24"/>
              </w:rPr>
              <w:t>Buffalo, New York</w:t>
            </w:r>
          </w:p>
        </w:tc>
        <w:tc>
          <w:tcPr>
            <w:tcW w:w="1870" w:type="dxa"/>
          </w:tcPr>
          <w:p w:rsidR="007D45F3" w:rsidRPr="007D45F3" w:rsidRDefault="007D45F3" w:rsidP="007D45F3">
            <w:pPr>
              <w:spacing w:after="0" w:line="240" w:lineRule="auto"/>
              <w:jc w:val="center"/>
              <w:rPr>
                <w:sz w:val="24"/>
                <w:szCs w:val="24"/>
              </w:rPr>
            </w:pPr>
            <w:r w:rsidRPr="007D45F3">
              <w:rPr>
                <w:sz w:val="24"/>
                <w:szCs w:val="24"/>
              </w:rPr>
              <w:t>28,119</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11,186,689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14,061 MT eCO2</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Binghamton University</w:t>
            </w:r>
          </w:p>
        </w:tc>
        <w:tc>
          <w:tcPr>
            <w:tcW w:w="1870" w:type="dxa"/>
          </w:tcPr>
          <w:p w:rsidR="007D45F3" w:rsidRPr="007D45F3" w:rsidRDefault="007D45F3" w:rsidP="007D45F3">
            <w:pPr>
              <w:spacing w:after="0" w:line="240" w:lineRule="auto"/>
              <w:rPr>
                <w:sz w:val="24"/>
                <w:szCs w:val="24"/>
              </w:rPr>
            </w:pPr>
            <w:r w:rsidRPr="007D45F3">
              <w:rPr>
                <w:sz w:val="24"/>
                <w:szCs w:val="24"/>
              </w:rPr>
              <w:t xml:space="preserve">Binghamton, New York </w:t>
            </w:r>
          </w:p>
        </w:tc>
        <w:tc>
          <w:tcPr>
            <w:tcW w:w="1870" w:type="dxa"/>
          </w:tcPr>
          <w:p w:rsidR="007D45F3" w:rsidRPr="007D45F3" w:rsidRDefault="007D45F3" w:rsidP="007D45F3">
            <w:pPr>
              <w:spacing w:after="0" w:line="240" w:lineRule="auto"/>
              <w:jc w:val="center"/>
              <w:rPr>
                <w:sz w:val="24"/>
                <w:szCs w:val="24"/>
              </w:rPr>
            </w:pPr>
            <w:r w:rsidRPr="007D45F3">
              <w:rPr>
                <w:sz w:val="24"/>
                <w:szCs w:val="24"/>
              </w:rPr>
              <w:t>14,160</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5,618,087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1,082.5 MT eCO2</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SUNY Oneonta</w:t>
            </w:r>
          </w:p>
        </w:tc>
        <w:tc>
          <w:tcPr>
            <w:tcW w:w="1870" w:type="dxa"/>
          </w:tcPr>
          <w:p w:rsidR="007D45F3" w:rsidRPr="007D45F3" w:rsidRDefault="007D45F3" w:rsidP="007D45F3">
            <w:pPr>
              <w:spacing w:after="0" w:line="240" w:lineRule="auto"/>
              <w:rPr>
                <w:sz w:val="24"/>
                <w:szCs w:val="24"/>
              </w:rPr>
            </w:pPr>
            <w:r w:rsidRPr="007D45F3">
              <w:rPr>
                <w:sz w:val="24"/>
                <w:szCs w:val="24"/>
              </w:rPr>
              <w:t>Oneonta, New York</w:t>
            </w:r>
          </w:p>
        </w:tc>
        <w:tc>
          <w:tcPr>
            <w:tcW w:w="1870" w:type="dxa"/>
          </w:tcPr>
          <w:p w:rsidR="007D45F3" w:rsidRPr="007D45F3" w:rsidRDefault="007D45F3" w:rsidP="007D45F3">
            <w:pPr>
              <w:spacing w:after="0" w:line="240" w:lineRule="auto"/>
              <w:jc w:val="center"/>
              <w:rPr>
                <w:sz w:val="24"/>
                <w:szCs w:val="24"/>
              </w:rPr>
            </w:pPr>
            <w:r w:rsidRPr="007D45F3">
              <w:rPr>
                <w:sz w:val="24"/>
                <w:szCs w:val="24"/>
              </w:rPr>
              <w:t>5,808</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1,955,909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461.7 MT eCO2</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 xml:space="preserve">SUNY </w:t>
            </w:r>
            <w:proofErr w:type="spellStart"/>
            <w:r w:rsidRPr="007D45F3">
              <w:rPr>
                <w:b/>
                <w:sz w:val="24"/>
                <w:szCs w:val="24"/>
              </w:rPr>
              <w:t>Geneseo</w:t>
            </w:r>
            <w:proofErr w:type="spellEnd"/>
            <w:r w:rsidRPr="007D45F3">
              <w:rPr>
                <w:b/>
                <w:sz w:val="24"/>
                <w:szCs w:val="24"/>
              </w:rPr>
              <w:t>*</w:t>
            </w:r>
          </w:p>
        </w:tc>
        <w:tc>
          <w:tcPr>
            <w:tcW w:w="1870" w:type="dxa"/>
          </w:tcPr>
          <w:p w:rsidR="007D45F3" w:rsidRPr="007D45F3" w:rsidRDefault="007D45F3" w:rsidP="007D45F3">
            <w:pPr>
              <w:spacing w:after="0" w:line="240" w:lineRule="auto"/>
              <w:rPr>
                <w:sz w:val="24"/>
                <w:szCs w:val="24"/>
              </w:rPr>
            </w:pPr>
            <w:proofErr w:type="spellStart"/>
            <w:r w:rsidRPr="007D45F3">
              <w:rPr>
                <w:sz w:val="24"/>
                <w:szCs w:val="24"/>
              </w:rPr>
              <w:t>Geneseo</w:t>
            </w:r>
            <w:proofErr w:type="spellEnd"/>
            <w:r w:rsidRPr="007D45F3">
              <w:rPr>
                <w:sz w:val="24"/>
                <w:szCs w:val="24"/>
              </w:rPr>
              <w:t xml:space="preserve">, New York </w:t>
            </w:r>
          </w:p>
        </w:tc>
        <w:tc>
          <w:tcPr>
            <w:tcW w:w="1870" w:type="dxa"/>
          </w:tcPr>
          <w:p w:rsidR="007D45F3" w:rsidRPr="007D45F3" w:rsidRDefault="007D45F3" w:rsidP="007D45F3">
            <w:pPr>
              <w:spacing w:after="0" w:line="240" w:lineRule="auto"/>
              <w:jc w:val="center"/>
              <w:rPr>
                <w:sz w:val="24"/>
                <w:szCs w:val="24"/>
              </w:rPr>
            </w:pPr>
            <w:r w:rsidRPr="007D45F3">
              <w:rPr>
                <w:sz w:val="24"/>
                <w:szCs w:val="24"/>
              </w:rPr>
              <w:t>5,274</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2,340,581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293 MT eCO2</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Colgate University</w:t>
            </w:r>
          </w:p>
        </w:tc>
        <w:tc>
          <w:tcPr>
            <w:tcW w:w="1870" w:type="dxa"/>
          </w:tcPr>
          <w:p w:rsidR="007D45F3" w:rsidRPr="007D45F3" w:rsidRDefault="007D45F3" w:rsidP="007D45F3">
            <w:pPr>
              <w:spacing w:after="0" w:line="240" w:lineRule="auto"/>
              <w:rPr>
                <w:sz w:val="24"/>
                <w:szCs w:val="24"/>
              </w:rPr>
            </w:pPr>
            <w:r w:rsidRPr="007D45F3">
              <w:rPr>
                <w:sz w:val="24"/>
                <w:szCs w:val="24"/>
              </w:rPr>
              <w:t>Hamilton, New York</w:t>
            </w:r>
          </w:p>
        </w:tc>
        <w:tc>
          <w:tcPr>
            <w:tcW w:w="1870" w:type="dxa"/>
          </w:tcPr>
          <w:p w:rsidR="007D45F3" w:rsidRPr="007D45F3" w:rsidRDefault="007D45F3" w:rsidP="007D45F3">
            <w:pPr>
              <w:spacing w:after="0" w:line="240" w:lineRule="auto"/>
              <w:jc w:val="center"/>
              <w:rPr>
                <w:sz w:val="24"/>
                <w:szCs w:val="24"/>
              </w:rPr>
            </w:pPr>
            <w:r w:rsidRPr="007D45F3">
              <w:rPr>
                <w:sz w:val="24"/>
                <w:szCs w:val="24"/>
              </w:rPr>
              <w:t>2,927</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2,310,726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3,681 MT eCO2</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SUNY ESF*</w:t>
            </w:r>
          </w:p>
        </w:tc>
        <w:tc>
          <w:tcPr>
            <w:tcW w:w="1870" w:type="dxa"/>
          </w:tcPr>
          <w:p w:rsidR="007D45F3" w:rsidRPr="007D45F3" w:rsidRDefault="007D45F3" w:rsidP="007D45F3">
            <w:pPr>
              <w:spacing w:after="0" w:line="240" w:lineRule="auto"/>
              <w:rPr>
                <w:sz w:val="24"/>
                <w:szCs w:val="24"/>
              </w:rPr>
            </w:pPr>
            <w:r w:rsidRPr="007D45F3">
              <w:rPr>
                <w:sz w:val="24"/>
                <w:szCs w:val="24"/>
              </w:rPr>
              <w:t>Syracuse, New York</w:t>
            </w:r>
          </w:p>
        </w:tc>
        <w:tc>
          <w:tcPr>
            <w:tcW w:w="1870" w:type="dxa"/>
          </w:tcPr>
          <w:p w:rsidR="007D45F3" w:rsidRPr="007D45F3" w:rsidRDefault="007D45F3" w:rsidP="007D45F3">
            <w:pPr>
              <w:spacing w:after="0" w:line="240" w:lineRule="auto"/>
              <w:jc w:val="center"/>
              <w:rPr>
                <w:sz w:val="24"/>
                <w:szCs w:val="24"/>
              </w:rPr>
            </w:pPr>
            <w:r w:rsidRPr="007D45F3">
              <w:rPr>
                <w:sz w:val="24"/>
                <w:szCs w:val="24"/>
              </w:rPr>
              <w:t>2,191</w:t>
            </w:r>
          </w:p>
        </w:tc>
        <w:tc>
          <w:tcPr>
            <w:tcW w:w="1870" w:type="dxa"/>
          </w:tcPr>
          <w:p w:rsidR="007D45F3" w:rsidRPr="007D45F3" w:rsidRDefault="007D45F3" w:rsidP="007D45F3">
            <w:pPr>
              <w:spacing w:after="0" w:line="240" w:lineRule="auto"/>
              <w:jc w:val="center"/>
              <w:rPr>
                <w:sz w:val="24"/>
                <w:szCs w:val="24"/>
              </w:rPr>
            </w:pPr>
            <w:r w:rsidRPr="007D45F3">
              <w:rPr>
                <w:sz w:val="24"/>
                <w:szCs w:val="24"/>
              </w:rPr>
              <w:t xml:space="preserve">1,122,972 </w:t>
            </w:r>
            <w:proofErr w:type="spellStart"/>
            <w:r w:rsidRPr="007D45F3">
              <w:rPr>
                <w:sz w:val="24"/>
                <w:szCs w:val="24"/>
              </w:rPr>
              <w:t>sq</w:t>
            </w:r>
            <w:proofErr w:type="spellEnd"/>
            <w:r w:rsidRPr="007D45F3">
              <w:rPr>
                <w:sz w:val="24"/>
                <w:szCs w:val="24"/>
              </w:rPr>
              <w:t xml:space="preserve"> ft.</w:t>
            </w:r>
          </w:p>
        </w:tc>
        <w:tc>
          <w:tcPr>
            <w:tcW w:w="1870" w:type="dxa"/>
          </w:tcPr>
          <w:p w:rsidR="007D45F3" w:rsidRPr="007D45F3" w:rsidRDefault="007D45F3" w:rsidP="007D45F3">
            <w:pPr>
              <w:spacing w:after="0" w:line="240" w:lineRule="auto"/>
              <w:jc w:val="center"/>
              <w:rPr>
                <w:sz w:val="24"/>
                <w:szCs w:val="24"/>
              </w:rPr>
            </w:pPr>
            <w:r w:rsidRPr="007D45F3">
              <w:rPr>
                <w:sz w:val="24"/>
                <w:szCs w:val="24"/>
              </w:rPr>
              <w:t>491.86 MT eCO2</w:t>
            </w:r>
          </w:p>
        </w:tc>
      </w:tr>
    </w:tbl>
    <w:p w:rsidR="002E547E" w:rsidRPr="007D45F3" w:rsidRDefault="007D45F3" w:rsidP="007D45F3">
      <w:pPr>
        <w:spacing w:after="160" w:line="259" w:lineRule="auto"/>
        <w:rPr>
          <w:sz w:val="24"/>
          <w:szCs w:val="24"/>
        </w:rPr>
      </w:pPr>
      <w:r w:rsidRPr="007D45F3">
        <w:rPr>
          <w:sz w:val="24"/>
          <w:szCs w:val="24"/>
        </w:rPr>
        <w:t xml:space="preserve"> </w:t>
      </w:r>
    </w:p>
    <w:tbl>
      <w:tblPr>
        <w:tblStyle w:val="TableGrid1"/>
        <w:tblW w:w="0" w:type="auto"/>
        <w:tblLook w:val="04A0" w:firstRow="1" w:lastRow="0" w:firstColumn="1" w:lastColumn="0" w:noHBand="0" w:noVBand="1"/>
      </w:tblPr>
      <w:tblGrid>
        <w:gridCol w:w="1870"/>
        <w:gridCol w:w="1870"/>
        <w:gridCol w:w="1870"/>
        <w:gridCol w:w="1870"/>
        <w:gridCol w:w="1870"/>
      </w:tblGrid>
      <w:tr w:rsidR="007D45F3" w:rsidRPr="007D45F3" w:rsidTr="00CC08F6">
        <w:tc>
          <w:tcPr>
            <w:tcW w:w="1870" w:type="dxa"/>
          </w:tcPr>
          <w:p w:rsidR="007D45F3" w:rsidRPr="007D45F3" w:rsidRDefault="007D45F3" w:rsidP="007D45F3">
            <w:pPr>
              <w:spacing w:after="0" w:line="240" w:lineRule="auto"/>
              <w:jc w:val="center"/>
              <w:rPr>
                <w:b/>
                <w:sz w:val="24"/>
                <w:szCs w:val="24"/>
              </w:rPr>
            </w:pPr>
            <w:r w:rsidRPr="007D45F3">
              <w:rPr>
                <w:b/>
                <w:sz w:val="24"/>
                <w:szCs w:val="24"/>
              </w:rPr>
              <w:t>College</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Scope 1</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Scope 2</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Scope 3</w:t>
            </w:r>
          </w:p>
        </w:tc>
        <w:tc>
          <w:tcPr>
            <w:tcW w:w="1870" w:type="dxa"/>
          </w:tcPr>
          <w:p w:rsidR="007D45F3" w:rsidRPr="007D45F3" w:rsidRDefault="007D45F3" w:rsidP="007D45F3">
            <w:pPr>
              <w:spacing w:after="0" w:line="240" w:lineRule="auto"/>
              <w:jc w:val="center"/>
              <w:rPr>
                <w:b/>
                <w:sz w:val="24"/>
                <w:szCs w:val="24"/>
              </w:rPr>
            </w:pPr>
            <w:r w:rsidRPr="007D45F3">
              <w:rPr>
                <w:b/>
                <w:sz w:val="24"/>
                <w:szCs w:val="24"/>
              </w:rPr>
              <w:t>Total Gross Emissions</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 xml:space="preserve">Cornell University* </w:t>
            </w:r>
          </w:p>
        </w:tc>
        <w:tc>
          <w:tcPr>
            <w:tcW w:w="1870" w:type="dxa"/>
          </w:tcPr>
          <w:p w:rsidR="007D45F3" w:rsidRPr="007D45F3" w:rsidRDefault="007D45F3" w:rsidP="007D45F3">
            <w:pPr>
              <w:spacing w:after="0" w:line="240" w:lineRule="auto"/>
              <w:jc w:val="center"/>
              <w:rPr>
                <w:sz w:val="24"/>
                <w:szCs w:val="24"/>
              </w:rPr>
            </w:pPr>
            <w:r w:rsidRPr="007D45F3">
              <w:rPr>
                <w:sz w:val="24"/>
                <w:szCs w:val="24"/>
              </w:rPr>
              <w:t>165,166.00</w:t>
            </w:r>
          </w:p>
        </w:tc>
        <w:tc>
          <w:tcPr>
            <w:tcW w:w="1870" w:type="dxa"/>
          </w:tcPr>
          <w:p w:rsidR="007D45F3" w:rsidRPr="007D45F3" w:rsidRDefault="007D45F3" w:rsidP="007D45F3">
            <w:pPr>
              <w:spacing w:after="0" w:line="240" w:lineRule="auto"/>
              <w:jc w:val="center"/>
              <w:rPr>
                <w:sz w:val="24"/>
                <w:szCs w:val="24"/>
              </w:rPr>
            </w:pPr>
            <w:r w:rsidRPr="007D45F3">
              <w:rPr>
                <w:sz w:val="24"/>
                <w:szCs w:val="24"/>
              </w:rPr>
              <w:t>17,497.00</w:t>
            </w:r>
          </w:p>
        </w:tc>
        <w:tc>
          <w:tcPr>
            <w:tcW w:w="1870" w:type="dxa"/>
          </w:tcPr>
          <w:p w:rsidR="007D45F3" w:rsidRPr="007D45F3" w:rsidRDefault="007D45F3" w:rsidP="007D45F3">
            <w:pPr>
              <w:spacing w:after="0" w:line="240" w:lineRule="auto"/>
              <w:jc w:val="center"/>
              <w:rPr>
                <w:sz w:val="24"/>
                <w:szCs w:val="24"/>
              </w:rPr>
            </w:pPr>
            <w:r w:rsidRPr="007D45F3">
              <w:rPr>
                <w:sz w:val="24"/>
                <w:szCs w:val="24"/>
              </w:rPr>
              <w:t>41,987.00</w:t>
            </w:r>
          </w:p>
        </w:tc>
        <w:tc>
          <w:tcPr>
            <w:tcW w:w="1870" w:type="dxa"/>
          </w:tcPr>
          <w:p w:rsidR="007D45F3" w:rsidRPr="007D45F3" w:rsidRDefault="007D45F3" w:rsidP="007D45F3">
            <w:pPr>
              <w:spacing w:after="0" w:line="240" w:lineRule="auto"/>
              <w:jc w:val="center"/>
              <w:rPr>
                <w:sz w:val="24"/>
                <w:szCs w:val="24"/>
              </w:rPr>
            </w:pPr>
            <w:r w:rsidRPr="007D45F3">
              <w:rPr>
                <w:sz w:val="24"/>
                <w:szCs w:val="24"/>
              </w:rPr>
              <w:t>224,650.00</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Buffalo University*</w:t>
            </w:r>
          </w:p>
        </w:tc>
        <w:tc>
          <w:tcPr>
            <w:tcW w:w="1870" w:type="dxa"/>
          </w:tcPr>
          <w:p w:rsidR="007D45F3" w:rsidRPr="007D45F3" w:rsidRDefault="007D45F3" w:rsidP="007D45F3">
            <w:pPr>
              <w:spacing w:after="0" w:line="240" w:lineRule="auto"/>
              <w:jc w:val="center"/>
              <w:rPr>
                <w:sz w:val="24"/>
                <w:szCs w:val="24"/>
              </w:rPr>
            </w:pPr>
            <w:r w:rsidRPr="007D45F3">
              <w:rPr>
                <w:sz w:val="24"/>
                <w:szCs w:val="24"/>
              </w:rPr>
              <w:t>34,352.00</w:t>
            </w:r>
          </w:p>
        </w:tc>
        <w:tc>
          <w:tcPr>
            <w:tcW w:w="1870" w:type="dxa"/>
          </w:tcPr>
          <w:p w:rsidR="007D45F3" w:rsidRPr="007D45F3" w:rsidRDefault="007D45F3" w:rsidP="007D45F3">
            <w:pPr>
              <w:spacing w:after="0" w:line="240" w:lineRule="auto"/>
              <w:jc w:val="center"/>
              <w:rPr>
                <w:sz w:val="24"/>
                <w:szCs w:val="24"/>
              </w:rPr>
            </w:pPr>
            <w:r w:rsidRPr="007D45F3">
              <w:rPr>
                <w:sz w:val="24"/>
                <w:szCs w:val="24"/>
              </w:rPr>
              <w:t>61,226.00</w:t>
            </w:r>
          </w:p>
        </w:tc>
        <w:tc>
          <w:tcPr>
            <w:tcW w:w="1870" w:type="dxa"/>
          </w:tcPr>
          <w:p w:rsidR="007D45F3" w:rsidRPr="007D45F3" w:rsidRDefault="007D45F3" w:rsidP="007D45F3">
            <w:pPr>
              <w:spacing w:after="0" w:line="240" w:lineRule="auto"/>
              <w:jc w:val="center"/>
              <w:rPr>
                <w:sz w:val="24"/>
                <w:szCs w:val="24"/>
              </w:rPr>
            </w:pPr>
            <w:r w:rsidRPr="007D45F3">
              <w:rPr>
                <w:sz w:val="24"/>
                <w:szCs w:val="24"/>
              </w:rPr>
              <w:t>43,292.00</w:t>
            </w:r>
          </w:p>
        </w:tc>
        <w:tc>
          <w:tcPr>
            <w:tcW w:w="1870" w:type="dxa"/>
          </w:tcPr>
          <w:p w:rsidR="007D45F3" w:rsidRPr="007D45F3" w:rsidRDefault="007D45F3" w:rsidP="007D45F3">
            <w:pPr>
              <w:spacing w:after="0" w:line="240" w:lineRule="auto"/>
              <w:jc w:val="center"/>
              <w:rPr>
                <w:sz w:val="24"/>
                <w:szCs w:val="24"/>
              </w:rPr>
            </w:pPr>
            <w:r w:rsidRPr="007D45F3">
              <w:rPr>
                <w:sz w:val="24"/>
                <w:szCs w:val="24"/>
              </w:rPr>
              <w:t>138,870.00</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Binghamton University</w:t>
            </w:r>
          </w:p>
        </w:tc>
        <w:tc>
          <w:tcPr>
            <w:tcW w:w="1870" w:type="dxa"/>
          </w:tcPr>
          <w:p w:rsidR="007D45F3" w:rsidRPr="007D45F3" w:rsidRDefault="007D45F3" w:rsidP="007D45F3">
            <w:pPr>
              <w:spacing w:after="0" w:line="240" w:lineRule="auto"/>
              <w:jc w:val="center"/>
              <w:rPr>
                <w:sz w:val="24"/>
                <w:szCs w:val="24"/>
              </w:rPr>
            </w:pPr>
            <w:r w:rsidRPr="007D45F3">
              <w:rPr>
                <w:sz w:val="24"/>
                <w:szCs w:val="24"/>
              </w:rPr>
              <w:t>24,699.40</w:t>
            </w:r>
          </w:p>
        </w:tc>
        <w:tc>
          <w:tcPr>
            <w:tcW w:w="1870" w:type="dxa"/>
          </w:tcPr>
          <w:p w:rsidR="007D45F3" w:rsidRPr="007D45F3" w:rsidRDefault="007D45F3" w:rsidP="007D45F3">
            <w:pPr>
              <w:spacing w:after="0" w:line="240" w:lineRule="auto"/>
              <w:jc w:val="center"/>
              <w:rPr>
                <w:sz w:val="24"/>
                <w:szCs w:val="24"/>
              </w:rPr>
            </w:pPr>
            <w:r w:rsidRPr="007D45F3">
              <w:rPr>
                <w:sz w:val="24"/>
                <w:szCs w:val="24"/>
              </w:rPr>
              <w:t>14,179.70</w:t>
            </w:r>
          </w:p>
        </w:tc>
        <w:tc>
          <w:tcPr>
            <w:tcW w:w="1870" w:type="dxa"/>
          </w:tcPr>
          <w:p w:rsidR="007D45F3" w:rsidRPr="007D45F3" w:rsidRDefault="007D45F3" w:rsidP="007D45F3">
            <w:pPr>
              <w:spacing w:after="0" w:line="240" w:lineRule="auto"/>
              <w:jc w:val="center"/>
              <w:rPr>
                <w:sz w:val="24"/>
                <w:szCs w:val="24"/>
              </w:rPr>
            </w:pPr>
            <w:r w:rsidRPr="007D45F3">
              <w:rPr>
                <w:sz w:val="24"/>
                <w:szCs w:val="24"/>
              </w:rPr>
              <w:t>12,039.20</w:t>
            </w:r>
          </w:p>
        </w:tc>
        <w:tc>
          <w:tcPr>
            <w:tcW w:w="1870" w:type="dxa"/>
          </w:tcPr>
          <w:p w:rsidR="007D45F3" w:rsidRPr="007D45F3" w:rsidRDefault="007D45F3" w:rsidP="007D45F3">
            <w:pPr>
              <w:spacing w:after="0" w:line="240" w:lineRule="auto"/>
              <w:jc w:val="center"/>
              <w:rPr>
                <w:sz w:val="24"/>
                <w:szCs w:val="24"/>
              </w:rPr>
            </w:pPr>
            <w:r w:rsidRPr="007D45F3">
              <w:rPr>
                <w:sz w:val="24"/>
                <w:szCs w:val="24"/>
              </w:rPr>
              <w:t>50,918.30</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SUNY Oneonta</w:t>
            </w:r>
          </w:p>
          <w:p w:rsidR="007D45F3" w:rsidRPr="007D45F3" w:rsidRDefault="007D45F3" w:rsidP="007D45F3">
            <w:pPr>
              <w:spacing w:after="0" w:line="240" w:lineRule="auto"/>
              <w:rPr>
                <w:b/>
                <w:sz w:val="24"/>
                <w:szCs w:val="24"/>
              </w:rPr>
            </w:pPr>
          </w:p>
        </w:tc>
        <w:tc>
          <w:tcPr>
            <w:tcW w:w="1870" w:type="dxa"/>
          </w:tcPr>
          <w:p w:rsidR="007D45F3" w:rsidRPr="007D45F3" w:rsidRDefault="007D45F3" w:rsidP="007D45F3">
            <w:pPr>
              <w:spacing w:after="0" w:line="240" w:lineRule="auto"/>
              <w:jc w:val="center"/>
              <w:rPr>
                <w:sz w:val="24"/>
                <w:szCs w:val="24"/>
              </w:rPr>
            </w:pPr>
            <w:r w:rsidRPr="007D45F3">
              <w:rPr>
                <w:sz w:val="24"/>
                <w:szCs w:val="24"/>
              </w:rPr>
              <w:t>11,426.10</w:t>
            </w:r>
          </w:p>
        </w:tc>
        <w:tc>
          <w:tcPr>
            <w:tcW w:w="1870" w:type="dxa"/>
          </w:tcPr>
          <w:p w:rsidR="007D45F3" w:rsidRPr="007D45F3" w:rsidRDefault="007D45F3" w:rsidP="007D45F3">
            <w:pPr>
              <w:spacing w:after="0" w:line="240" w:lineRule="auto"/>
              <w:jc w:val="center"/>
              <w:rPr>
                <w:sz w:val="24"/>
                <w:szCs w:val="24"/>
              </w:rPr>
            </w:pPr>
            <w:r w:rsidRPr="007D45F3">
              <w:rPr>
                <w:sz w:val="24"/>
                <w:szCs w:val="24"/>
              </w:rPr>
              <w:t>14,030.10</w:t>
            </w:r>
          </w:p>
        </w:tc>
        <w:tc>
          <w:tcPr>
            <w:tcW w:w="1870" w:type="dxa"/>
          </w:tcPr>
          <w:p w:rsidR="007D45F3" w:rsidRPr="007D45F3" w:rsidRDefault="007D45F3" w:rsidP="007D45F3">
            <w:pPr>
              <w:spacing w:after="0" w:line="240" w:lineRule="auto"/>
              <w:jc w:val="center"/>
              <w:rPr>
                <w:sz w:val="24"/>
                <w:szCs w:val="24"/>
              </w:rPr>
            </w:pPr>
            <w:r w:rsidRPr="007D45F3">
              <w:rPr>
                <w:sz w:val="24"/>
                <w:szCs w:val="24"/>
              </w:rPr>
              <w:t>11,133.60</w:t>
            </w:r>
          </w:p>
        </w:tc>
        <w:tc>
          <w:tcPr>
            <w:tcW w:w="1870" w:type="dxa"/>
          </w:tcPr>
          <w:p w:rsidR="007D45F3" w:rsidRPr="007D45F3" w:rsidRDefault="007D45F3" w:rsidP="007D45F3">
            <w:pPr>
              <w:spacing w:after="0" w:line="240" w:lineRule="auto"/>
              <w:jc w:val="center"/>
              <w:rPr>
                <w:sz w:val="24"/>
                <w:szCs w:val="24"/>
              </w:rPr>
            </w:pPr>
            <w:r w:rsidRPr="007D45F3">
              <w:rPr>
                <w:sz w:val="24"/>
                <w:szCs w:val="24"/>
              </w:rPr>
              <w:t>36,589.90</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 xml:space="preserve">SUNY </w:t>
            </w:r>
            <w:proofErr w:type="spellStart"/>
            <w:r w:rsidRPr="007D45F3">
              <w:rPr>
                <w:b/>
                <w:sz w:val="24"/>
                <w:szCs w:val="24"/>
              </w:rPr>
              <w:t>Geneseo</w:t>
            </w:r>
            <w:proofErr w:type="spellEnd"/>
            <w:r w:rsidRPr="007D45F3">
              <w:rPr>
                <w:b/>
                <w:sz w:val="24"/>
                <w:szCs w:val="24"/>
              </w:rPr>
              <w:t>*</w:t>
            </w:r>
          </w:p>
          <w:p w:rsidR="007D45F3" w:rsidRPr="007D45F3" w:rsidRDefault="007D45F3" w:rsidP="007D45F3">
            <w:pPr>
              <w:spacing w:after="0" w:line="240" w:lineRule="auto"/>
              <w:rPr>
                <w:b/>
                <w:sz w:val="24"/>
                <w:szCs w:val="24"/>
              </w:rPr>
            </w:pPr>
          </w:p>
        </w:tc>
        <w:tc>
          <w:tcPr>
            <w:tcW w:w="1870" w:type="dxa"/>
          </w:tcPr>
          <w:p w:rsidR="007D45F3" w:rsidRPr="007D45F3" w:rsidRDefault="007D45F3" w:rsidP="007D45F3">
            <w:pPr>
              <w:spacing w:after="0" w:line="240" w:lineRule="auto"/>
              <w:jc w:val="center"/>
              <w:rPr>
                <w:sz w:val="24"/>
                <w:szCs w:val="24"/>
              </w:rPr>
            </w:pPr>
            <w:r w:rsidRPr="007D45F3">
              <w:rPr>
                <w:sz w:val="24"/>
                <w:szCs w:val="24"/>
              </w:rPr>
              <w:t>10,280.00</w:t>
            </w:r>
          </w:p>
        </w:tc>
        <w:tc>
          <w:tcPr>
            <w:tcW w:w="1870" w:type="dxa"/>
          </w:tcPr>
          <w:p w:rsidR="007D45F3" w:rsidRPr="007D45F3" w:rsidRDefault="007D45F3" w:rsidP="007D45F3">
            <w:pPr>
              <w:spacing w:after="0" w:line="240" w:lineRule="auto"/>
              <w:jc w:val="center"/>
              <w:rPr>
                <w:sz w:val="24"/>
                <w:szCs w:val="24"/>
              </w:rPr>
            </w:pPr>
            <w:r w:rsidRPr="007D45F3">
              <w:rPr>
                <w:sz w:val="24"/>
                <w:szCs w:val="24"/>
              </w:rPr>
              <w:t>12,199.00</w:t>
            </w:r>
          </w:p>
        </w:tc>
        <w:tc>
          <w:tcPr>
            <w:tcW w:w="1870" w:type="dxa"/>
          </w:tcPr>
          <w:p w:rsidR="007D45F3" w:rsidRPr="007D45F3" w:rsidRDefault="007D45F3" w:rsidP="007D45F3">
            <w:pPr>
              <w:spacing w:after="0" w:line="240" w:lineRule="auto"/>
              <w:jc w:val="center"/>
              <w:rPr>
                <w:sz w:val="24"/>
                <w:szCs w:val="24"/>
              </w:rPr>
            </w:pPr>
            <w:r w:rsidRPr="007D45F3">
              <w:rPr>
                <w:sz w:val="24"/>
                <w:szCs w:val="24"/>
              </w:rPr>
              <w:t>5,375.00</w:t>
            </w:r>
          </w:p>
        </w:tc>
        <w:tc>
          <w:tcPr>
            <w:tcW w:w="1870" w:type="dxa"/>
          </w:tcPr>
          <w:p w:rsidR="007D45F3" w:rsidRPr="007D45F3" w:rsidRDefault="007D45F3" w:rsidP="007D45F3">
            <w:pPr>
              <w:spacing w:after="0" w:line="240" w:lineRule="auto"/>
              <w:jc w:val="center"/>
              <w:rPr>
                <w:sz w:val="24"/>
                <w:szCs w:val="24"/>
              </w:rPr>
            </w:pPr>
            <w:r w:rsidRPr="007D45F3">
              <w:rPr>
                <w:sz w:val="24"/>
                <w:szCs w:val="24"/>
              </w:rPr>
              <w:t>27,854.00</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Colgate University</w:t>
            </w:r>
          </w:p>
        </w:tc>
        <w:tc>
          <w:tcPr>
            <w:tcW w:w="1870" w:type="dxa"/>
          </w:tcPr>
          <w:p w:rsidR="007D45F3" w:rsidRPr="007D45F3" w:rsidRDefault="007D45F3" w:rsidP="007D45F3">
            <w:pPr>
              <w:spacing w:after="0" w:line="240" w:lineRule="auto"/>
              <w:jc w:val="center"/>
              <w:rPr>
                <w:sz w:val="24"/>
                <w:szCs w:val="24"/>
              </w:rPr>
            </w:pPr>
            <w:r w:rsidRPr="007D45F3">
              <w:rPr>
                <w:sz w:val="24"/>
                <w:szCs w:val="24"/>
              </w:rPr>
              <w:t>5,891.80</w:t>
            </w:r>
          </w:p>
        </w:tc>
        <w:tc>
          <w:tcPr>
            <w:tcW w:w="1870" w:type="dxa"/>
          </w:tcPr>
          <w:p w:rsidR="007D45F3" w:rsidRPr="007D45F3" w:rsidRDefault="007D45F3" w:rsidP="007D45F3">
            <w:pPr>
              <w:spacing w:after="0" w:line="240" w:lineRule="auto"/>
              <w:jc w:val="center"/>
              <w:rPr>
                <w:sz w:val="24"/>
                <w:szCs w:val="24"/>
              </w:rPr>
            </w:pPr>
            <w:r w:rsidRPr="007D45F3">
              <w:rPr>
                <w:sz w:val="24"/>
                <w:szCs w:val="24"/>
              </w:rPr>
              <w:t>1,806.00</w:t>
            </w:r>
          </w:p>
        </w:tc>
        <w:tc>
          <w:tcPr>
            <w:tcW w:w="1870" w:type="dxa"/>
          </w:tcPr>
          <w:p w:rsidR="007D45F3" w:rsidRPr="007D45F3" w:rsidRDefault="007D45F3" w:rsidP="007D45F3">
            <w:pPr>
              <w:spacing w:after="0" w:line="240" w:lineRule="auto"/>
              <w:jc w:val="center"/>
              <w:rPr>
                <w:sz w:val="24"/>
                <w:szCs w:val="24"/>
              </w:rPr>
            </w:pPr>
            <w:r w:rsidRPr="007D45F3">
              <w:rPr>
                <w:sz w:val="24"/>
                <w:szCs w:val="24"/>
              </w:rPr>
              <w:t>5,694.00</w:t>
            </w:r>
          </w:p>
        </w:tc>
        <w:tc>
          <w:tcPr>
            <w:tcW w:w="1870" w:type="dxa"/>
          </w:tcPr>
          <w:p w:rsidR="007D45F3" w:rsidRPr="007D45F3" w:rsidRDefault="007D45F3" w:rsidP="007D45F3">
            <w:pPr>
              <w:spacing w:after="0" w:line="240" w:lineRule="auto"/>
              <w:jc w:val="center"/>
              <w:rPr>
                <w:sz w:val="24"/>
                <w:szCs w:val="24"/>
              </w:rPr>
            </w:pPr>
            <w:r w:rsidRPr="007D45F3">
              <w:rPr>
                <w:sz w:val="24"/>
                <w:szCs w:val="24"/>
              </w:rPr>
              <w:t>13,391.80</w:t>
            </w:r>
          </w:p>
        </w:tc>
      </w:tr>
      <w:tr w:rsidR="007D45F3" w:rsidRPr="007D45F3" w:rsidTr="00CC08F6">
        <w:tc>
          <w:tcPr>
            <w:tcW w:w="1870" w:type="dxa"/>
          </w:tcPr>
          <w:p w:rsidR="007D45F3" w:rsidRPr="007D45F3" w:rsidRDefault="007D45F3" w:rsidP="007D45F3">
            <w:pPr>
              <w:spacing w:after="0" w:line="240" w:lineRule="auto"/>
              <w:rPr>
                <w:b/>
                <w:sz w:val="24"/>
                <w:szCs w:val="24"/>
              </w:rPr>
            </w:pPr>
            <w:r w:rsidRPr="007D45F3">
              <w:rPr>
                <w:b/>
                <w:sz w:val="24"/>
                <w:szCs w:val="24"/>
              </w:rPr>
              <w:t>SUNY ESF*</w:t>
            </w:r>
          </w:p>
          <w:p w:rsidR="007D45F3" w:rsidRPr="007D45F3" w:rsidRDefault="007D45F3" w:rsidP="007D45F3">
            <w:pPr>
              <w:spacing w:after="0" w:line="240" w:lineRule="auto"/>
              <w:rPr>
                <w:b/>
                <w:sz w:val="24"/>
                <w:szCs w:val="24"/>
              </w:rPr>
            </w:pPr>
          </w:p>
        </w:tc>
        <w:tc>
          <w:tcPr>
            <w:tcW w:w="1870" w:type="dxa"/>
          </w:tcPr>
          <w:p w:rsidR="007D45F3" w:rsidRPr="007D45F3" w:rsidRDefault="007D45F3" w:rsidP="007D45F3">
            <w:pPr>
              <w:spacing w:after="0" w:line="240" w:lineRule="auto"/>
              <w:jc w:val="center"/>
              <w:rPr>
                <w:sz w:val="24"/>
                <w:szCs w:val="24"/>
              </w:rPr>
            </w:pPr>
            <w:r w:rsidRPr="007D45F3">
              <w:rPr>
                <w:sz w:val="24"/>
                <w:szCs w:val="24"/>
              </w:rPr>
              <w:t>744.37</w:t>
            </w:r>
          </w:p>
        </w:tc>
        <w:tc>
          <w:tcPr>
            <w:tcW w:w="1870" w:type="dxa"/>
          </w:tcPr>
          <w:p w:rsidR="007D45F3" w:rsidRPr="007D45F3" w:rsidRDefault="007D45F3" w:rsidP="007D45F3">
            <w:pPr>
              <w:spacing w:after="0" w:line="240" w:lineRule="auto"/>
              <w:jc w:val="center"/>
              <w:rPr>
                <w:sz w:val="24"/>
                <w:szCs w:val="24"/>
              </w:rPr>
            </w:pPr>
            <w:r w:rsidRPr="007D45F3">
              <w:rPr>
                <w:sz w:val="24"/>
                <w:szCs w:val="24"/>
              </w:rPr>
              <w:t>6,862.65</w:t>
            </w:r>
          </w:p>
        </w:tc>
        <w:tc>
          <w:tcPr>
            <w:tcW w:w="1870" w:type="dxa"/>
          </w:tcPr>
          <w:p w:rsidR="007D45F3" w:rsidRPr="007D45F3" w:rsidRDefault="007D45F3" w:rsidP="007D45F3">
            <w:pPr>
              <w:spacing w:after="0" w:line="240" w:lineRule="auto"/>
              <w:jc w:val="center"/>
              <w:rPr>
                <w:sz w:val="24"/>
                <w:szCs w:val="24"/>
              </w:rPr>
            </w:pPr>
            <w:r w:rsidRPr="007D45F3">
              <w:rPr>
                <w:sz w:val="24"/>
                <w:szCs w:val="24"/>
              </w:rPr>
              <w:t>2,789.24</w:t>
            </w:r>
          </w:p>
        </w:tc>
        <w:tc>
          <w:tcPr>
            <w:tcW w:w="1870" w:type="dxa"/>
          </w:tcPr>
          <w:p w:rsidR="007D45F3" w:rsidRPr="007D45F3" w:rsidRDefault="007D45F3" w:rsidP="007D45F3">
            <w:pPr>
              <w:spacing w:after="0" w:line="240" w:lineRule="auto"/>
              <w:jc w:val="center"/>
              <w:rPr>
                <w:sz w:val="24"/>
                <w:szCs w:val="24"/>
              </w:rPr>
            </w:pPr>
            <w:r w:rsidRPr="007D45F3">
              <w:rPr>
                <w:sz w:val="24"/>
                <w:szCs w:val="24"/>
              </w:rPr>
              <w:t>10,396.26</w:t>
            </w:r>
          </w:p>
        </w:tc>
      </w:tr>
    </w:tbl>
    <w:p w:rsidR="00303575" w:rsidRDefault="00303575" w:rsidP="007D45F3">
      <w:pPr>
        <w:spacing w:after="160" w:line="259" w:lineRule="auto"/>
        <w:jc w:val="center"/>
        <w:rPr>
          <w:b/>
          <w:sz w:val="24"/>
          <w:szCs w:val="24"/>
        </w:rPr>
      </w:pPr>
    </w:p>
    <w:p w:rsidR="007D45F3" w:rsidRPr="007D45F3" w:rsidRDefault="00303575" w:rsidP="007D45F3">
      <w:pPr>
        <w:spacing w:after="160" w:line="259" w:lineRule="auto"/>
        <w:jc w:val="center"/>
        <w:rPr>
          <w:sz w:val="24"/>
          <w:szCs w:val="24"/>
        </w:rPr>
      </w:pPr>
      <w:r w:rsidRPr="00303575">
        <w:rPr>
          <w:b/>
          <w:sz w:val="24"/>
          <w:szCs w:val="24"/>
        </w:rPr>
        <w:lastRenderedPageBreak/>
        <w:t>Figures 2-3.</w:t>
      </w:r>
      <w:r>
        <w:rPr>
          <w:sz w:val="24"/>
          <w:szCs w:val="24"/>
        </w:rPr>
        <w:t xml:space="preserve"> </w:t>
      </w:r>
      <w:r w:rsidR="007D45F3" w:rsidRPr="007D45F3">
        <w:rPr>
          <w:sz w:val="24"/>
          <w:szCs w:val="24"/>
        </w:rPr>
        <w:t xml:space="preserve">All Information was provided by </w:t>
      </w:r>
      <w:r w:rsidR="007D45F3" w:rsidRPr="007D45F3">
        <w:rPr>
          <w:b/>
          <w:sz w:val="24"/>
          <w:szCs w:val="24"/>
        </w:rPr>
        <w:t>Second Nature Reporting System</w:t>
      </w:r>
      <w:r w:rsidR="007D45F3" w:rsidRPr="007D45F3">
        <w:rPr>
          <w:sz w:val="24"/>
          <w:szCs w:val="24"/>
        </w:rPr>
        <w:t>.</w:t>
      </w:r>
    </w:p>
    <w:p w:rsidR="007D45F3" w:rsidRPr="007D45F3" w:rsidRDefault="007D45F3" w:rsidP="007D45F3">
      <w:pPr>
        <w:spacing w:after="160" w:line="259" w:lineRule="auto"/>
        <w:jc w:val="center"/>
        <w:rPr>
          <w:sz w:val="24"/>
          <w:szCs w:val="24"/>
        </w:rPr>
      </w:pPr>
      <w:r w:rsidRPr="007D45F3">
        <w:rPr>
          <w:sz w:val="24"/>
          <w:szCs w:val="24"/>
        </w:rPr>
        <w:t>All data was obtained from 2013 reports, unless otherwise noted.</w:t>
      </w:r>
    </w:p>
    <w:p w:rsidR="007D45F3" w:rsidRPr="007D45F3" w:rsidRDefault="007D45F3" w:rsidP="007D45F3">
      <w:pPr>
        <w:spacing w:after="160" w:line="259" w:lineRule="auto"/>
        <w:jc w:val="center"/>
        <w:rPr>
          <w:sz w:val="24"/>
          <w:szCs w:val="24"/>
        </w:rPr>
      </w:pPr>
      <w:r w:rsidRPr="007D45F3">
        <w:rPr>
          <w:sz w:val="24"/>
          <w:szCs w:val="24"/>
        </w:rPr>
        <w:t>*Data obtained from 2014 reports</w:t>
      </w:r>
    </w:p>
    <w:p w:rsidR="007D45F3" w:rsidRPr="00D75C63" w:rsidRDefault="007D45F3" w:rsidP="00E25AB9"/>
    <w:p w:rsidR="00BB5BF9" w:rsidRDefault="004A7ED4" w:rsidP="007E19D5">
      <w:r>
        <w:rPr>
          <w:noProof/>
        </w:rPr>
        <w:drawing>
          <wp:inline distT="0" distB="0" distL="0" distR="0" wp14:anchorId="6D1A59C0">
            <wp:extent cx="5895975" cy="27559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2755900"/>
                    </a:xfrm>
                    <a:prstGeom prst="rect">
                      <a:avLst/>
                    </a:prstGeom>
                    <a:noFill/>
                  </pic:spPr>
                </pic:pic>
              </a:graphicData>
            </a:graphic>
          </wp:inline>
        </w:drawing>
      </w:r>
    </w:p>
    <w:p w:rsidR="004A7ED4" w:rsidRPr="00BB271A" w:rsidRDefault="00BB271A" w:rsidP="00BB271A">
      <w:pPr>
        <w:jc w:val="center"/>
        <w:rPr>
          <w:b/>
          <w:sz w:val="24"/>
          <w:szCs w:val="24"/>
        </w:rPr>
      </w:pPr>
      <w:r w:rsidRPr="00BB271A">
        <w:rPr>
          <w:b/>
          <w:sz w:val="24"/>
          <w:szCs w:val="24"/>
        </w:rPr>
        <w:t>Figure 4.</w:t>
      </w:r>
    </w:p>
    <w:p w:rsidR="004A7ED4" w:rsidRDefault="004A7ED4" w:rsidP="007E19D5">
      <w:r>
        <w:rPr>
          <w:noProof/>
        </w:rPr>
        <w:drawing>
          <wp:inline distT="0" distB="0" distL="0" distR="0" wp14:anchorId="7266E5CD">
            <wp:extent cx="5867400" cy="2755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2755900"/>
                    </a:xfrm>
                    <a:prstGeom prst="rect">
                      <a:avLst/>
                    </a:prstGeom>
                    <a:noFill/>
                  </pic:spPr>
                </pic:pic>
              </a:graphicData>
            </a:graphic>
          </wp:inline>
        </w:drawing>
      </w:r>
    </w:p>
    <w:p w:rsidR="004A7ED4" w:rsidRPr="00BB271A" w:rsidRDefault="00BB271A" w:rsidP="00BB271A">
      <w:pPr>
        <w:jc w:val="center"/>
        <w:rPr>
          <w:b/>
          <w:sz w:val="24"/>
          <w:szCs w:val="24"/>
        </w:rPr>
      </w:pPr>
      <w:r w:rsidRPr="00BB271A">
        <w:rPr>
          <w:b/>
          <w:sz w:val="24"/>
          <w:szCs w:val="24"/>
        </w:rPr>
        <w:t>Figure 5.</w:t>
      </w:r>
    </w:p>
    <w:p w:rsidR="004A7ED4" w:rsidRDefault="004A7ED4" w:rsidP="007E19D5">
      <w:r>
        <w:rPr>
          <w:noProof/>
        </w:rPr>
        <w:lastRenderedPageBreak/>
        <w:drawing>
          <wp:inline distT="0" distB="0" distL="0" distR="0" wp14:anchorId="14217874">
            <wp:extent cx="5943600" cy="3476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pic:spPr>
                </pic:pic>
              </a:graphicData>
            </a:graphic>
          </wp:inline>
        </w:drawing>
      </w:r>
    </w:p>
    <w:p w:rsidR="004A7ED4" w:rsidRPr="00BB271A" w:rsidRDefault="00BB271A" w:rsidP="00BB271A">
      <w:pPr>
        <w:jc w:val="center"/>
        <w:rPr>
          <w:b/>
          <w:sz w:val="24"/>
          <w:szCs w:val="24"/>
        </w:rPr>
      </w:pPr>
      <w:r w:rsidRPr="00BB271A">
        <w:rPr>
          <w:b/>
          <w:sz w:val="24"/>
          <w:szCs w:val="24"/>
        </w:rPr>
        <w:t>Figure 6.</w:t>
      </w:r>
    </w:p>
    <w:p w:rsidR="004A7ED4" w:rsidRDefault="00AD3A73" w:rsidP="007E19D5">
      <w:r>
        <w:rPr>
          <w:noProof/>
        </w:rPr>
        <w:drawing>
          <wp:inline distT="0" distB="0" distL="0" distR="0" wp14:anchorId="0F1D7133">
            <wp:extent cx="5915025" cy="3295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pic:spPr>
                </pic:pic>
              </a:graphicData>
            </a:graphic>
          </wp:inline>
        </w:drawing>
      </w:r>
    </w:p>
    <w:p w:rsidR="00B6631D" w:rsidRPr="00BB271A" w:rsidRDefault="00BB271A" w:rsidP="00BB271A">
      <w:pPr>
        <w:jc w:val="center"/>
        <w:rPr>
          <w:b/>
          <w:sz w:val="24"/>
          <w:szCs w:val="24"/>
        </w:rPr>
      </w:pPr>
      <w:r w:rsidRPr="00BB271A">
        <w:rPr>
          <w:b/>
          <w:sz w:val="24"/>
          <w:szCs w:val="24"/>
        </w:rPr>
        <w:t>Figure 7.</w:t>
      </w:r>
    </w:p>
    <w:p w:rsidR="00B6631D" w:rsidRDefault="00B6631D" w:rsidP="007E19D5">
      <w:r>
        <w:rPr>
          <w:noProof/>
        </w:rPr>
        <w:lastRenderedPageBreak/>
        <w:drawing>
          <wp:inline distT="0" distB="0" distL="0" distR="0" wp14:anchorId="12412796">
            <wp:extent cx="5810250" cy="3267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3267075"/>
                    </a:xfrm>
                    <a:prstGeom prst="rect">
                      <a:avLst/>
                    </a:prstGeom>
                    <a:noFill/>
                  </pic:spPr>
                </pic:pic>
              </a:graphicData>
            </a:graphic>
          </wp:inline>
        </w:drawing>
      </w:r>
    </w:p>
    <w:p w:rsidR="00BB271A" w:rsidRDefault="00BB271A" w:rsidP="00BB271A">
      <w:pPr>
        <w:jc w:val="center"/>
        <w:rPr>
          <w:b/>
          <w:sz w:val="24"/>
          <w:szCs w:val="24"/>
        </w:rPr>
      </w:pPr>
      <w:r w:rsidRPr="00BB271A">
        <w:rPr>
          <w:b/>
          <w:sz w:val="24"/>
          <w:szCs w:val="24"/>
        </w:rPr>
        <w:t>Figure 8.</w:t>
      </w:r>
    </w:p>
    <w:p w:rsidR="00165C37" w:rsidRDefault="00165C37" w:rsidP="00165C37">
      <w:pPr>
        <w:rPr>
          <w:b/>
          <w:sz w:val="32"/>
          <w:szCs w:val="32"/>
        </w:rPr>
      </w:pPr>
      <w:r w:rsidRPr="00165C37">
        <w:rPr>
          <w:b/>
          <w:sz w:val="32"/>
          <w:szCs w:val="32"/>
        </w:rPr>
        <w:t>Part IV: Recommendations for Improving Methods</w:t>
      </w:r>
    </w:p>
    <w:p w:rsidR="002E547E" w:rsidRDefault="00336D25" w:rsidP="00165C37">
      <w:pPr>
        <w:rPr>
          <w:sz w:val="24"/>
          <w:szCs w:val="24"/>
        </w:rPr>
      </w:pPr>
      <w:r>
        <w:rPr>
          <w:sz w:val="24"/>
          <w:szCs w:val="24"/>
        </w:rPr>
        <w:tab/>
      </w:r>
      <w:r w:rsidR="00F809F3">
        <w:rPr>
          <w:sz w:val="24"/>
          <w:szCs w:val="24"/>
        </w:rPr>
        <w:t>Throughout the process of constructing this report, t</w:t>
      </w:r>
      <w:r w:rsidR="00620EFD">
        <w:rPr>
          <w:sz w:val="24"/>
          <w:szCs w:val="24"/>
        </w:rPr>
        <w:t xml:space="preserve">he Carbon Calculator itself was simple to use, </w:t>
      </w:r>
      <w:r w:rsidR="00F809F3">
        <w:rPr>
          <w:sz w:val="24"/>
          <w:szCs w:val="24"/>
        </w:rPr>
        <w:t xml:space="preserve">however </w:t>
      </w:r>
      <w:r w:rsidR="00620EFD">
        <w:rPr>
          <w:sz w:val="24"/>
          <w:szCs w:val="24"/>
        </w:rPr>
        <w:t xml:space="preserve">the categories are quite specific </w:t>
      </w:r>
      <w:r w:rsidR="00F809F3">
        <w:rPr>
          <w:sz w:val="24"/>
          <w:szCs w:val="24"/>
        </w:rPr>
        <w:t xml:space="preserve">and the data needed to get accurate results proved somewhat challenging to obtain. </w:t>
      </w:r>
    </w:p>
    <w:p w:rsidR="00336D25" w:rsidRDefault="00336D25" w:rsidP="00165C37">
      <w:pPr>
        <w:rPr>
          <w:sz w:val="24"/>
          <w:szCs w:val="24"/>
        </w:rPr>
      </w:pPr>
      <w:r>
        <w:rPr>
          <w:sz w:val="24"/>
          <w:szCs w:val="24"/>
        </w:rPr>
        <w:tab/>
        <w:t xml:space="preserve">With using the Carbon Calculator there needs to be room for some prevalent sources of error. The calculations that were made regarding commuter travel were based on generalized assumptions. A commuter survey was utilized by Dr. Philip </w:t>
      </w:r>
      <w:proofErr w:type="spellStart"/>
      <w:r>
        <w:rPr>
          <w:sz w:val="24"/>
          <w:szCs w:val="24"/>
        </w:rPr>
        <w:t>S</w:t>
      </w:r>
      <w:r w:rsidR="00CC08F6">
        <w:rPr>
          <w:sz w:val="24"/>
          <w:szCs w:val="24"/>
        </w:rPr>
        <w:t>i</w:t>
      </w:r>
      <w:r>
        <w:rPr>
          <w:sz w:val="24"/>
          <w:szCs w:val="24"/>
        </w:rPr>
        <w:t>ria</w:t>
      </w:r>
      <w:r w:rsidR="00CC08F6">
        <w:rPr>
          <w:sz w:val="24"/>
          <w:szCs w:val="24"/>
        </w:rPr>
        <w:t>n</w:t>
      </w:r>
      <w:r>
        <w:rPr>
          <w:sz w:val="24"/>
          <w:szCs w:val="24"/>
        </w:rPr>
        <w:t>ni</w:t>
      </w:r>
      <w:proofErr w:type="spellEnd"/>
      <w:r>
        <w:rPr>
          <w:sz w:val="24"/>
          <w:szCs w:val="24"/>
        </w:rPr>
        <w:t xml:space="preserve"> </w:t>
      </w:r>
      <w:r w:rsidR="00CC08F6">
        <w:rPr>
          <w:sz w:val="24"/>
          <w:szCs w:val="24"/>
        </w:rPr>
        <w:t xml:space="preserve">but this only accounted for a fraction of the student body, faculty and staff. Based on the survey data and number of commuter passes issued through the college we were able to estimate our final calculations. </w:t>
      </w:r>
      <w:r w:rsidR="00620EFD">
        <w:rPr>
          <w:sz w:val="24"/>
          <w:szCs w:val="24"/>
        </w:rPr>
        <w:t xml:space="preserve">It is difficult to gather more accurate information in this category because it is individually based. The use of a larger scale survey would be recommended for future reports.  </w:t>
      </w:r>
    </w:p>
    <w:p w:rsidR="00CC08F6" w:rsidRDefault="00CC08F6" w:rsidP="00165C37">
      <w:pPr>
        <w:rPr>
          <w:sz w:val="24"/>
          <w:szCs w:val="24"/>
        </w:rPr>
      </w:pPr>
      <w:r>
        <w:rPr>
          <w:sz w:val="24"/>
          <w:szCs w:val="24"/>
        </w:rPr>
        <w:tab/>
        <w:t xml:space="preserve">The most </w:t>
      </w:r>
      <w:r w:rsidR="0088771B">
        <w:rPr>
          <w:sz w:val="24"/>
          <w:szCs w:val="24"/>
        </w:rPr>
        <w:t>tedious</w:t>
      </w:r>
      <w:r>
        <w:rPr>
          <w:sz w:val="24"/>
          <w:szCs w:val="24"/>
        </w:rPr>
        <w:t xml:space="preserve"> </w:t>
      </w:r>
      <w:r w:rsidR="00620EFD">
        <w:rPr>
          <w:sz w:val="24"/>
          <w:szCs w:val="24"/>
        </w:rPr>
        <w:t>coefficient</w:t>
      </w:r>
      <w:r>
        <w:rPr>
          <w:sz w:val="24"/>
          <w:szCs w:val="24"/>
        </w:rPr>
        <w:t xml:space="preserve"> to calculate in the report was Air Travel. This required manually going through pages of school records</w:t>
      </w:r>
      <w:r w:rsidR="0088771B">
        <w:rPr>
          <w:sz w:val="24"/>
          <w:szCs w:val="24"/>
        </w:rPr>
        <w:t xml:space="preserve"> that log cities that were traveled throughout the year by both students and faculty and calculating each individual trip’s mileage. After each individual trip’s mileage was complete, they were multiplies by the number of trips taken that year, and how many students and faculty attended. This process resulted in our final calculation for the report.</w:t>
      </w:r>
      <w:r>
        <w:rPr>
          <w:sz w:val="24"/>
          <w:szCs w:val="24"/>
        </w:rPr>
        <w:t xml:space="preserve"> </w:t>
      </w:r>
      <w:r w:rsidR="00F809F3">
        <w:rPr>
          <w:sz w:val="24"/>
          <w:szCs w:val="24"/>
        </w:rPr>
        <w:t xml:space="preserve">This was the most difficult aspect of the report to complete. The author </w:t>
      </w:r>
      <w:r w:rsidR="00F809F3">
        <w:rPr>
          <w:sz w:val="24"/>
          <w:szCs w:val="24"/>
        </w:rPr>
        <w:lastRenderedPageBreak/>
        <w:t xml:space="preserve">recommends that the calculations be done over time and double checked to minimize chances of error. </w:t>
      </w:r>
    </w:p>
    <w:p w:rsidR="00165C37" w:rsidRPr="00D62304" w:rsidRDefault="00165C37" w:rsidP="00165C37">
      <w:pPr>
        <w:rPr>
          <w:b/>
          <w:sz w:val="32"/>
          <w:szCs w:val="32"/>
        </w:rPr>
      </w:pPr>
      <w:r w:rsidRPr="00D62304">
        <w:rPr>
          <w:b/>
          <w:sz w:val="32"/>
          <w:szCs w:val="32"/>
        </w:rPr>
        <w:t>Part V: Conclusion</w:t>
      </w:r>
    </w:p>
    <w:p w:rsidR="00165C37" w:rsidRDefault="00D62304" w:rsidP="001624DF">
      <w:pPr>
        <w:ind w:firstLine="720"/>
        <w:rPr>
          <w:sz w:val="24"/>
          <w:szCs w:val="24"/>
        </w:rPr>
      </w:pPr>
      <w:r>
        <w:rPr>
          <w:sz w:val="24"/>
          <w:szCs w:val="24"/>
        </w:rPr>
        <w:t xml:space="preserve">The </w:t>
      </w:r>
      <w:r w:rsidR="001624DF">
        <w:rPr>
          <w:sz w:val="24"/>
          <w:szCs w:val="24"/>
        </w:rPr>
        <w:t xml:space="preserve">Carbon Calculator gave insight to SUNY Oneonta’s overall carbon footprint and which aspects of life these emissions are coming from. </w:t>
      </w:r>
      <w:r w:rsidR="007752E0">
        <w:rPr>
          <w:sz w:val="24"/>
          <w:szCs w:val="24"/>
        </w:rPr>
        <w:t xml:space="preserve">This report allows us to view each how each scope contributes to our total emissions as a campus. Comparing SUNY Oneonta’s total emissions with other New York State institutions also allows us to see how efficient the college is relative to our student body and the square footage of our campus. </w:t>
      </w:r>
    </w:p>
    <w:p w:rsidR="002275F9" w:rsidRDefault="002275F9" w:rsidP="002275F9">
      <w:pPr>
        <w:ind w:firstLine="720"/>
        <w:rPr>
          <w:sz w:val="24"/>
          <w:szCs w:val="24"/>
        </w:rPr>
      </w:pPr>
      <w:r>
        <w:rPr>
          <w:sz w:val="24"/>
          <w:szCs w:val="24"/>
        </w:rPr>
        <w:t xml:space="preserve">All factors regarding SUNY Oneonta’s carbon footprints can be improved in simple ways such as </w:t>
      </w:r>
      <w:r>
        <w:rPr>
          <w:sz w:val="24"/>
          <w:szCs w:val="24"/>
        </w:rPr>
        <w:t xml:space="preserve">using organic fertilizers, composting our food waste, and insuring that the campus’s building are well insulated to minimize heating. </w:t>
      </w:r>
      <w:r w:rsidR="00A26B4B">
        <w:rPr>
          <w:sz w:val="24"/>
          <w:szCs w:val="24"/>
        </w:rPr>
        <w:t xml:space="preserve">Education and awareness are going to play a huge role in lessoning factors such as individual commuter mileage and solid waste. Encouraging the student body to utilize the Oneonta Public transit system and to recycle will have a positive impact on lowering the college’s carbon emissions. </w:t>
      </w:r>
    </w:p>
    <w:p w:rsidR="002275F9" w:rsidRDefault="007752E0" w:rsidP="002275F9">
      <w:pPr>
        <w:ind w:firstLine="720"/>
        <w:rPr>
          <w:sz w:val="24"/>
          <w:szCs w:val="24"/>
        </w:rPr>
      </w:pPr>
      <w:r>
        <w:rPr>
          <w:sz w:val="24"/>
          <w:szCs w:val="24"/>
        </w:rPr>
        <w:t xml:space="preserve">SUNY Oneonta’s greatest factor towards its overall emissions was in scope 2, purchased electricity. </w:t>
      </w:r>
      <w:r w:rsidR="00B5798B">
        <w:rPr>
          <w:sz w:val="24"/>
          <w:szCs w:val="24"/>
        </w:rPr>
        <w:t xml:space="preserve">The university can do serval things to lower its consumption of electricity. Installation of motion sensor lights in all the restrooms and hallways on campus would have a great impact on lowering our electricity consumption. Another way to lower consumption would be to have the outdoor campus lights switched to partial solar power. The campus could also take a more drastic measure and set a light curfew for all strictly academic </w:t>
      </w:r>
      <w:r w:rsidR="002275F9">
        <w:rPr>
          <w:sz w:val="24"/>
          <w:szCs w:val="24"/>
        </w:rPr>
        <w:t>buildings, this way all lights would be shut off after a certain hour until the building is opened again the following morning. These changes would make an exceptional leap towards sustai</w:t>
      </w:r>
      <w:r w:rsidR="00A26B4B">
        <w:rPr>
          <w:sz w:val="24"/>
          <w:szCs w:val="24"/>
        </w:rPr>
        <w:t>nability for the college</w:t>
      </w:r>
      <w:r w:rsidR="002275F9">
        <w:rPr>
          <w:sz w:val="24"/>
          <w:szCs w:val="24"/>
        </w:rPr>
        <w:t>.</w:t>
      </w:r>
    </w:p>
    <w:p w:rsidR="007E6DDA" w:rsidRDefault="00A26B4B" w:rsidP="00A26B4B">
      <w:pPr>
        <w:rPr>
          <w:sz w:val="24"/>
          <w:szCs w:val="24"/>
        </w:rPr>
      </w:pPr>
      <w:r>
        <w:rPr>
          <w:sz w:val="24"/>
          <w:szCs w:val="24"/>
        </w:rPr>
        <w:tab/>
      </w:r>
      <w:r w:rsidR="0032174A">
        <w:rPr>
          <w:sz w:val="24"/>
          <w:szCs w:val="24"/>
        </w:rPr>
        <w:t xml:space="preserve">Thanks to Hannah Morgan, the Sustainability Director for </w:t>
      </w:r>
      <w:r>
        <w:rPr>
          <w:sz w:val="24"/>
          <w:szCs w:val="24"/>
        </w:rPr>
        <w:t>SUNY Oneonta</w:t>
      </w:r>
      <w:r w:rsidR="0032174A">
        <w:rPr>
          <w:sz w:val="24"/>
          <w:szCs w:val="24"/>
        </w:rPr>
        <w:t xml:space="preserve">, the college has already made huge improvements. With </w:t>
      </w:r>
      <w:r w:rsidR="007E6DDA">
        <w:rPr>
          <w:sz w:val="24"/>
          <w:szCs w:val="24"/>
        </w:rPr>
        <w:t xml:space="preserve">recycling, composting, and water runoff projects in place, SUNY Oneonta is making great progress to become more sustainable. </w:t>
      </w:r>
      <w:r w:rsidR="0032174A">
        <w:rPr>
          <w:sz w:val="24"/>
          <w:szCs w:val="24"/>
        </w:rPr>
        <w:t xml:space="preserve">The University is currently working towards a solar panel installation on campus that would help meet energy demands and cut our carbon emissions drastically. </w:t>
      </w:r>
    </w:p>
    <w:p w:rsidR="007752E0" w:rsidRPr="00165C37" w:rsidRDefault="007E6DDA" w:rsidP="00A26B4B">
      <w:pPr>
        <w:rPr>
          <w:sz w:val="24"/>
          <w:szCs w:val="24"/>
        </w:rPr>
      </w:pPr>
      <w:r>
        <w:rPr>
          <w:sz w:val="24"/>
          <w:szCs w:val="24"/>
        </w:rPr>
        <w:tab/>
        <w:t xml:space="preserve">With the collective data of the 2008 and now the 2013 Green House Gas Inventory for SUNY Oneonta College, there is a better understanding of what adjustments need to be made in order to improve our efficiency and reduce emissions. </w:t>
      </w:r>
      <w:r w:rsidR="00C55272">
        <w:rPr>
          <w:sz w:val="24"/>
          <w:szCs w:val="24"/>
        </w:rPr>
        <w:t xml:space="preserve">Future reports will enable SUNY Oneonta to continue to make strides towards becoming a more sustainable university.  </w:t>
      </w:r>
      <w:r>
        <w:rPr>
          <w:sz w:val="24"/>
          <w:szCs w:val="24"/>
        </w:rPr>
        <w:t xml:space="preserve">  </w:t>
      </w:r>
      <w:r w:rsidR="0032174A">
        <w:rPr>
          <w:sz w:val="24"/>
          <w:szCs w:val="24"/>
        </w:rPr>
        <w:t xml:space="preserve"> </w:t>
      </w:r>
      <w:r w:rsidR="00A26B4B">
        <w:rPr>
          <w:sz w:val="24"/>
          <w:szCs w:val="24"/>
        </w:rPr>
        <w:t xml:space="preserve"> </w:t>
      </w:r>
    </w:p>
    <w:sectPr w:rsidR="007752E0" w:rsidRPr="00165C37" w:rsidSect="00CF77C0">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F6" w:rsidRDefault="00CC08F6" w:rsidP="00E25AB9">
      <w:pPr>
        <w:spacing w:after="0" w:line="240" w:lineRule="auto"/>
      </w:pPr>
      <w:r>
        <w:separator/>
      </w:r>
    </w:p>
  </w:endnote>
  <w:endnote w:type="continuationSeparator" w:id="0">
    <w:p w:rsidR="00CC08F6" w:rsidRDefault="00CC08F6" w:rsidP="00E2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F6" w:rsidRDefault="00CC08F6">
    <w:pPr>
      <w:pStyle w:val="Footer"/>
      <w:jc w:val="right"/>
    </w:pPr>
    <w:r>
      <w:fldChar w:fldCharType="begin"/>
    </w:r>
    <w:r>
      <w:instrText xml:space="preserve"> PAGE   \* MERGEFORMAT </w:instrText>
    </w:r>
    <w:r>
      <w:fldChar w:fldCharType="separate"/>
    </w:r>
    <w:r w:rsidR="00B5645E">
      <w:rPr>
        <w:noProof/>
      </w:rPr>
      <w:t>3</w:t>
    </w:r>
    <w:r>
      <w:rPr>
        <w:noProof/>
      </w:rPr>
      <w:fldChar w:fldCharType="end"/>
    </w:r>
  </w:p>
  <w:p w:rsidR="00CC08F6" w:rsidRDefault="00CC0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F6" w:rsidRDefault="00CC08F6" w:rsidP="00E25AB9">
      <w:pPr>
        <w:spacing w:after="0" w:line="240" w:lineRule="auto"/>
      </w:pPr>
      <w:r>
        <w:separator/>
      </w:r>
    </w:p>
  </w:footnote>
  <w:footnote w:type="continuationSeparator" w:id="0">
    <w:p w:rsidR="00CC08F6" w:rsidRDefault="00CC08F6" w:rsidP="00E25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B4C4D"/>
    <w:multiLevelType w:val="hybridMultilevel"/>
    <w:tmpl w:val="F772540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7D1A1D29"/>
    <w:multiLevelType w:val="hybridMultilevel"/>
    <w:tmpl w:val="D43A66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B9"/>
    <w:rsid w:val="00011E10"/>
    <w:rsid w:val="00014CFC"/>
    <w:rsid w:val="00024E73"/>
    <w:rsid w:val="000C3599"/>
    <w:rsid w:val="000D084B"/>
    <w:rsid w:val="000F7562"/>
    <w:rsid w:val="00110B18"/>
    <w:rsid w:val="00152446"/>
    <w:rsid w:val="00156FD8"/>
    <w:rsid w:val="001624DF"/>
    <w:rsid w:val="00165C37"/>
    <w:rsid w:val="00176713"/>
    <w:rsid w:val="0018294E"/>
    <w:rsid w:val="00192FF1"/>
    <w:rsid w:val="001A6C5B"/>
    <w:rsid w:val="001B2FAC"/>
    <w:rsid w:val="001F6126"/>
    <w:rsid w:val="00215FF5"/>
    <w:rsid w:val="00216015"/>
    <w:rsid w:val="00225EB9"/>
    <w:rsid w:val="002275F9"/>
    <w:rsid w:val="00243BD2"/>
    <w:rsid w:val="002666F0"/>
    <w:rsid w:val="002976AE"/>
    <w:rsid w:val="002C000F"/>
    <w:rsid w:val="002E547E"/>
    <w:rsid w:val="002E6198"/>
    <w:rsid w:val="00303575"/>
    <w:rsid w:val="00305402"/>
    <w:rsid w:val="0032174A"/>
    <w:rsid w:val="00322C4A"/>
    <w:rsid w:val="00322DBC"/>
    <w:rsid w:val="00336D25"/>
    <w:rsid w:val="00354FA6"/>
    <w:rsid w:val="00367B49"/>
    <w:rsid w:val="00372E7B"/>
    <w:rsid w:val="00374D31"/>
    <w:rsid w:val="003D57E7"/>
    <w:rsid w:val="003E457D"/>
    <w:rsid w:val="003E5962"/>
    <w:rsid w:val="004205D4"/>
    <w:rsid w:val="004403EA"/>
    <w:rsid w:val="00460E92"/>
    <w:rsid w:val="00480879"/>
    <w:rsid w:val="00496D85"/>
    <w:rsid w:val="004A2772"/>
    <w:rsid w:val="004A7ED4"/>
    <w:rsid w:val="004C092E"/>
    <w:rsid w:val="004E2992"/>
    <w:rsid w:val="004E4B97"/>
    <w:rsid w:val="004E7D17"/>
    <w:rsid w:val="00502DD5"/>
    <w:rsid w:val="0054067D"/>
    <w:rsid w:val="005D2ADE"/>
    <w:rsid w:val="005F0A7B"/>
    <w:rsid w:val="006076EA"/>
    <w:rsid w:val="0061443C"/>
    <w:rsid w:val="00620EFD"/>
    <w:rsid w:val="00640462"/>
    <w:rsid w:val="00640535"/>
    <w:rsid w:val="00647CC1"/>
    <w:rsid w:val="006500C6"/>
    <w:rsid w:val="00650755"/>
    <w:rsid w:val="0067267A"/>
    <w:rsid w:val="00683D1C"/>
    <w:rsid w:val="00686540"/>
    <w:rsid w:val="006A4851"/>
    <w:rsid w:val="006A5E8E"/>
    <w:rsid w:val="006B07B6"/>
    <w:rsid w:val="006C3184"/>
    <w:rsid w:val="006F68D2"/>
    <w:rsid w:val="007035A7"/>
    <w:rsid w:val="007467FC"/>
    <w:rsid w:val="00756DE9"/>
    <w:rsid w:val="00764CE3"/>
    <w:rsid w:val="007752E0"/>
    <w:rsid w:val="00780711"/>
    <w:rsid w:val="00785553"/>
    <w:rsid w:val="007B259E"/>
    <w:rsid w:val="007D1652"/>
    <w:rsid w:val="007D45F3"/>
    <w:rsid w:val="007E19D5"/>
    <w:rsid w:val="007E6DDA"/>
    <w:rsid w:val="007F63EE"/>
    <w:rsid w:val="0080320E"/>
    <w:rsid w:val="00806510"/>
    <w:rsid w:val="00817BDB"/>
    <w:rsid w:val="00841ADB"/>
    <w:rsid w:val="00852FA4"/>
    <w:rsid w:val="00854C4B"/>
    <w:rsid w:val="00863D16"/>
    <w:rsid w:val="008731C5"/>
    <w:rsid w:val="008768BC"/>
    <w:rsid w:val="0088771B"/>
    <w:rsid w:val="00891FA3"/>
    <w:rsid w:val="008A2E34"/>
    <w:rsid w:val="008C62A0"/>
    <w:rsid w:val="008D0EA4"/>
    <w:rsid w:val="008D2917"/>
    <w:rsid w:val="008E79C2"/>
    <w:rsid w:val="008F31DC"/>
    <w:rsid w:val="00930D4B"/>
    <w:rsid w:val="00933B26"/>
    <w:rsid w:val="00954DEA"/>
    <w:rsid w:val="009578CC"/>
    <w:rsid w:val="00966F0F"/>
    <w:rsid w:val="009733D9"/>
    <w:rsid w:val="0097744B"/>
    <w:rsid w:val="009813B8"/>
    <w:rsid w:val="00A202BE"/>
    <w:rsid w:val="00A26B4B"/>
    <w:rsid w:val="00A36A40"/>
    <w:rsid w:val="00A370DA"/>
    <w:rsid w:val="00A45400"/>
    <w:rsid w:val="00A700EF"/>
    <w:rsid w:val="00A864F4"/>
    <w:rsid w:val="00AB1B87"/>
    <w:rsid w:val="00AB2B97"/>
    <w:rsid w:val="00AD12A3"/>
    <w:rsid w:val="00AD3A73"/>
    <w:rsid w:val="00AE5B9A"/>
    <w:rsid w:val="00B3596A"/>
    <w:rsid w:val="00B41684"/>
    <w:rsid w:val="00B5645E"/>
    <w:rsid w:val="00B5798B"/>
    <w:rsid w:val="00B606B5"/>
    <w:rsid w:val="00B6631D"/>
    <w:rsid w:val="00B71085"/>
    <w:rsid w:val="00BA590F"/>
    <w:rsid w:val="00BB271A"/>
    <w:rsid w:val="00BB58CF"/>
    <w:rsid w:val="00BB5BF9"/>
    <w:rsid w:val="00BB6C28"/>
    <w:rsid w:val="00C0410B"/>
    <w:rsid w:val="00C06E52"/>
    <w:rsid w:val="00C220FC"/>
    <w:rsid w:val="00C47BEC"/>
    <w:rsid w:val="00C54C71"/>
    <w:rsid w:val="00C55272"/>
    <w:rsid w:val="00C75E86"/>
    <w:rsid w:val="00C910B5"/>
    <w:rsid w:val="00C91B56"/>
    <w:rsid w:val="00C960AF"/>
    <w:rsid w:val="00CA3FD4"/>
    <w:rsid w:val="00CB0F83"/>
    <w:rsid w:val="00CC08F6"/>
    <w:rsid w:val="00CC2603"/>
    <w:rsid w:val="00CC59C7"/>
    <w:rsid w:val="00CD7472"/>
    <w:rsid w:val="00CF77C0"/>
    <w:rsid w:val="00CF79AC"/>
    <w:rsid w:val="00D03C5F"/>
    <w:rsid w:val="00D052E0"/>
    <w:rsid w:val="00D17560"/>
    <w:rsid w:val="00D261A5"/>
    <w:rsid w:val="00D407D6"/>
    <w:rsid w:val="00D41732"/>
    <w:rsid w:val="00D534B8"/>
    <w:rsid w:val="00D62304"/>
    <w:rsid w:val="00D75C63"/>
    <w:rsid w:val="00DB683E"/>
    <w:rsid w:val="00DC5D4C"/>
    <w:rsid w:val="00DD4BB6"/>
    <w:rsid w:val="00DD6D4D"/>
    <w:rsid w:val="00E25AB9"/>
    <w:rsid w:val="00E31390"/>
    <w:rsid w:val="00E343D3"/>
    <w:rsid w:val="00E435E7"/>
    <w:rsid w:val="00E47061"/>
    <w:rsid w:val="00E53B82"/>
    <w:rsid w:val="00E55B3B"/>
    <w:rsid w:val="00E61872"/>
    <w:rsid w:val="00E736F9"/>
    <w:rsid w:val="00E878F5"/>
    <w:rsid w:val="00EB1C7E"/>
    <w:rsid w:val="00EC56B1"/>
    <w:rsid w:val="00ED2CA0"/>
    <w:rsid w:val="00ED5614"/>
    <w:rsid w:val="00F116A4"/>
    <w:rsid w:val="00F15F67"/>
    <w:rsid w:val="00F37F18"/>
    <w:rsid w:val="00F53AF7"/>
    <w:rsid w:val="00F609EA"/>
    <w:rsid w:val="00F809F3"/>
    <w:rsid w:val="00F80A35"/>
    <w:rsid w:val="00FC326C"/>
    <w:rsid w:val="00FD533F"/>
    <w:rsid w:val="00FD7551"/>
    <w:rsid w:val="00FE25E2"/>
    <w:rsid w:val="00FE362B"/>
    <w:rsid w:val="00FF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5:docId w15:val="{CA443B5F-6161-4374-A8DB-5F8E2529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F9"/>
    <w:pPr>
      <w:spacing w:after="200" w:line="276" w:lineRule="auto"/>
    </w:pPr>
  </w:style>
  <w:style w:type="paragraph" w:styleId="Heading2">
    <w:name w:val="heading 2"/>
    <w:basedOn w:val="Normal"/>
    <w:next w:val="Normal"/>
    <w:link w:val="Heading2Char"/>
    <w:uiPriority w:val="99"/>
    <w:qFormat/>
    <w:rsid w:val="007E19D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E19D5"/>
    <w:rPr>
      <w:rFonts w:ascii="Cambria" w:hAnsi="Cambria" w:cs="Times New Roman"/>
      <w:b/>
      <w:bCs/>
      <w:color w:val="4F81BD"/>
      <w:sz w:val="26"/>
      <w:szCs w:val="26"/>
    </w:rPr>
  </w:style>
  <w:style w:type="paragraph" w:styleId="NormalWeb">
    <w:name w:val="Normal (Web)"/>
    <w:basedOn w:val="Normal"/>
    <w:uiPriority w:val="99"/>
    <w:rsid w:val="00E25AB9"/>
    <w:pPr>
      <w:spacing w:before="100" w:beforeAutospacing="1" w:after="100" w:afterAutospacing="1" w:line="240" w:lineRule="auto"/>
    </w:pPr>
    <w:rPr>
      <w:rFonts w:ascii="Arial" w:eastAsia="Times New Roman" w:hAnsi="Arial" w:cs="Arial"/>
      <w:sz w:val="24"/>
      <w:szCs w:val="24"/>
    </w:rPr>
  </w:style>
  <w:style w:type="paragraph" w:styleId="Header">
    <w:name w:val="header"/>
    <w:basedOn w:val="Normal"/>
    <w:link w:val="HeaderChar"/>
    <w:uiPriority w:val="99"/>
    <w:semiHidden/>
    <w:rsid w:val="00E25A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5AB9"/>
    <w:rPr>
      <w:rFonts w:cs="Times New Roman"/>
    </w:rPr>
  </w:style>
  <w:style w:type="paragraph" w:styleId="Footer">
    <w:name w:val="footer"/>
    <w:basedOn w:val="Normal"/>
    <w:link w:val="FooterChar"/>
    <w:uiPriority w:val="99"/>
    <w:rsid w:val="00E25AB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25AB9"/>
    <w:rPr>
      <w:rFonts w:cs="Times New Roman"/>
    </w:rPr>
  </w:style>
  <w:style w:type="table" w:styleId="TableGrid">
    <w:name w:val="Table Grid"/>
    <w:basedOn w:val="TableNormal"/>
    <w:uiPriority w:val="99"/>
    <w:rsid w:val="00E25A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E25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5AB9"/>
    <w:rPr>
      <w:rFonts w:ascii="Tahoma" w:hAnsi="Tahoma" w:cs="Tahoma"/>
      <w:sz w:val="16"/>
      <w:szCs w:val="16"/>
    </w:rPr>
  </w:style>
  <w:style w:type="paragraph" w:styleId="ListParagraph">
    <w:name w:val="List Paragraph"/>
    <w:basedOn w:val="Normal"/>
    <w:uiPriority w:val="99"/>
    <w:qFormat/>
    <w:rsid w:val="00806510"/>
    <w:pPr>
      <w:ind w:left="720"/>
      <w:contextualSpacing/>
    </w:pPr>
  </w:style>
  <w:style w:type="paragraph" w:customStyle="1" w:styleId="Default">
    <w:name w:val="Default"/>
    <w:uiPriority w:val="99"/>
    <w:rsid w:val="007E19D5"/>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E19D5"/>
    <w:rPr>
      <w:rFonts w:cs="Times New Roman"/>
      <w:color w:val="0000FF"/>
      <w:u w:val="single"/>
    </w:rPr>
  </w:style>
  <w:style w:type="paragraph" w:styleId="NoSpacing">
    <w:name w:val="No Spacing"/>
    <w:link w:val="NoSpacingChar"/>
    <w:uiPriority w:val="99"/>
    <w:qFormat/>
    <w:rsid w:val="00CF77C0"/>
    <w:rPr>
      <w:rFonts w:eastAsia="Times New Roman"/>
    </w:rPr>
  </w:style>
  <w:style w:type="character" w:customStyle="1" w:styleId="NoSpacingChar">
    <w:name w:val="No Spacing Char"/>
    <w:basedOn w:val="DefaultParagraphFont"/>
    <w:link w:val="NoSpacing"/>
    <w:uiPriority w:val="99"/>
    <w:locked/>
    <w:rsid w:val="00CF77C0"/>
    <w:rPr>
      <w:rFonts w:eastAsia="Times New Roman" w:cs="Times New Roman"/>
      <w:sz w:val="22"/>
      <w:szCs w:val="22"/>
      <w:lang w:val="en-US" w:eastAsia="en-US" w:bidi="ar-SA"/>
    </w:rPr>
  </w:style>
  <w:style w:type="paragraph" w:styleId="Title">
    <w:name w:val="Title"/>
    <w:basedOn w:val="Normal"/>
    <w:next w:val="Normal"/>
    <w:link w:val="TitleChar"/>
    <w:uiPriority w:val="99"/>
    <w:qFormat/>
    <w:rsid w:val="00E878F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878F5"/>
    <w:rPr>
      <w:rFonts w:ascii="Cambria" w:hAnsi="Cambria" w:cs="Times New Roman"/>
      <w:color w:val="17365D"/>
      <w:spacing w:val="5"/>
      <w:kern w:val="28"/>
      <w:sz w:val="52"/>
      <w:szCs w:val="52"/>
    </w:rPr>
  </w:style>
  <w:style w:type="paragraph" w:styleId="DocumentMap">
    <w:name w:val="Document Map"/>
    <w:basedOn w:val="Normal"/>
    <w:link w:val="DocumentMapChar"/>
    <w:uiPriority w:val="99"/>
    <w:semiHidden/>
    <w:rsid w:val="00BB58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 w:type="table" w:customStyle="1" w:styleId="TableGrid1">
    <w:name w:val="Table Grid1"/>
    <w:basedOn w:val="TableNormal"/>
    <w:next w:val="TableGrid"/>
    <w:uiPriority w:val="39"/>
    <w:rsid w:val="007D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1516">
      <w:marLeft w:val="0"/>
      <w:marRight w:val="0"/>
      <w:marTop w:val="0"/>
      <w:marBottom w:val="0"/>
      <w:divBdr>
        <w:top w:val="none" w:sz="0" w:space="0" w:color="auto"/>
        <w:left w:val="none" w:sz="0" w:space="0" w:color="auto"/>
        <w:bottom w:val="none" w:sz="0" w:space="0" w:color="auto"/>
        <w:right w:val="none" w:sz="0" w:space="0" w:color="auto"/>
      </w:divBdr>
    </w:div>
    <w:div w:id="654991517">
      <w:marLeft w:val="0"/>
      <w:marRight w:val="0"/>
      <w:marTop w:val="0"/>
      <w:marBottom w:val="0"/>
      <w:divBdr>
        <w:top w:val="none" w:sz="0" w:space="0" w:color="auto"/>
        <w:left w:val="none" w:sz="0" w:space="0" w:color="auto"/>
        <w:bottom w:val="none" w:sz="0" w:space="0" w:color="auto"/>
        <w:right w:val="none" w:sz="0" w:space="0" w:color="auto"/>
      </w:divBdr>
    </w:div>
    <w:div w:id="654991518">
      <w:marLeft w:val="0"/>
      <w:marRight w:val="0"/>
      <w:marTop w:val="0"/>
      <w:marBottom w:val="0"/>
      <w:divBdr>
        <w:top w:val="none" w:sz="0" w:space="0" w:color="auto"/>
        <w:left w:val="none" w:sz="0" w:space="0" w:color="auto"/>
        <w:bottom w:val="none" w:sz="0" w:space="0" w:color="auto"/>
        <w:right w:val="none" w:sz="0" w:space="0" w:color="auto"/>
      </w:divBdr>
    </w:div>
    <w:div w:id="654991519">
      <w:marLeft w:val="0"/>
      <w:marRight w:val="0"/>
      <w:marTop w:val="0"/>
      <w:marBottom w:val="0"/>
      <w:divBdr>
        <w:top w:val="none" w:sz="0" w:space="0" w:color="auto"/>
        <w:left w:val="none" w:sz="0" w:space="0" w:color="auto"/>
        <w:bottom w:val="none" w:sz="0" w:space="0" w:color="auto"/>
        <w:right w:val="none" w:sz="0" w:space="0" w:color="auto"/>
      </w:divBdr>
    </w:div>
    <w:div w:id="654991520">
      <w:marLeft w:val="0"/>
      <w:marRight w:val="0"/>
      <w:marTop w:val="0"/>
      <w:marBottom w:val="0"/>
      <w:divBdr>
        <w:top w:val="none" w:sz="0" w:space="0" w:color="auto"/>
        <w:left w:val="none" w:sz="0" w:space="0" w:color="auto"/>
        <w:bottom w:val="none" w:sz="0" w:space="0" w:color="auto"/>
        <w:right w:val="none" w:sz="0" w:space="0" w:color="auto"/>
      </w:divBdr>
    </w:div>
    <w:div w:id="654991521">
      <w:marLeft w:val="0"/>
      <w:marRight w:val="0"/>
      <w:marTop w:val="0"/>
      <w:marBottom w:val="0"/>
      <w:divBdr>
        <w:top w:val="none" w:sz="0" w:space="0" w:color="auto"/>
        <w:left w:val="none" w:sz="0" w:space="0" w:color="auto"/>
        <w:bottom w:val="none" w:sz="0" w:space="0" w:color="auto"/>
        <w:right w:val="none" w:sz="0" w:space="0" w:color="auto"/>
      </w:divBdr>
    </w:div>
    <w:div w:id="654991522">
      <w:marLeft w:val="0"/>
      <w:marRight w:val="0"/>
      <w:marTop w:val="0"/>
      <w:marBottom w:val="0"/>
      <w:divBdr>
        <w:top w:val="none" w:sz="0" w:space="0" w:color="auto"/>
        <w:left w:val="none" w:sz="0" w:space="0" w:color="auto"/>
        <w:bottom w:val="none" w:sz="0" w:space="0" w:color="auto"/>
        <w:right w:val="none" w:sz="0" w:space="0" w:color="auto"/>
      </w:divBdr>
    </w:div>
    <w:div w:id="654991523">
      <w:marLeft w:val="0"/>
      <w:marRight w:val="0"/>
      <w:marTop w:val="0"/>
      <w:marBottom w:val="0"/>
      <w:divBdr>
        <w:top w:val="none" w:sz="0" w:space="0" w:color="auto"/>
        <w:left w:val="none" w:sz="0" w:space="0" w:color="auto"/>
        <w:bottom w:val="none" w:sz="0" w:space="0" w:color="auto"/>
        <w:right w:val="none" w:sz="0" w:space="0" w:color="auto"/>
      </w:divBdr>
    </w:div>
    <w:div w:id="654991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15</Pages>
  <Words>2521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SUNY, College at Oneonta Greenhouse Gas Inventory</vt:lpstr>
    </vt:vector>
  </TitlesOfParts>
  <Company>S.U.N.Y. Oneonta</Company>
  <LinksUpToDate>false</LinksUpToDate>
  <CharactersWithSpaces>16575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College at Oneonta Greenhouse Gas Inventory</dc:title>
  <dc:creator>ogutks17</dc:creator>
  <cp:lastModifiedBy>Wyllie, Crystal (wyllc79@suny.oneonta.edu)</cp:lastModifiedBy>
  <cp:revision>24</cp:revision>
  <cp:lastPrinted>2015-09-14T17:50:00Z</cp:lastPrinted>
  <dcterms:created xsi:type="dcterms:W3CDTF">2015-05-14T02:30:00Z</dcterms:created>
  <dcterms:modified xsi:type="dcterms:W3CDTF">2015-10-30T22:09:00Z</dcterms:modified>
</cp:coreProperties>
</file>