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AD" w:rsidRPr="00EF04B3" w:rsidRDefault="00A63DAD" w:rsidP="00F1179B">
      <w:pPr>
        <w:pStyle w:val="Heading1"/>
        <w:spacing w:before="0" w:beforeAutospacing="0" w:after="120" w:afterAutospacing="0"/>
        <w:jc w:val="center"/>
        <w:textAlignment w:val="baseline"/>
        <w:rPr>
          <w:rFonts w:ascii="Book Antiqua" w:hAnsi="Book Antiqua"/>
          <w:bCs w:val="0"/>
          <w:caps/>
          <w:sz w:val="24"/>
          <w:szCs w:val="28"/>
        </w:rPr>
      </w:pPr>
      <w:bookmarkStart w:id="0" w:name="_GoBack"/>
      <w:bookmarkEnd w:id="0"/>
      <w:r w:rsidRPr="00EF04B3">
        <w:rPr>
          <w:rFonts w:ascii="Book Antiqua" w:hAnsi="Book Antiqua"/>
          <w:bCs w:val="0"/>
          <w:caps/>
          <w:sz w:val="24"/>
          <w:szCs w:val="28"/>
        </w:rPr>
        <w:t>RESPONSIBLE INVESTMENT policy</w:t>
      </w:r>
    </w:p>
    <w:p w:rsidR="00A63DAD" w:rsidRPr="00EF04B3" w:rsidRDefault="00A63DAD" w:rsidP="00F1179B">
      <w:pPr>
        <w:pStyle w:val="Heading1"/>
        <w:spacing w:before="0" w:beforeAutospacing="0" w:after="120" w:afterAutospacing="0"/>
        <w:jc w:val="center"/>
        <w:textAlignment w:val="baseline"/>
        <w:rPr>
          <w:rFonts w:ascii="Book Antiqua" w:hAnsi="Book Antiqua"/>
          <w:bCs w:val="0"/>
          <w:caps/>
          <w:sz w:val="24"/>
          <w:szCs w:val="28"/>
        </w:rPr>
      </w:pPr>
      <w:r w:rsidRPr="00EF04B3">
        <w:rPr>
          <w:rFonts w:ascii="Book Antiqua" w:hAnsi="Book Antiqua"/>
          <w:bCs w:val="0"/>
          <w:caps/>
          <w:sz w:val="24"/>
          <w:szCs w:val="28"/>
        </w:rPr>
        <w:t>Warren wilson college endowment fund</w:t>
      </w:r>
    </w:p>
    <w:p w:rsidR="00A63DAD" w:rsidRPr="00EF04B3" w:rsidRDefault="002D07D9" w:rsidP="002D07D9">
      <w:pPr>
        <w:jc w:val="center"/>
        <w:rPr>
          <w:bCs/>
        </w:rPr>
      </w:pPr>
      <w:r>
        <w:t xml:space="preserve">Approved by the Board of Trustees on </w:t>
      </w:r>
      <w:r w:rsidR="00695FD4" w:rsidRPr="00EF04B3">
        <w:t>Octo</w:t>
      </w:r>
      <w:r>
        <w:rPr>
          <w:bCs/>
        </w:rPr>
        <w:t>ber 10</w:t>
      </w:r>
      <w:r w:rsidR="00695FD4" w:rsidRPr="00EF04B3">
        <w:t>, 2015</w:t>
      </w:r>
    </w:p>
    <w:p w:rsidR="007E057B" w:rsidRPr="00EF04B3" w:rsidRDefault="005639B9" w:rsidP="00F1179B">
      <w:pPr>
        <w:numPr>
          <w:ilvl w:val="0"/>
          <w:numId w:val="12"/>
        </w:numPr>
        <w:tabs>
          <w:tab w:val="right" w:pos="540"/>
        </w:tabs>
        <w:spacing w:before="360" w:after="120"/>
        <w:ind w:left="360"/>
        <w:jc w:val="both"/>
        <w:rPr>
          <w:rFonts w:ascii="Book Antiqua" w:hAnsi="Book Antiqua"/>
          <w:b/>
          <w:bCs/>
          <w:caps/>
          <w:sz w:val="22"/>
        </w:rPr>
      </w:pPr>
      <w:r w:rsidRPr="00EF04B3">
        <w:rPr>
          <w:rFonts w:ascii="Book Antiqua" w:hAnsi="Book Antiqua"/>
          <w:b/>
          <w:noProof/>
          <w:sz w:val="22"/>
          <w:szCs w:val="22"/>
        </w:rPr>
        <w:t>Statement of Responsible Investment Beliefs</w:t>
      </w:r>
      <w:r w:rsidRPr="00EF04B3">
        <w:rPr>
          <w:rFonts w:ascii="Book Antiqua" w:hAnsi="Book Antiqua"/>
          <w:b/>
          <w:caps/>
          <w:sz w:val="22"/>
        </w:rPr>
        <w:t xml:space="preserve"> </w:t>
      </w:r>
    </w:p>
    <w:p w:rsidR="00B509AF" w:rsidRPr="00EF04B3" w:rsidRDefault="00481D55" w:rsidP="00071DFD">
      <w:pPr>
        <w:pStyle w:val="BodyTextIndent"/>
        <w:ind w:left="360"/>
        <w:rPr>
          <w:sz w:val="22"/>
        </w:rPr>
      </w:pPr>
      <w:r w:rsidRPr="00EF04B3">
        <w:rPr>
          <w:sz w:val="22"/>
        </w:rPr>
        <w:t xml:space="preserve">The </w:t>
      </w:r>
      <w:r w:rsidRPr="00EF04B3">
        <w:rPr>
          <w:noProof/>
          <w:sz w:val="22"/>
        </w:rPr>
        <w:t>Investment</w:t>
      </w:r>
      <w:r w:rsidRPr="00EF04B3">
        <w:rPr>
          <w:sz w:val="22"/>
        </w:rPr>
        <w:t xml:space="preserve"> Committee</w:t>
      </w:r>
      <w:r w:rsidR="003B08EF" w:rsidRPr="00EF04B3">
        <w:rPr>
          <w:sz w:val="22"/>
        </w:rPr>
        <w:t xml:space="preserve"> (IC)</w:t>
      </w:r>
      <w:r w:rsidRPr="00EF04B3">
        <w:rPr>
          <w:sz w:val="22"/>
        </w:rPr>
        <w:t xml:space="preserve"> believes it has a responsibility to </w:t>
      </w:r>
      <w:r w:rsidR="00410BBB" w:rsidRPr="00EF04B3">
        <w:rPr>
          <w:sz w:val="22"/>
        </w:rPr>
        <w:t>manage the endowment fund’s assets and underlying investments in a manner consistent with the values, culture</w:t>
      </w:r>
      <w:r w:rsidR="003B08EF" w:rsidRPr="00EF04B3">
        <w:rPr>
          <w:sz w:val="22"/>
        </w:rPr>
        <w:t>,</w:t>
      </w:r>
      <w:r w:rsidR="00410BBB" w:rsidRPr="00EF04B3">
        <w:rPr>
          <w:sz w:val="22"/>
        </w:rPr>
        <w:t xml:space="preserve"> and mission of </w:t>
      </w:r>
      <w:r w:rsidRPr="00EF04B3">
        <w:rPr>
          <w:sz w:val="22"/>
        </w:rPr>
        <w:t>Warren Wilson College</w:t>
      </w:r>
      <w:r w:rsidR="00410BBB" w:rsidRPr="00EF04B3">
        <w:rPr>
          <w:sz w:val="22"/>
        </w:rPr>
        <w:t xml:space="preserve">.  As such, the Investment Committee feels the need and importance to </w:t>
      </w:r>
      <w:r w:rsidR="00B509AF" w:rsidRPr="00EF04B3">
        <w:rPr>
          <w:sz w:val="22"/>
        </w:rPr>
        <w:t xml:space="preserve">specifically </w:t>
      </w:r>
      <w:r w:rsidR="00410BBB" w:rsidRPr="00EF04B3">
        <w:rPr>
          <w:sz w:val="22"/>
        </w:rPr>
        <w:t xml:space="preserve">highlight and illustrate within the endowment fund’s Investment Policy </w:t>
      </w:r>
      <w:r w:rsidR="004953E4" w:rsidRPr="00EF04B3">
        <w:rPr>
          <w:sz w:val="22"/>
        </w:rPr>
        <w:t>certain guiding principles and investment guid</w:t>
      </w:r>
      <w:r w:rsidR="0030326B" w:rsidRPr="00EF04B3">
        <w:rPr>
          <w:sz w:val="22"/>
        </w:rPr>
        <w:t xml:space="preserve">elines reflecting </w:t>
      </w:r>
      <w:r w:rsidR="008444DA" w:rsidRPr="00EF04B3">
        <w:rPr>
          <w:sz w:val="22"/>
        </w:rPr>
        <w:t>its responsible investing</w:t>
      </w:r>
      <w:r w:rsidR="0030326B" w:rsidRPr="00EF04B3">
        <w:rPr>
          <w:sz w:val="22"/>
        </w:rPr>
        <w:t xml:space="preserve"> philosophy.</w:t>
      </w:r>
    </w:p>
    <w:p w:rsidR="00670ED6" w:rsidRPr="00EF04B3" w:rsidRDefault="005639B9" w:rsidP="00EF04B3">
      <w:pPr>
        <w:numPr>
          <w:ilvl w:val="0"/>
          <w:numId w:val="12"/>
        </w:numPr>
        <w:tabs>
          <w:tab w:val="right" w:pos="540"/>
        </w:tabs>
        <w:spacing w:before="240" w:after="120"/>
        <w:ind w:left="360"/>
        <w:jc w:val="both"/>
        <w:rPr>
          <w:rFonts w:ascii="Book Antiqua" w:hAnsi="Book Antiqua"/>
          <w:b/>
          <w:sz w:val="22"/>
        </w:rPr>
      </w:pPr>
      <w:r w:rsidRPr="00EF04B3">
        <w:rPr>
          <w:rFonts w:ascii="Book Antiqua" w:hAnsi="Book Antiqua"/>
          <w:b/>
          <w:sz w:val="22"/>
        </w:rPr>
        <w:t>Responsible Investing Philosophy</w:t>
      </w:r>
    </w:p>
    <w:p w:rsidR="007222B9" w:rsidRPr="00EF04B3" w:rsidRDefault="00670ED6" w:rsidP="00071DFD">
      <w:pPr>
        <w:pStyle w:val="BodyTextIndent"/>
        <w:ind w:left="360"/>
        <w:rPr>
          <w:sz w:val="22"/>
        </w:rPr>
      </w:pPr>
      <w:r w:rsidRPr="00EF04B3">
        <w:rPr>
          <w:sz w:val="22"/>
        </w:rPr>
        <w:t xml:space="preserve">The </w:t>
      </w:r>
      <w:r w:rsidR="003B08EF" w:rsidRPr="00EF04B3">
        <w:rPr>
          <w:sz w:val="22"/>
        </w:rPr>
        <w:t xml:space="preserve">Investment Committee intends the </w:t>
      </w:r>
      <w:r w:rsidRPr="00EF04B3">
        <w:rPr>
          <w:sz w:val="22"/>
        </w:rPr>
        <w:t>integration of environmental, social</w:t>
      </w:r>
      <w:r w:rsidR="006C2FB0">
        <w:rPr>
          <w:sz w:val="22"/>
        </w:rPr>
        <w:t>,</w:t>
      </w:r>
      <w:r w:rsidRPr="00EF04B3">
        <w:rPr>
          <w:sz w:val="22"/>
        </w:rPr>
        <w:t xml:space="preserve"> and corporate governance (ESG) considerations into investment management strategies, processes and practices in the belief that these factors can </w:t>
      </w:r>
      <w:r w:rsidR="003B08EF" w:rsidRPr="00EF04B3">
        <w:rPr>
          <w:sz w:val="22"/>
        </w:rPr>
        <w:t>benefit</w:t>
      </w:r>
      <w:r w:rsidRPr="00EF04B3">
        <w:rPr>
          <w:sz w:val="22"/>
        </w:rPr>
        <w:t xml:space="preserve"> the endowment fund’s </w:t>
      </w:r>
      <w:r w:rsidR="008444DA" w:rsidRPr="00EF04B3">
        <w:rPr>
          <w:sz w:val="22"/>
        </w:rPr>
        <w:t xml:space="preserve">performance, and </w:t>
      </w:r>
      <w:r w:rsidR="003B08EF" w:rsidRPr="00EF04B3">
        <w:rPr>
          <w:sz w:val="22"/>
        </w:rPr>
        <w:t xml:space="preserve">provide </w:t>
      </w:r>
      <w:r w:rsidR="008444DA" w:rsidRPr="00EF04B3">
        <w:rPr>
          <w:sz w:val="22"/>
        </w:rPr>
        <w:t>a qualitative impact consistent with the values, culture and mission of Warren Wilson College.</w:t>
      </w:r>
    </w:p>
    <w:p w:rsidR="0030326B" w:rsidRPr="00EF04B3" w:rsidRDefault="005639B9" w:rsidP="00EF04B3">
      <w:pPr>
        <w:numPr>
          <w:ilvl w:val="0"/>
          <w:numId w:val="12"/>
        </w:numPr>
        <w:tabs>
          <w:tab w:val="right" w:pos="540"/>
        </w:tabs>
        <w:spacing w:before="240" w:after="120"/>
        <w:ind w:left="360"/>
        <w:jc w:val="both"/>
        <w:rPr>
          <w:rFonts w:ascii="Book Antiqua" w:hAnsi="Book Antiqua"/>
          <w:b/>
          <w:sz w:val="22"/>
        </w:rPr>
      </w:pPr>
      <w:r w:rsidRPr="00EF04B3">
        <w:rPr>
          <w:rFonts w:ascii="Book Antiqua" w:hAnsi="Book Antiqua"/>
          <w:b/>
          <w:noProof/>
          <w:sz w:val="22"/>
          <w:szCs w:val="22"/>
        </w:rPr>
        <w:t>Guiding Principles</w:t>
      </w:r>
    </w:p>
    <w:p w:rsidR="007222B9" w:rsidRPr="00EF04B3" w:rsidRDefault="007222B9" w:rsidP="00EF04B3">
      <w:pPr>
        <w:pStyle w:val="BodyTextIndent"/>
        <w:spacing w:after="120"/>
        <w:ind w:left="360"/>
        <w:rPr>
          <w:sz w:val="22"/>
        </w:rPr>
      </w:pPr>
      <w:r w:rsidRPr="00EF04B3">
        <w:rPr>
          <w:sz w:val="22"/>
        </w:rPr>
        <w:t>We will incorporate ESG criteria</w:t>
      </w:r>
      <w:r w:rsidR="000334F0" w:rsidRPr="00EF04B3">
        <w:rPr>
          <w:sz w:val="22"/>
        </w:rPr>
        <w:t xml:space="preserve"> in the </w:t>
      </w:r>
      <w:r w:rsidR="0080537B" w:rsidRPr="00EF04B3">
        <w:rPr>
          <w:sz w:val="22"/>
        </w:rPr>
        <w:t xml:space="preserve">endowment fund’s </w:t>
      </w:r>
      <w:r w:rsidR="000334F0" w:rsidRPr="00EF04B3">
        <w:rPr>
          <w:sz w:val="22"/>
        </w:rPr>
        <w:t>investment analysi</w:t>
      </w:r>
      <w:r w:rsidRPr="00EF04B3">
        <w:rPr>
          <w:sz w:val="22"/>
        </w:rPr>
        <w:t>s and decision-making processes,</w:t>
      </w:r>
      <w:r w:rsidRPr="00EF04B3">
        <w:rPr>
          <w:rFonts w:cs="Arial"/>
          <w:sz w:val="22"/>
        </w:rPr>
        <w:t xml:space="preserve"> particularly emphasizing profitable investments with positive social and environmental impacts aligned with the priorities and values of Warren Wilson College.</w:t>
      </w:r>
    </w:p>
    <w:p w:rsidR="0080537B" w:rsidRPr="00EF04B3" w:rsidRDefault="000334F0" w:rsidP="003D7F82">
      <w:pPr>
        <w:pStyle w:val="NormalWeb"/>
        <w:numPr>
          <w:ilvl w:val="0"/>
          <w:numId w:val="10"/>
        </w:numPr>
        <w:shd w:val="clear" w:color="auto" w:fill="FFFFFF"/>
        <w:spacing w:before="0" w:beforeAutospacing="0" w:after="120" w:afterAutospacing="0"/>
        <w:ind w:left="1080" w:right="360"/>
        <w:jc w:val="both"/>
        <w:textAlignment w:val="baseline"/>
        <w:rPr>
          <w:rFonts w:ascii="Book Antiqua" w:hAnsi="Book Antiqua"/>
          <w:sz w:val="22"/>
        </w:rPr>
      </w:pPr>
      <w:r w:rsidRPr="00EF04B3">
        <w:rPr>
          <w:rFonts w:ascii="Book Antiqua" w:hAnsi="Book Antiqua"/>
          <w:sz w:val="22"/>
        </w:rPr>
        <w:t xml:space="preserve">We will </w:t>
      </w:r>
      <w:r w:rsidR="0080537B" w:rsidRPr="00EF04B3">
        <w:rPr>
          <w:rFonts w:ascii="Book Antiqua" w:hAnsi="Book Antiqua"/>
          <w:sz w:val="22"/>
        </w:rPr>
        <w:t xml:space="preserve">utilize positive screening as a way to proactively </w:t>
      </w:r>
      <w:r w:rsidR="003B08EF" w:rsidRPr="00EF04B3">
        <w:rPr>
          <w:rFonts w:ascii="Book Antiqua" w:hAnsi="Book Antiqua"/>
          <w:sz w:val="22"/>
        </w:rPr>
        <w:t xml:space="preserve">benefit </w:t>
      </w:r>
      <w:r w:rsidR="0080537B" w:rsidRPr="00EF04B3">
        <w:rPr>
          <w:rFonts w:ascii="Book Antiqua" w:hAnsi="Book Antiqua"/>
          <w:sz w:val="22"/>
        </w:rPr>
        <w:t>the endowment fund</w:t>
      </w:r>
      <w:r w:rsidR="003B08EF" w:rsidRPr="00EF04B3">
        <w:rPr>
          <w:rFonts w:ascii="Book Antiqua" w:hAnsi="Book Antiqua"/>
          <w:sz w:val="22"/>
        </w:rPr>
        <w:t>’</w:t>
      </w:r>
      <w:r w:rsidR="0080537B" w:rsidRPr="00EF04B3">
        <w:rPr>
          <w:rFonts w:ascii="Book Antiqua" w:hAnsi="Book Antiqua"/>
          <w:sz w:val="22"/>
        </w:rPr>
        <w:t>s performance.</w:t>
      </w:r>
    </w:p>
    <w:p w:rsidR="000334F0" w:rsidRPr="00EF04B3" w:rsidRDefault="0080537B" w:rsidP="003D7F82">
      <w:pPr>
        <w:pStyle w:val="NormalWeb"/>
        <w:numPr>
          <w:ilvl w:val="0"/>
          <w:numId w:val="10"/>
        </w:numPr>
        <w:shd w:val="clear" w:color="auto" w:fill="FFFFFF"/>
        <w:spacing w:before="0" w:beforeAutospacing="0" w:after="120" w:afterAutospacing="0"/>
        <w:ind w:left="1080" w:right="360"/>
        <w:jc w:val="both"/>
        <w:textAlignment w:val="baseline"/>
        <w:rPr>
          <w:rFonts w:ascii="Book Antiqua" w:hAnsi="Book Antiqua"/>
          <w:sz w:val="22"/>
        </w:rPr>
      </w:pPr>
      <w:r w:rsidRPr="00EF04B3">
        <w:rPr>
          <w:rFonts w:ascii="Book Antiqua" w:hAnsi="Book Antiqua"/>
          <w:sz w:val="22"/>
        </w:rPr>
        <w:t xml:space="preserve">We will utilize negative screening to </w:t>
      </w:r>
      <w:r w:rsidR="003B08EF" w:rsidRPr="00EF04B3">
        <w:rPr>
          <w:rFonts w:ascii="Book Antiqua" w:hAnsi="Book Antiqua"/>
          <w:sz w:val="22"/>
        </w:rPr>
        <w:t xml:space="preserve">limit </w:t>
      </w:r>
      <w:r w:rsidRPr="00EF04B3">
        <w:rPr>
          <w:rFonts w:ascii="Book Antiqua" w:hAnsi="Book Antiqua"/>
          <w:sz w:val="22"/>
        </w:rPr>
        <w:t>the endowment fund</w:t>
      </w:r>
      <w:r w:rsidR="003B08EF" w:rsidRPr="00EF04B3">
        <w:rPr>
          <w:rFonts w:ascii="Book Antiqua" w:hAnsi="Book Antiqua"/>
          <w:sz w:val="22"/>
        </w:rPr>
        <w:t>’</w:t>
      </w:r>
      <w:r w:rsidRPr="00EF04B3">
        <w:rPr>
          <w:rFonts w:ascii="Book Antiqua" w:hAnsi="Book Antiqua"/>
          <w:sz w:val="22"/>
        </w:rPr>
        <w:t xml:space="preserve">s involvement </w:t>
      </w:r>
      <w:r w:rsidR="00817F26" w:rsidRPr="00EF04B3">
        <w:rPr>
          <w:rFonts w:ascii="Book Antiqua" w:hAnsi="Book Antiqua"/>
          <w:sz w:val="22"/>
        </w:rPr>
        <w:t xml:space="preserve">in </w:t>
      </w:r>
      <w:r w:rsidR="003B08EF" w:rsidRPr="00EF04B3">
        <w:rPr>
          <w:rFonts w:ascii="Book Antiqua" w:hAnsi="Book Antiqua"/>
          <w:sz w:val="22"/>
        </w:rPr>
        <w:t xml:space="preserve">those </w:t>
      </w:r>
      <w:r w:rsidR="00817F26" w:rsidRPr="00EF04B3">
        <w:rPr>
          <w:rFonts w:ascii="Book Antiqua" w:hAnsi="Book Antiqua"/>
          <w:sz w:val="22"/>
        </w:rPr>
        <w:t xml:space="preserve">ESG </w:t>
      </w:r>
      <w:proofErr w:type="gramStart"/>
      <w:r w:rsidR="00817F26" w:rsidRPr="00EF04B3">
        <w:rPr>
          <w:rFonts w:ascii="Book Antiqua" w:hAnsi="Book Antiqua"/>
          <w:sz w:val="22"/>
        </w:rPr>
        <w:t>issues which</w:t>
      </w:r>
      <w:proofErr w:type="gramEnd"/>
      <w:r w:rsidR="00817F26" w:rsidRPr="00EF04B3">
        <w:rPr>
          <w:rFonts w:ascii="Book Antiqua" w:hAnsi="Book Antiqua"/>
          <w:sz w:val="22"/>
        </w:rPr>
        <w:t xml:space="preserve"> are antithetical</w:t>
      </w:r>
      <w:r w:rsidRPr="00EF04B3">
        <w:rPr>
          <w:rFonts w:ascii="Book Antiqua" w:hAnsi="Book Antiqua"/>
          <w:sz w:val="22"/>
        </w:rPr>
        <w:t xml:space="preserve"> to Warren Wilson College’s values, mission</w:t>
      </w:r>
      <w:r w:rsidR="00081266" w:rsidRPr="00EF04B3">
        <w:rPr>
          <w:rFonts w:ascii="Book Antiqua" w:hAnsi="Book Antiqua"/>
          <w:sz w:val="22"/>
        </w:rPr>
        <w:t>,</w:t>
      </w:r>
      <w:r w:rsidRPr="00EF04B3">
        <w:rPr>
          <w:rFonts w:ascii="Book Antiqua" w:hAnsi="Book Antiqua"/>
          <w:sz w:val="22"/>
        </w:rPr>
        <w:t xml:space="preserve"> and culture. </w:t>
      </w:r>
    </w:p>
    <w:p w:rsidR="000334F0" w:rsidRPr="00EF04B3" w:rsidRDefault="000334F0" w:rsidP="003D7F82">
      <w:pPr>
        <w:pStyle w:val="NormalWeb"/>
        <w:numPr>
          <w:ilvl w:val="0"/>
          <w:numId w:val="10"/>
        </w:numPr>
        <w:shd w:val="clear" w:color="auto" w:fill="FFFFFF"/>
        <w:spacing w:before="0" w:beforeAutospacing="0" w:after="120" w:afterAutospacing="0"/>
        <w:ind w:left="1080" w:right="360"/>
        <w:jc w:val="both"/>
        <w:textAlignment w:val="baseline"/>
        <w:rPr>
          <w:rFonts w:ascii="Book Antiqua" w:hAnsi="Book Antiqua"/>
          <w:sz w:val="22"/>
        </w:rPr>
      </w:pPr>
      <w:r w:rsidRPr="00EF04B3">
        <w:rPr>
          <w:rFonts w:ascii="Book Antiqua" w:hAnsi="Book Antiqua"/>
          <w:sz w:val="22"/>
        </w:rPr>
        <w:t xml:space="preserve">We will seek appropriate disclosure on ESG issues by the investment managers and funds </w:t>
      </w:r>
      <w:r w:rsidR="00AF0D98" w:rsidRPr="00EF04B3">
        <w:rPr>
          <w:rFonts w:ascii="Book Antiqua" w:hAnsi="Book Antiqua"/>
          <w:sz w:val="22"/>
        </w:rPr>
        <w:t xml:space="preserve">in </w:t>
      </w:r>
      <w:r w:rsidRPr="00EF04B3">
        <w:rPr>
          <w:rFonts w:ascii="Book Antiqua" w:hAnsi="Book Antiqua"/>
          <w:sz w:val="22"/>
        </w:rPr>
        <w:t>which we invest.</w:t>
      </w:r>
    </w:p>
    <w:p w:rsidR="000334F0" w:rsidRPr="00EF04B3" w:rsidRDefault="000334F0" w:rsidP="003D7F82">
      <w:pPr>
        <w:pStyle w:val="NormalWeb"/>
        <w:numPr>
          <w:ilvl w:val="0"/>
          <w:numId w:val="10"/>
        </w:numPr>
        <w:shd w:val="clear" w:color="auto" w:fill="FFFFFF"/>
        <w:spacing w:before="0" w:beforeAutospacing="0" w:after="120" w:afterAutospacing="0"/>
        <w:ind w:left="1080" w:right="360"/>
        <w:jc w:val="both"/>
        <w:textAlignment w:val="baseline"/>
        <w:rPr>
          <w:rFonts w:ascii="Book Antiqua" w:hAnsi="Book Antiqua"/>
          <w:sz w:val="22"/>
        </w:rPr>
      </w:pPr>
      <w:r w:rsidRPr="00EF04B3">
        <w:rPr>
          <w:rFonts w:ascii="Book Antiqua" w:hAnsi="Book Antiqua"/>
          <w:sz w:val="22"/>
        </w:rPr>
        <w:t>We will work to continually enhance our effectiveness in implementing our r</w:t>
      </w:r>
      <w:r w:rsidR="005E0800" w:rsidRPr="00EF04B3">
        <w:rPr>
          <w:rFonts w:ascii="Book Antiqua" w:hAnsi="Book Antiqua"/>
          <w:sz w:val="22"/>
        </w:rPr>
        <w:t xml:space="preserve">esponsible investment </w:t>
      </w:r>
      <w:r w:rsidRPr="00EF04B3">
        <w:rPr>
          <w:rFonts w:ascii="Book Antiqua" w:hAnsi="Book Antiqua"/>
          <w:sz w:val="22"/>
        </w:rPr>
        <w:t>philosophy</w:t>
      </w:r>
      <w:r w:rsidR="005E0800" w:rsidRPr="00EF04B3">
        <w:rPr>
          <w:rFonts w:ascii="Book Antiqua" w:hAnsi="Book Antiqua"/>
          <w:sz w:val="22"/>
        </w:rPr>
        <w:t xml:space="preserve"> and practices</w:t>
      </w:r>
      <w:r w:rsidRPr="00EF04B3">
        <w:rPr>
          <w:rFonts w:ascii="Book Antiqua" w:hAnsi="Book Antiqua"/>
          <w:sz w:val="22"/>
        </w:rPr>
        <w:t>.</w:t>
      </w:r>
    </w:p>
    <w:p w:rsidR="00AF0D98" w:rsidRPr="00EF04B3" w:rsidRDefault="005E0800" w:rsidP="003D7F82">
      <w:pPr>
        <w:pStyle w:val="NormalWeb"/>
        <w:numPr>
          <w:ilvl w:val="0"/>
          <w:numId w:val="10"/>
        </w:numPr>
        <w:shd w:val="clear" w:color="auto" w:fill="FFFFFF"/>
        <w:spacing w:before="0" w:beforeAutospacing="0" w:after="120" w:afterAutospacing="0"/>
        <w:ind w:left="1080" w:right="360"/>
        <w:jc w:val="both"/>
        <w:textAlignment w:val="baseline"/>
        <w:rPr>
          <w:rFonts w:ascii="Book Antiqua" w:hAnsi="Book Antiqua"/>
          <w:sz w:val="22"/>
        </w:rPr>
      </w:pPr>
      <w:r w:rsidRPr="00EF04B3">
        <w:rPr>
          <w:rFonts w:ascii="Book Antiqua" w:hAnsi="Book Antiqua"/>
          <w:sz w:val="22"/>
        </w:rPr>
        <w:t>We will report on the endowment fund’s responsible investing activities and progress towa</w:t>
      </w:r>
      <w:r w:rsidR="0074374F" w:rsidRPr="00EF04B3">
        <w:rPr>
          <w:rFonts w:ascii="Book Antiqua" w:hAnsi="Book Antiqua"/>
          <w:sz w:val="22"/>
        </w:rPr>
        <w:t>rds implementing its principles; and provide the necessary disclosures associated with our responsible investing efforts.</w:t>
      </w:r>
    </w:p>
    <w:p w:rsidR="007222B9" w:rsidRDefault="007222B9" w:rsidP="003D7F82">
      <w:pPr>
        <w:pStyle w:val="NormalWeb"/>
        <w:numPr>
          <w:ilvl w:val="0"/>
          <w:numId w:val="10"/>
        </w:numPr>
        <w:shd w:val="clear" w:color="auto" w:fill="FFFFFF"/>
        <w:spacing w:before="0" w:beforeAutospacing="0" w:after="120" w:afterAutospacing="0"/>
        <w:ind w:left="1080" w:right="360"/>
        <w:jc w:val="both"/>
        <w:textAlignment w:val="baseline"/>
        <w:rPr>
          <w:rFonts w:ascii="Book Antiqua" w:hAnsi="Book Antiqua"/>
          <w:sz w:val="22"/>
        </w:rPr>
      </w:pPr>
      <w:r w:rsidRPr="00EF04B3">
        <w:rPr>
          <w:rFonts w:ascii="Book Antiqua" w:hAnsi="Book Antiqua"/>
          <w:sz w:val="22"/>
        </w:rPr>
        <w:t xml:space="preserve">Transparency supports adherence to institutional policies and allows for increased stakeholder awareness of endowment fund activities. </w:t>
      </w:r>
      <w:r w:rsidR="004E6427">
        <w:rPr>
          <w:rFonts w:ascii="Book Antiqua" w:hAnsi="Book Antiqua"/>
          <w:sz w:val="22"/>
        </w:rPr>
        <w:t xml:space="preserve"> </w:t>
      </w:r>
      <w:r w:rsidRPr="00EF04B3">
        <w:rPr>
          <w:rFonts w:ascii="Book Antiqua" w:hAnsi="Book Antiqua"/>
          <w:sz w:val="22"/>
        </w:rPr>
        <w:t>When institutional investors consider environmental, social and governance criteria, transparency about these processes increases their effect</w:t>
      </w:r>
      <w:r w:rsidR="003B08EF" w:rsidRPr="00EF04B3">
        <w:rPr>
          <w:rFonts w:ascii="Book Antiqua" w:hAnsi="Book Antiqua"/>
          <w:sz w:val="22"/>
        </w:rPr>
        <w:t>s</w:t>
      </w:r>
      <w:r w:rsidRPr="00EF04B3">
        <w:rPr>
          <w:rFonts w:ascii="Book Antiqua" w:hAnsi="Book Antiqua"/>
          <w:sz w:val="22"/>
        </w:rPr>
        <w:t xml:space="preserve"> on social and environmental outcomes.</w:t>
      </w:r>
    </w:p>
    <w:p w:rsidR="00F1179B" w:rsidRDefault="00F1179B">
      <w:pPr>
        <w:rPr>
          <w:rFonts w:ascii="Book Antiqua" w:hAnsi="Book Antiqua"/>
          <w:sz w:val="22"/>
        </w:rPr>
      </w:pPr>
      <w:r>
        <w:rPr>
          <w:rFonts w:ascii="Book Antiqua" w:hAnsi="Book Antiqua"/>
          <w:sz w:val="22"/>
        </w:rPr>
        <w:br w:type="page"/>
      </w:r>
    </w:p>
    <w:p w:rsidR="00C36E4B" w:rsidRPr="00EF04B3" w:rsidRDefault="005639B9" w:rsidP="00EF04B3">
      <w:pPr>
        <w:numPr>
          <w:ilvl w:val="0"/>
          <w:numId w:val="12"/>
        </w:numPr>
        <w:tabs>
          <w:tab w:val="right" w:pos="540"/>
        </w:tabs>
        <w:spacing w:before="240" w:after="120"/>
        <w:ind w:left="360"/>
        <w:jc w:val="both"/>
        <w:rPr>
          <w:rFonts w:ascii="Book Antiqua" w:hAnsi="Book Antiqua"/>
          <w:b/>
          <w:sz w:val="22"/>
        </w:rPr>
      </w:pPr>
      <w:r w:rsidRPr="00EF04B3">
        <w:rPr>
          <w:rFonts w:ascii="Book Antiqua" w:hAnsi="Book Antiqua"/>
          <w:b/>
          <w:sz w:val="22"/>
        </w:rPr>
        <w:lastRenderedPageBreak/>
        <w:t>Responsible Investment Guidelines</w:t>
      </w:r>
    </w:p>
    <w:p w:rsidR="00575F67" w:rsidRPr="00EF04B3" w:rsidRDefault="007A6EC4" w:rsidP="003D7F82">
      <w:pPr>
        <w:pStyle w:val="BodyTextIndent"/>
        <w:numPr>
          <w:ilvl w:val="0"/>
          <w:numId w:val="18"/>
        </w:numPr>
        <w:spacing w:after="120"/>
        <w:ind w:right="360"/>
        <w:textAlignment w:val="baseline"/>
        <w:rPr>
          <w:sz w:val="22"/>
        </w:rPr>
      </w:pPr>
      <w:r w:rsidRPr="00EF04B3">
        <w:rPr>
          <w:sz w:val="22"/>
        </w:rPr>
        <w:t>The IC’s goals and intentions are to work towards implementing its Responsible Investing Policy across the entire endowment fund and across asset classes over t</w:t>
      </w:r>
      <w:r w:rsidR="00575F67" w:rsidRPr="00EF04B3">
        <w:rPr>
          <w:sz w:val="22"/>
        </w:rPr>
        <w:t>ime.  Under the guidance of the endowment fund’s Investment</w:t>
      </w:r>
      <w:r w:rsidR="00837A31" w:rsidRPr="00EF04B3">
        <w:rPr>
          <w:sz w:val="22"/>
        </w:rPr>
        <w:t xml:space="preserve"> Consultant</w:t>
      </w:r>
      <w:r w:rsidR="003B08EF" w:rsidRPr="00EF04B3">
        <w:rPr>
          <w:sz w:val="22"/>
        </w:rPr>
        <w:t>,</w:t>
      </w:r>
      <w:r w:rsidR="00575F67" w:rsidRPr="00EF04B3">
        <w:rPr>
          <w:sz w:val="22"/>
        </w:rPr>
        <w:t xml:space="preserve"> a strategic </w:t>
      </w:r>
      <w:r w:rsidRPr="00EF04B3">
        <w:rPr>
          <w:sz w:val="22"/>
        </w:rPr>
        <w:t>approach</w:t>
      </w:r>
      <w:r w:rsidR="00575F67" w:rsidRPr="00EF04B3">
        <w:rPr>
          <w:sz w:val="22"/>
        </w:rPr>
        <w:t xml:space="preserve"> will be undertaken selecting investment managers opportunistically in asset classes consistent with the endowment fund’s overall Investment Policy.</w:t>
      </w:r>
    </w:p>
    <w:p w:rsidR="00A63DAD" w:rsidRPr="00EF04B3" w:rsidRDefault="00DB2DFE" w:rsidP="00DD5B40">
      <w:pPr>
        <w:pStyle w:val="BodyTextIndent"/>
        <w:numPr>
          <w:ilvl w:val="0"/>
          <w:numId w:val="18"/>
        </w:numPr>
        <w:spacing w:after="120"/>
        <w:ind w:right="360"/>
        <w:textAlignment w:val="baseline"/>
        <w:rPr>
          <w:sz w:val="22"/>
        </w:rPr>
      </w:pPr>
      <w:r w:rsidRPr="00EF04B3">
        <w:rPr>
          <w:sz w:val="22"/>
        </w:rPr>
        <w:t>The IC</w:t>
      </w:r>
      <w:r w:rsidR="003F4589" w:rsidRPr="00EF04B3">
        <w:rPr>
          <w:sz w:val="22"/>
        </w:rPr>
        <w:t xml:space="preserve">'s </w:t>
      </w:r>
      <w:r w:rsidR="00575F67" w:rsidRPr="00EF04B3">
        <w:rPr>
          <w:sz w:val="22"/>
        </w:rPr>
        <w:t>Responsible Investment G</w:t>
      </w:r>
      <w:r w:rsidRPr="00EF04B3">
        <w:rPr>
          <w:sz w:val="22"/>
        </w:rPr>
        <w:t>uidelines</w:t>
      </w:r>
      <w:r w:rsidR="003F4589" w:rsidRPr="00EF04B3">
        <w:rPr>
          <w:sz w:val="22"/>
        </w:rPr>
        <w:t xml:space="preserve"> </w:t>
      </w:r>
      <w:r w:rsidRPr="00EF04B3">
        <w:rPr>
          <w:sz w:val="22"/>
        </w:rPr>
        <w:t xml:space="preserve">shall </w:t>
      </w:r>
      <w:r w:rsidR="003F4589" w:rsidRPr="00EF04B3">
        <w:rPr>
          <w:sz w:val="22"/>
        </w:rPr>
        <w:t xml:space="preserve">apply only to investments in which </w:t>
      </w:r>
      <w:r w:rsidRPr="00EF04B3">
        <w:rPr>
          <w:sz w:val="22"/>
        </w:rPr>
        <w:t>the endowment fund’</w:t>
      </w:r>
      <w:r w:rsidR="003F4589" w:rsidRPr="00EF04B3">
        <w:rPr>
          <w:sz w:val="22"/>
        </w:rPr>
        <w:t xml:space="preserve">s assets are invested </w:t>
      </w:r>
      <w:r w:rsidRPr="00EF04B3">
        <w:rPr>
          <w:sz w:val="22"/>
        </w:rPr>
        <w:t xml:space="preserve">in </w:t>
      </w:r>
      <w:r w:rsidR="003F4589" w:rsidRPr="00EF04B3">
        <w:rPr>
          <w:sz w:val="22"/>
        </w:rPr>
        <w:t>separately</w:t>
      </w:r>
      <w:r w:rsidRPr="00EF04B3">
        <w:rPr>
          <w:sz w:val="22"/>
        </w:rPr>
        <w:t xml:space="preserve"> managed accounts</w:t>
      </w:r>
      <w:r w:rsidR="003F4589" w:rsidRPr="00EF04B3">
        <w:rPr>
          <w:rStyle w:val="apple-converted-space"/>
          <w:sz w:val="22"/>
        </w:rPr>
        <w:t> </w:t>
      </w:r>
      <w:r w:rsidR="003F4589" w:rsidRPr="00EF04B3">
        <w:rPr>
          <w:sz w:val="22"/>
        </w:rPr>
        <w:t xml:space="preserve">and which </w:t>
      </w:r>
      <w:r w:rsidRPr="00EF04B3">
        <w:rPr>
          <w:sz w:val="22"/>
        </w:rPr>
        <w:t xml:space="preserve">the IC </w:t>
      </w:r>
      <w:r w:rsidR="003F4589" w:rsidRPr="00EF04B3">
        <w:rPr>
          <w:sz w:val="22"/>
        </w:rPr>
        <w:t xml:space="preserve">can exercise control of the investment guidelines. </w:t>
      </w:r>
    </w:p>
    <w:p w:rsidR="003F4589" w:rsidRPr="00EF04B3" w:rsidRDefault="003F4589" w:rsidP="003D7F82">
      <w:pPr>
        <w:pStyle w:val="BodyTextIndent"/>
        <w:numPr>
          <w:ilvl w:val="0"/>
          <w:numId w:val="18"/>
        </w:numPr>
        <w:spacing w:after="120"/>
        <w:ind w:right="360"/>
        <w:textAlignment w:val="baseline"/>
        <w:rPr>
          <w:sz w:val="22"/>
        </w:rPr>
      </w:pPr>
      <w:r w:rsidRPr="00EF04B3">
        <w:rPr>
          <w:sz w:val="22"/>
        </w:rPr>
        <w:t>With commingled funds</w:t>
      </w:r>
      <w:r w:rsidRPr="00EF04B3">
        <w:rPr>
          <w:rStyle w:val="apple-converted-space"/>
          <w:sz w:val="22"/>
        </w:rPr>
        <w:t> </w:t>
      </w:r>
      <w:r w:rsidRPr="00EF04B3">
        <w:rPr>
          <w:sz w:val="22"/>
        </w:rPr>
        <w:t>and limited partnerships,</w:t>
      </w:r>
      <w:r w:rsidR="00DB2DFE" w:rsidRPr="00EF04B3">
        <w:rPr>
          <w:sz w:val="22"/>
        </w:rPr>
        <w:t xml:space="preserve"> the IC</w:t>
      </w:r>
      <w:r w:rsidRPr="00EF04B3">
        <w:rPr>
          <w:sz w:val="22"/>
        </w:rPr>
        <w:t xml:space="preserve"> cannot exercise control of the investment guidelines because the investment manager or general partner is required to treat all investors and partners under the same set of investment policies. </w:t>
      </w:r>
      <w:r w:rsidR="00775C92" w:rsidRPr="00EF04B3">
        <w:rPr>
          <w:sz w:val="22"/>
        </w:rPr>
        <w:t xml:space="preserve"> </w:t>
      </w:r>
      <w:r w:rsidR="00DB2DFE" w:rsidRPr="00EF04B3">
        <w:rPr>
          <w:sz w:val="22"/>
        </w:rPr>
        <w:t xml:space="preserve">However, </w:t>
      </w:r>
      <w:r w:rsidR="00D26C97" w:rsidRPr="00EF04B3">
        <w:rPr>
          <w:sz w:val="22"/>
        </w:rPr>
        <w:t xml:space="preserve">the Investment Consultant </w:t>
      </w:r>
      <w:r w:rsidRPr="00EF04B3">
        <w:rPr>
          <w:sz w:val="22"/>
        </w:rPr>
        <w:t xml:space="preserve">will strive to include managers or partnerships whose commingled funds or partnerships are invested under responsible </w:t>
      </w:r>
      <w:r w:rsidR="00DB2DFE" w:rsidRPr="00EF04B3">
        <w:rPr>
          <w:sz w:val="22"/>
        </w:rPr>
        <w:t xml:space="preserve">investment </w:t>
      </w:r>
      <w:r w:rsidRPr="00EF04B3">
        <w:rPr>
          <w:sz w:val="22"/>
        </w:rPr>
        <w:t xml:space="preserve">guidelines as similar as possible </w:t>
      </w:r>
      <w:r w:rsidR="00DB2DFE" w:rsidRPr="00EF04B3">
        <w:rPr>
          <w:sz w:val="22"/>
        </w:rPr>
        <w:t>to</w:t>
      </w:r>
      <w:r w:rsidR="003B08EF" w:rsidRPr="00EF04B3">
        <w:rPr>
          <w:sz w:val="22"/>
        </w:rPr>
        <w:t>,</w:t>
      </w:r>
      <w:r w:rsidR="00DB2DFE" w:rsidRPr="00EF04B3">
        <w:rPr>
          <w:sz w:val="22"/>
        </w:rPr>
        <w:t xml:space="preserve"> and consistent with</w:t>
      </w:r>
      <w:r w:rsidR="003B08EF" w:rsidRPr="00EF04B3">
        <w:rPr>
          <w:sz w:val="22"/>
        </w:rPr>
        <w:t>,</w:t>
      </w:r>
      <w:r w:rsidR="00DB2DFE" w:rsidRPr="00EF04B3">
        <w:rPr>
          <w:sz w:val="22"/>
        </w:rPr>
        <w:t xml:space="preserve"> the IC’</w:t>
      </w:r>
      <w:r w:rsidRPr="00EF04B3">
        <w:rPr>
          <w:sz w:val="22"/>
        </w:rPr>
        <w:t xml:space="preserve">s </w:t>
      </w:r>
      <w:r w:rsidR="00DB2DFE" w:rsidRPr="00EF04B3">
        <w:rPr>
          <w:sz w:val="22"/>
        </w:rPr>
        <w:t>Responsible Investment P</w:t>
      </w:r>
      <w:r w:rsidRPr="00EF04B3">
        <w:rPr>
          <w:sz w:val="22"/>
        </w:rPr>
        <w:t>olicy.</w:t>
      </w:r>
      <w:r w:rsidR="003D3EBE" w:rsidRPr="00EF04B3">
        <w:rPr>
          <w:sz w:val="22"/>
        </w:rPr>
        <w:t xml:space="preserve">  Further, the IC and the Investment </w:t>
      </w:r>
      <w:r w:rsidR="00837A31" w:rsidRPr="00EF04B3">
        <w:rPr>
          <w:sz w:val="22"/>
        </w:rPr>
        <w:t xml:space="preserve">Consultant </w:t>
      </w:r>
      <w:r w:rsidR="003D3EBE" w:rsidRPr="00EF04B3">
        <w:rPr>
          <w:sz w:val="22"/>
        </w:rPr>
        <w:t>will seek to utilize a diverse group of investm</w:t>
      </w:r>
      <w:r w:rsidR="00817F26" w:rsidRPr="00EF04B3">
        <w:rPr>
          <w:sz w:val="22"/>
        </w:rPr>
        <w:t>ent managers including minority</w:t>
      </w:r>
      <w:r w:rsidR="003B08EF" w:rsidRPr="00EF04B3">
        <w:rPr>
          <w:sz w:val="22"/>
        </w:rPr>
        <w:t>-</w:t>
      </w:r>
      <w:r w:rsidR="00817F26" w:rsidRPr="00EF04B3">
        <w:rPr>
          <w:sz w:val="22"/>
        </w:rPr>
        <w:t xml:space="preserve"> and women</w:t>
      </w:r>
      <w:r w:rsidR="003B08EF" w:rsidRPr="00EF04B3">
        <w:rPr>
          <w:sz w:val="22"/>
        </w:rPr>
        <w:t>-</w:t>
      </w:r>
      <w:r w:rsidR="00817F26" w:rsidRPr="00EF04B3">
        <w:rPr>
          <w:sz w:val="22"/>
        </w:rPr>
        <w:t>owned</w:t>
      </w:r>
      <w:r w:rsidR="003D3EBE" w:rsidRPr="00EF04B3">
        <w:rPr>
          <w:sz w:val="22"/>
        </w:rPr>
        <w:t xml:space="preserve"> investment management firms.</w:t>
      </w:r>
    </w:p>
    <w:p w:rsidR="006C752B" w:rsidRPr="00EF04B3" w:rsidRDefault="00575F67" w:rsidP="00DD5B40">
      <w:pPr>
        <w:pStyle w:val="BodyTextIndent"/>
        <w:numPr>
          <w:ilvl w:val="0"/>
          <w:numId w:val="18"/>
        </w:numPr>
        <w:spacing w:after="120"/>
        <w:ind w:right="360"/>
        <w:textAlignment w:val="baseline"/>
        <w:rPr>
          <w:sz w:val="22"/>
        </w:rPr>
      </w:pPr>
      <w:r w:rsidRPr="00EF04B3">
        <w:rPr>
          <w:sz w:val="22"/>
        </w:rPr>
        <w:t>Responsible investing</w:t>
      </w:r>
      <w:r w:rsidR="006C752B" w:rsidRPr="00EF04B3">
        <w:rPr>
          <w:sz w:val="22"/>
        </w:rPr>
        <w:t xml:space="preserve"> risk-factors and investment strategies </w:t>
      </w:r>
      <w:r w:rsidRPr="00EF04B3">
        <w:rPr>
          <w:sz w:val="22"/>
        </w:rPr>
        <w:t xml:space="preserve">shall </w:t>
      </w:r>
      <w:r w:rsidR="003E0721">
        <w:rPr>
          <w:sz w:val="22"/>
        </w:rPr>
        <w:t>span the following</w:t>
      </w:r>
      <w:r w:rsidR="006C752B" w:rsidRPr="00EF04B3">
        <w:rPr>
          <w:sz w:val="22"/>
        </w:rPr>
        <w:t xml:space="preserve"> assets classes: </w:t>
      </w:r>
    </w:p>
    <w:p w:rsidR="006C752B" w:rsidRPr="00EF04B3" w:rsidRDefault="006C752B" w:rsidP="00DD5B40">
      <w:pPr>
        <w:pStyle w:val="ListParagraph"/>
        <w:numPr>
          <w:ilvl w:val="0"/>
          <w:numId w:val="14"/>
        </w:numPr>
        <w:spacing w:after="120"/>
        <w:ind w:left="2160" w:right="1080"/>
        <w:contextualSpacing w:val="0"/>
        <w:jc w:val="both"/>
        <w:rPr>
          <w:rFonts w:ascii="Book Antiqua" w:hAnsi="Book Antiqua"/>
          <w:sz w:val="22"/>
        </w:rPr>
      </w:pPr>
      <w:r w:rsidRPr="00EF04B3">
        <w:rPr>
          <w:rFonts w:ascii="Book Antiqua" w:hAnsi="Book Antiqua"/>
          <w:sz w:val="22"/>
        </w:rPr>
        <w:t xml:space="preserve">Fixed income – community development investing, government debt, and </w:t>
      </w:r>
      <w:r w:rsidR="003B08EF" w:rsidRPr="00EF04B3">
        <w:rPr>
          <w:rFonts w:ascii="Book Antiqua" w:hAnsi="Book Antiqua"/>
          <w:sz w:val="22"/>
        </w:rPr>
        <w:t xml:space="preserve">certain </w:t>
      </w:r>
      <w:r w:rsidR="00CE2613" w:rsidRPr="00EF04B3">
        <w:rPr>
          <w:rFonts w:ascii="Book Antiqua" w:hAnsi="Book Antiqua"/>
          <w:sz w:val="22"/>
        </w:rPr>
        <w:t>corporate debt (“green bonds”);</w:t>
      </w:r>
    </w:p>
    <w:p w:rsidR="006C752B" w:rsidRPr="00EF04B3" w:rsidRDefault="006C752B" w:rsidP="00DD5B40">
      <w:pPr>
        <w:pStyle w:val="ListParagraph"/>
        <w:numPr>
          <w:ilvl w:val="0"/>
          <w:numId w:val="14"/>
        </w:numPr>
        <w:spacing w:after="120"/>
        <w:ind w:left="2160" w:right="1080"/>
        <w:contextualSpacing w:val="0"/>
        <w:jc w:val="both"/>
        <w:rPr>
          <w:rFonts w:ascii="Book Antiqua" w:hAnsi="Book Antiqua"/>
          <w:sz w:val="22"/>
        </w:rPr>
      </w:pPr>
      <w:r w:rsidRPr="00EF04B3">
        <w:rPr>
          <w:rFonts w:ascii="Book Antiqua" w:hAnsi="Book Antiqua"/>
          <w:sz w:val="22"/>
        </w:rPr>
        <w:t>Public Equities – positive or negative screening, ESG int</w:t>
      </w:r>
      <w:r w:rsidR="00CE2613" w:rsidRPr="00EF04B3">
        <w:rPr>
          <w:rFonts w:ascii="Book Antiqua" w:hAnsi="Book Antiqua"/>
          <w:sz w:val="22"/>
        </w:rPr>
        <w:t>egration, and active ownership;</w:t>
      </w:r>
    </w:p>
    <w:p w:rsidR="006C752B" w:rsidRPr="00EF04B3" w:rsidRDefault="006C752B" w:rsidP="00DD5B40">
      <w:pPr>
        <w:pStyle w:val="ListParagraph"/>
        <w:numPr>
          <w:ilvl w:val="0"/>
          <w:numId w:val="14"/>
        </w:numPr>
        <w:spacing w:after="120"/>
        <w:ind w:left="2160" w:right="1080"/>
        <w:contextualSpacing w:val="0"/>
        <w:jc w:val="both"/>
        <w:rPr>
          <w:rFonts w:ascii="Book Antiqua" w:hAnsi="Book Antiqua"/>
          <w:sz w:val="22"/>
        </w:rPr>
      </w:pPr>
      <w:r w:rsidRPr="00EF04B3">
        <w:rPr>
          <w:rFonts w:ascii="Book Antiqua" w:hAnsi="Book Antiqua"/>
          <w:sz w:val="22"/>
        </w:rPr>
        <w:t>Private Equities – product-focused investments, process-focused investments, econom</w:t>
      </w:r>
      <w:r w:rsidR="00CE2613" w:rsidRPr="00EF04B3">
        <w:rPr>
          <w:rFonts w:ascii="Book Antiqua" w:hAnsi="Book Antiqua"/>
          <w:sz w:val="22"/>
        </w:rPr>
        <w:t>ically-targeted investments;</w:t>
      </w:r>
    </w:p>
    <w:p w:rsidR="003D3EBE" w:rsidRPr="00EF04B3" w:rsidRDefault="003D3EBE" w:rsidP="00DD5B40">
      <w:pPr>
        <w:pStyle w:val="ListParagraph"/>
        <w:numPr>
          <w:ilvl w:val="0"/>
          <w:numId w:val="14"/>
        </w:numPr>
        <w:spacing w:after="120"/>
        <w:ind w:left="2160" w:right="1080"/>
        <w:contextualSpacing w:val="0"/>
        <w:jc w:val="both"/>
        <w:rPr>
          <w:rFonts w:ascii="Book Antiqua" w:hAnsi="Book Antiqua"/>
          <w:sz w:val="22"/>
        </w:rPr>
      </w:pPr>
      <w:r w:rsidRPr="00EF04B3">
        <w:rPr>
          <w:rFonts w:ascii="Book Antiqua" w:hAnsi="Book Antiqua"/>
          <w:sz w:val="22"/>
        </w:rPr>
        <w:t>Real Estate – product focused investments, environmental, gr</w:t>
      </w:r>
      <w:r w:rsidR="00CE2613" w:rsidRPr="00EF04B3">
        <w:rPr>
          <w:rFonts w:ascii="Book Antiqua" w:hAnsi="Book Antiqua"/>
          <w:sz w:val="22"/>
        </w:rPr>
        <w:t>een and sustainable investments;</w:t>
      </w:r>
    </w:p>
    <w:p w:rsidR="004953E4" w:rsidRDefault="00343556" w:rsidP="00071DFD">
      <w:pPr>
        <w:pStyle w:val="BodyTextIndent"/>
        <w:ind w:left="360"/>
      </w:pPr>
      <w:r w:rsidRPr="00EF04B3">
        <w:rPr>
          <w:sz w:val="22"/>
        </w:rPr>
        <w:t>A</w:t>
      </w:r>
      <w:r w:rsidR="002C7D7A" w:rsidRPr="00EF04B3">
        <w:rPr>
          <w:sz w:val="22"/>
        </w:rPr>
        <w:t>lthough it reserves subjectivity in its assessment of the endowment fund’s investment managers and underlying investments, the IC</w:t>
      </w:r>
      <w:r w:rsidR="00575F67" w:rsidRPr="00EF04B3">
        <w:rPr>
          <w:sz w:val="22"/>
        </w:rPr>
        <w:t xml:space="preserve"> and the Investment </w:t>
      </w:r>
      <w:r w:rsidR="007362F7" w:rsidRPr="00EF04B3">
        <w:rPr>
          <w:sz w:val="22"/>
        </w:rPr>
        <w:t xml:space="preserve">Consultant </w:t>
      </w:r>
      <w:r w:rsidR="002C7D7A" w:rsidRPr="00EF04B3">
        <w:rPr>
          <w:sz w:val="22"/>
        </w:rPr>
        <w:t>expects m</w:t>
      </w:r>
      <w:r w:rsidR="00C36E4B" w:rsidRPr="00EF04B3">
        <w:rPr>
          <w:sz w:val="22"/>
        </w:rPr>
        <w:t>inimum envir</w:t>
      </w:r>
      <w:r w:rsidR="002C7D7A" w:rsidRPr="00EF04B3">
        <w:rPr>
          <w:sz w:val="22"/>
        </w:rPr>
        <w:t xml:space="preserve">onmental, social and governance </w:t>
      </w:r>
      <w:r w:rsidR="00C36E4B" w:rsidRPr="00EF04B3">
        <w:rPr>
          <w:sz w:val="22"/>
        </w:rPr>
        <w:t>standards</w:t>
      </w:r>
      <w:r w:rsidRPr="00EF04B3">
        <w:rPr>
          <w:sz w:val="22"/>
        </w:rPr>
        <w:t>,</w:t>
      </w:r>
      <w:r w:rsidR="00C36E4B" w:rsidRPr="00EF04B3">
        <w:rPr>
          <w:sz w:val="22"/>
        </w:rPr>
        <w:t xml:space="preserve"> </w:t>
      </w:r>
      <w:r w:rsidR="002C7D7A" w:rsidRPr="00EF04B3">
        <w:rPr>
          <w:sz w:val="22"/>
        </w:rPr>
        <w:t xml:space="preserve">as recognized in the industry by the Principles for Responsible Investment (PRI), will be adhered to by the underlying investment managers the Investment </w:t>
      </w:r>
      <w:r w:rsidR="00C9461F" w:rsidRPr="00EF04B3">
        <w:rPr>
          <w:sz w:val="22"/>
        </w:rPr>
        <w:t xml:space="preserve">Consultant </w:t>
      </w:r>
      <w:r w:rsidR="002C7D7A" w:rsidRPr="00EF04B3">
        <w:rPr>
          <w:sz w:val="22"/>
        </w:rPr>
        <w:t>selects to manage portions of the endowment fund</w:t>
      </w:r>
      <w:r w:rsidR="00A40010" w:rsidRPr="00EF04B3">
        <w:rPr>
          <w:sz w:val="22"/>
        </w:rPr>
        <w:t>.</w:t>
      </w:r>
      <w:r w:rsidR="006148CE" w:rsidRPr="00EF04B3">
        <w:rPr>
          <w:sz w:val="22"/>
        </w:rPr>
        <w:t xml:space="preserve">  The Investment Consultant will advise the Investment Committee </w:t>
      </w:r>
      <w:r w:rsidR="006148CE" w:rsidRPr="00EF04B3">
        <w:t>of new responsible investing products that investment managers develop, which may be relevant for the endowment fund</w:t>
      </w:r>
    </w:p>
    <w:p w:rsidR="00F1179B" w:rsidRDefault="00F1179B">
      <w:pPr>
        <w:rPr>
          <w:rFonts w:ascii="Book Antiqua" w:hAnsi="Book Antiqua"/>
          <w:szCs w:val="22"/>
        </w:rPr>
      </w:pPr>
      <w:r>
        <w:br w:type="page"/>
      </w:r>
    </w:p>
    <w:p w:rsidR="00775C92" w:rsidRPr="00EF04B3" w:rsidRDefault="005639B9" w:rsidP="00EF04B3">
      <w:pPr>
        <w:numPr>
          <w:ilvl w:val="0"/>
          <w:numId w:val="12"/>
        </w:numPr>
        <w:tabs>
          <w:tab w:val="right" w:pos="540"/>
        </w:tabs>
        <w:spacing w:before="240" w:after="120"/>
        <w:ind w:left="360"/>
        <w:jc w:val="both"/>
        <w:rPr>
          <w:rFonts w:ascii="Book Antiqua" w:hAnsi="Book Antiqua"/>
          <w:b/>
          <w:sz w:val="22"/>
        </w:rPr>
      </w:pPr>
      <w:r w:rsidRPr="00EF04B3">
        <w:rPr>
          <w:rFonts w:ascii="Book Antiqua" w:hAnsi="Book Antiqua"/>
          <w:b/>
          <w:sz w:val="22"/>
        </w:rPr>
        <w:lastRenderedPageBreak/>
        <w:t>Responsible Investment Strategies to be Employed</w:t>
      </w:r>
    </w:p>
    <w:p w:rsidR="00A40010" w:rsidRPr="00EF04B3" w:rsidRDefault="00A40010" w:rsidP="00DD5B40">
      <w:pPr>
        <w:pStyle w:val="ListParagraph"/>
        <w:numPr>
          <w:ilvl w:val="0"/>
          <w:numId w:val="16"/>
        </w:numPr>
        <w:spacing w:after="120"/>
        <w:ind w:left="1080" w:right="360"/>
        <w:contextualSpacing w:val="0"/>
        <w:jc w:val="both"/>
        <w:textAlignment w:val="baseline"/>
        <w:rPr>
          <w:rFonts w:ascii="Book Antiqua" w:hAnsi="Book Antiqua"/>
          <w:sz w:val="22"/>
        </w:rPr>
      </w:pPr>
      <w:r w:rsidRPr="00EF04B3">
        <w:rPr>
          <w:rFonts w:ascii="Book Antiqua" w:hAnsi="Book Antiqua"/>
          <w:b/>
          <w:bCs/>
          <w:sz w:val="22"/>
        </w:rPr>
        <w:t>Positive Screens:</w:t>
      </w:r>
      <w:r w:rsidR="005C79AC" w:rsidRPr="00EF04B3">
        <w:rPr>
          <w:rFonts w:ascii="Book Antiqua" w:hAnsi="Book Antiqua"/>
          <w:sz w:val="22"/>
        </w:rPr>
        <w:t>  Investment managers</w:t>
      </w:r>
      <w:r w:rsidRPr="00EF04B3">
        <w:rPr>
          <w:rFonts w:ascii="Book Antiqua" w:hAnsi="Book Antiqua"/>
          <w:sz w:val="22"/>
        </w:rPr>
        <w:t xml:space="preserve"> </w:t>
      </w:r>
      <w:r w:rsidR="005C79AC" w:rsidRPr="00EF04B3">
        <w:rPr>
          <w:rFonts w:ascii="Book Antiqua" w:hAnsi="Book Antiqua"/>
          <w:sz w:val="22"/>
        </w:rPr>
        <w:t xml:space="preserve">who are investing in companies involved in the </w:t>
      </w:r>
      <w:r w:rsidR="00350059" w:rsidRPr="00EF04B3">
        <w:rPr>
          <w:rFonts w:ascii="Book Antiqua" w:hAnsi="Book Antiqua"/>
          <w:sz w:val="22"/>
        </w:rPr>
        <w:t>industries and promotion</w:t>
      </w:r>
      <w:r w:rsidRPr="00EF04B3">
        <w:rPr>
          <w:rFonts w:ascii="Book Antiqua" w:hAnsi="Book Antiqua"/>
          <w:sz w:val="22"/>
        </w:rPr>
        <w:t xml:space="preserve"> of renewable energy</w:t>
      </w:r>
      <w:r w:rsidR="005C79AC" w:rsidRPr="00EF04B3">
        <w:rPr>
          <w:rFonts w:ascii="Book Antiqua" w:hAnsi="Book Antiqua"/>
          <w:sz w:val="22"/>
        </w:rPr>
        <w:t xml:space="preserve">, organic food, local food, </w:t>
      </w:r>
      <w:r w:rsidRPr="00EF04B3">
        <w:rPr>
          <w:rFonts w:ascii="Book Antiqua" w:hAnsi="Book Antiqua"/>
          <w:sz w:val="22"/>
        </w:rPr>
        <w:t>sustainable agriculture, community development, diversity, and generally, invest in companies and investments that demonstrate commitment to:</w:t>
      </w:r>
    </w:p>
    <w:p w:rsidR="00A40010" w:rsidRPr="00EF04B3" w:rsidRDefault="00A40010" w:rsidP="00DD5B40">
      <w:pPr>
        <w:pStyle w:val="ListParagraph"/>
        <w:numPr>
          <w:ilvl w:val="0"/>
          <w:numId w:val="17"/>
        </w:numPr>
        <w:tabs>
          <w:tab w:val="clear" w:pos="720"/>
          <w:tab w:val="num" w:pos="360"/>
        </w:tabs>
        <w:spacing w:after="60"/>
        <w:ind w:left="2160" w:right="1080" w:hanging="360"/>
        <w:contextualSpacing w:val="0"/>
        <w:jc w:val="both"/>
        <w:rPr>
          <w:rFonts w:ascii="Book Antiqua" w:hAnsi="Book Antiqua"/>
          <w:sz w:val="22"/>
        </w:rPr>
      </w:pPr>
      <w:proofErr w:type="gramStart"/>
      <w:r w:rsidRPr="00EF04B3">
        <w:rPr>
          <w:rFonts w:ascii="Book Antiqua" w:hAnsi="Book Antiqua"/>
          <w:sz w:val="22"/>
        </w:rPr>
        <w:t>environmental</w:t>
      </w:r>
      <w:proofErr w:type="gramEnd"/>
      <w:r w:rsidRPr="00EF04B3">
        <w:rPr>
          <w:rFonts w:ascii="Book Antiqua" w:hAnsi="Book Antiqua"/>
          <w:sz w:val="22"/>
        </w:rPr>
        <w:t xml:space="preserve"> sustainability, including reducing greenhouse gas emissions and sustainable forestry</w:t>
      </w:r>
      <w:r w:rsidR="00350059" w:rsidRPr="00EF04B3">
        <w:rPr>
          <w:rFonts w:ascii="Book Antiqua" w:hAnsi="Book Antiqua"/>
          <w:sz w:val="22"/>
        </w:rPr>
        <w:t>;</w:t>
      </w:r>
    </w:p>
    <w:p w:rsidR="00A40010" w:rsidRPr="00EF04B3" w:rsidRDefault="00A40010" w:rsidP="00DD5B40">
      <w:pPr>
        <w:pStyle w:val="ListParagraph"/>
        <w:numPr>
          <w:ilvl w:val="0"/>
          <w:numId w:val="17"/>
        </w:numPr>
        <w:spacing w:after="60"/>
        <w:ind w:left="2160" w:right="1080" w:hanging="360"/>
        <w:contextualSpacing w:val="0"/>
        <w:jc w:val="both"/>
        <w:rPr>
          <w:rFonts w:ascii="Book Antiqua" w:hAnsi="Book Antiqua"/>
          <w:sz w:val="22"/>
        </w:rPr>
      </w:pPr>
      <w:proofErr w:type="gramStart"/>
      <w:r w:rsidRPr="00EF04B3">
        <w:rPr>
          <w:rFonts w:ascii="Book Antiqua" w:hAnsi="Book Antiqua"/>
          <w:sz w:val="22"/>
        </w:rPr>
        <w:t>community</w:t>
      </w:r>
      <w:proofErr w:type="gramEnd"/>
      <w:r w:rsidRPr="00EF04B3">
        <w:rPr>
          <w:rFonts w:ascii="Book Antiqua" w:hAnsi="Book Antiqua"/>
          <w:sz w:val="22"/>
        </w:rPr>
        <w:t xml:space="preserve"> </w:t>
      </w:r>
      <w:r w:rsidR="00350059" w:rsidRPr="00EF04B3">
        <w:rPr>
          <w:rFonts w:ascii="Book Antiqua" w:hAnsi="Book Antiqua"/>
          <w:sz w:val="22"/>
        </w:rPr>
        <w:t xml:space="preserve">/ economic </w:t>
      </w:r>
      <w:r w:rsidRPr="00EF04B3">
        <w:rPr>
          <w:rFonts w:ascii="Book Antiqua" w:hAnsi="Book Antiqua"/>
          <w:sz w:val="22"/>
        </w:rPr>
        <w:t>development and/or investment, particularly in communities with minority or low-income residents</w:t>
      </w:r>
      <w:r w:rsidR="00350059" w:rsidRPr="00EF04B3">
        <w:rPr>
          <w:rFonts w:ascii="Book Antiqua" w:hAnsi="Book Antiqua"/>
          <w:sz w:val="22"/>
        </w:rPr>
        <w:t>;</w:t>
      </w:r>
    </w:p>
    <w:p w:rsidR="00A40010" w:rsidRPr="00EF04B3" w:rsidRDefault="00350059" w:rsidP="00DD5B40">
      <w:pPr>
        <w:pStyle w:val="ListParagraph"/>
        <w:numPr>
          <w:ilvl w:val="0"/>
          <w:numId w:val="17"/>
        </w:numPr>
        <w:spacing w:after="60"/>
        <w:ind w:left="2160" w:right="1080" w:hanging="360"/>
        <w:contextualSpacing w:val="0"/>
        <w:jc w:val="both"/>
        <w:rPr>
          <w:rFonts w:ascii="Book Antiqua" w:hAnsi="Book Antiqua"/>
          <w:sz w:val="22"/>
        </w:rPr>
      </w:pPr>
      <w:proofErr w:type="gramStart"/>
      <w:r w:rsidRPr="00EF04B3">
        <w:rPr>
          <w:rFonts w:ascii="Book Antiqua" w:hAnsi="Book Antiqua"/>
          <w:sz w:val="22"/>
        </w:rPr>
        <w:t>social</w:t>
      </w:r>
      <w:proofErr w:type="gramEnd"/>
      <w:r w:rsidRPr="00EF04B3">
        <w:rPr>
          <w:rFonts w:ascii="Book Antiqua" w:hAnsi="Book Antiqua"/>
          <w:sz w:val="22"/>
        </w:rPr>
        <w:t xml:space="preserve"> d</w:t>
      </w:r>
      <w:r w:rsidR="00A40010" w:rsidRPr="00EF04B3">
        <w:rPr>
          <w:rFonts w:ascii="Book Antiqua" w:hAnsi="Book Antiqua"/>
          <w:sz w:val="22"/>
        </w:rPr>
        <w:t xml:space="preserve">iversity in hiring, executives and boards with respect to </w:t>
      </w:r>
      <w:r w:rsidRPr="00EF04B3">
        <w:rPr>
          <w:rFonts w:ascii="Book Antiqua" w:hAnsi="Book Antiqua"/>
          <w:sz w:val="22"/>
        </w:rPr>
        <w:t xml:space="preserve">race, ethnicity, gender, </w:t>
      </w:r>
      <w:r w:rsidR="00A40010" w:rsidRPr="00EF04B3">
        <w:rPr>
          <w:rFonts w:ascii="Book Antiqua" w:hAnsi="Book Antiqua"/>
          <w:sz w:val="22"/>
        </w:rPr>
        <w:t>sexual orie</w:t>
      </w:r>
      <w:r w:rsidRPr="00EF04B3">
        <w:rPr>
          <w:rFonts w:ascii="Book Antiqua" w:hAnsi="Book Antiqua"/>
          <w:sz w:val="22"/>
        </w:rPr>
        <w:t>ntation;</w:t>
      </w:r>
    </w:p>
    <w:p w:rsidR="00A40010" w:rsidRPr="00EF04B3" w:rsidRDefault="00A40010" w:rsidP="003757CA">
      <w:pPr>
        <w:pStyle w:val="ListParagraph"/>
        <w:numPr>
          <w:ilvl w:val="0"/>
          <w:numId w:val="17"/>
        </w:numPr>
        <w:spacing w:after="240"/>
        <w:ind w:left="2160" w:right="1080" w:hanging="360"/>
        <w:contextualSpacing w:val="0"/>
        <w:jc w:val="both"/>
        <w:rPr>
          <w:rFonts w:ascii="Book Antiqua" w:hAnsi="Book Antiqua"/>
          <w:sz w:val="22"/>
        </w:rPr>
      </w:pPr>
      <w:proofErr w:type="gramStart"/>
      <w:r w:rsidRPr="00EF04B3">
        <w:rPr>
          <w:rFonts w:ascii="Book Antiqua" w:hAnsi="Book Antiqua"/>
          <w:sz w:val="22"/>
        </w:rPr>
        <w:t>transparency</w:t>
      </w:r>
      <w:proofErr w:type="gramEnd"/>
      <w:r w:rsidRPr="00EF04B3">
        <w:rPr>
          <w:rFonts w:ascii="Book Antiqua" w:hAnsi="Book Antiqua"/>
          <w:sz w:val="22"/>
        </w:rPr>
        <w:t xml:space="preserve"> and accountability in corporate governance</w:t>
      </w:r>
      <w:r w:rsidR="00350059" w:rsidRPr="00EF04B3">
        <w:rPr>
          <w:rFonts w:ascii="Book Antiqua" w:hAnsi="Book Antiqua"/>
          <w:sz w:val="22"/>
        </w:rPr>
        <w:t>.</w:t>
      </w:r>
    </w:p>
    <w:p w:rsidR="00A40010" w:rsidRPr="00EF04B3" w:rsidRDefault="00A40010" w:rsidP="00DD5B40">
      <w:pPr>
        <w:pStyle w:val="ListParagraph"/>
        <w:numPr>
          <w:ilvl w:val="0"/>
          <w:numId w:val="16"/>
        </w:numPr>
        <w:spacing w:after="120"/>
        <w:ind w:left="1080" w:right="360"/>
        <w:contextualSpacing w:val="0"/>
        <w:jc w:val="both"/>
        <w:textAlignment w:val="baseline"/>
        <w:rPr>
          <w:rFonts w:ascii="Book Antiqua" w:hAnsi="Book Antiqua"/>
          <w:sz w:val="22"/>
        </w:rPr>
      </w:pPr>
      <w:r w:rsidRPr="00EF04B3">
        <w:rPr>
          <w:rFonts w:ascii="Book Antiqua" w:hAnsi="Book Antiqua"/>
          <w:b/>
          <w:bCs/>
          <w:sz w:val="22"/>
        </w:rPr>
        <w:t>Negative Screens:</w:t>
      </w:r>
      <w:r w:rsidRPr="00EF04B3">
        <w:rPr>
          <w:rFonts w:ascii="Book Antiqua" w:hAnsi="Book Antiqua"/>
          <w:sz w:val="22"/>
        </w:rPr>
        <w:t xml:space="preserve">  To the extent possible while </w:t>
      </w:r>
      <w:r w:rsidR="00CB7F1F">
        <w:rPr>
          <w:rFonts w:ascii="Book Antiqua" w:hAnsi="Book Antiqua"/>
          <w:sz w:val="22"/>
        </w:rPr>
        <w:t>protecting</w:t>
      </w:r>
      <w:r w:rsidR="0079347F" w:rsidRPr="00EF04B3">
        <w:rPr>
          <w:rFonts w:ascii="Book Antiqua" w:hAnsi="Book Antiqua"/>
          <w:sz w:val="22"/>
        </w:rPr>
        <w:t xml:space="preserve"> the </w:t>
      </w:r>
      <w:r w:rsidR="00BD3DD9">
        <w:rPr>
          <w:rFonts w:ascii="Book Antiqua" w:hAnsi="Book Antiqua"/>
          <w:sz w:val="22"/>
        </w:rPr>
        <w:t>e</w:t>
      </w:r>
      <w:r w:rsidR="0079347F" w:rsidRPr="00EF04B3">
        <w:rPr>
          <w:rFonts w:ascii="Book Antiqua" w:hAnsi="Book Antiqua"/>
          <w:sz w:val="22"/>
        </w:rPr>
        <w:t xml:space="preserve">ndowment </w:t>
      </w:r>
      <w:r w:rsidR="00BD3DD9">
        <w:rPr>
          <w:rFonts w:ascii="Book Antiqua" w:hAnsi="Book Antiqua"/>
          <w:sz w:val="22"/>
        </w:rPr>
        <w:t xml:space="preserve">fund </w:t>
      </w:r>
      <w:r w:rsidR="00CB7F1F">
        <w:rPr>
          <w:rFonts w:ascii="Book Antiqua" w:hAnsi="Book Antiqua"/>
          <w:sz w:val="22"/>
        </w:rPr>
        <w:t>from</w:t>
      </w:r>
      <w:r w:rsidR="0079347F" w:rsidRPr="00EF04B3">
        <w:rPr>
          <w:rFonts w:ascii="Book Antiqua" w:hAnsi="Book Antiqua"/>
          <w:sz w:val="22"/>
        </w:rPr>
        <w:t xml:space="preserve"> excessive costs and </w:t>
      </w:r>
      <w:r w:rsidRPr="00EF04B3">
        <w:rPr>
          <w:rFonts w:ascii="Book Antiqua" w:hAnsi="Book Antiqua"/>
          <w:sz w:val="22"/>
        </w:rPr>
        <w:t xml:space="preserve">maintaining adequate diversification, investments in companies involved in the production and distribution of </w:t>
      </w:r>
      <w:r w:rsidR="003E5686" w:rsidRPr="00EF04B3">
        <w:rPr>
          <w:rFonts w:ascii="Book Antiqua" w:hAnsi="Book Antiqua"/>
          <w:sz w:val="22"/>
        </w:rPr>
        <w:t>oil, gas, and other fossil fuel sources will be</w:t>
      </w:r>
      <w:r w:rsidRPr="00EF04B3">
        <w:rPr>
          <w:rFonts w:ascii="Book Antiqua" w:hAnsi="Book Antiqua"/>
          <w:sz w:val="22"/>
        </w:rPr>
        <w:t xml:space="preserve"> avoided</w:t>
      </w:r>
      <w:r w:rsidR="00EF04B3" w:rsidRPr="00EF04B3">
        <w:rPr>
          <w:rFonts w:ascii="Book Antiqua" w:hAnsi="Book Antiqua"/>
          <w:sz w:val="22"/>
        </w:rPr>
        <w:t>.</w:t>
      </w:r>
    </w:p>
    <w:p w:rsidR="00F44E39" w:rsidRPr="00EF04B3" w:rsidRDefault="00F44E39" w:rsidP="00EF04B3">
      <w:pPr>
        <w:pStyle w:val="ListParagraph"/>
        <w:numPr>
          <w:ilvl w:val="0"/>
          <w:numId w:val="16"/>
        </w:numPr>
        <w:spacing w:after="120"/>
        <w:ind w:left="1080" w:right="360"/>
        <w:contextualSpacing w:val="0"/>
        <w:jc w:val="both"/>
        <w:rPr>
          <w:rFonts w:ascii="Book Antiqua" w:hAnsi="Book Antiqua"/>
          <w:sz w:val="22"/>
        </w:rPr>
      </w:pPr>
      <w:r w:rsidRPr="00EF04B3">
        <w:rPr>
          <w:rStyle w:val="Strong"/>
          <w:rFonts w:ascii="Book Antiqua" w:hAnsi="Book Antiqua" w:cs="Helvetica"/>
          <w:sz w:val="22"/>
        </w:rPr>
        <w:t>Monitoring separately managed investments.</w:t>
      </w:r>
      <w:r w:rsidRPr="00EF04B3">
        <w:rPr>
          <w:rStyle w:val="apple-converted-space"/>
          <w:rFonts w:ascii="Book Antiqua" w:hAnsi="Book Antiqua" w:cs="Helvetica"/>
          <w:sz w:val="22"/>
        </w:rPr>
        <w:t> </w:t>
      </w:r>
      <w:r w:rsidR="00EF04B3">
        <w:rPr>
          <w:rStyle w:val="apple-converted-space"/>
          <w:rFonts w:ascii="Book Antiqua" w:hAnsi="Book Antiqua" w:cs="Helvetica"/>
          <w:sz w:val="22"/>
        </w:rPr>
        <w:t xml:space="preserve"> </w:t>
      </w:r>
      <w:r w:rsidRPr="00EF04B3">
        <w:rPr>
          <w:rFonts w:ascii="Book Antiqua" w:hAnsi="Book Antiqua" w:cs="Helvetica"/>
          <w:sz w:val="22"/>
        </w:rPr>
        <w:t xml:space="preserve">The </w:t>
      </w:r>
      <w:r w:rsidR="00117740" w:rsidRPr="00EF04B3">
        <w:rPr>
          <w:rFonts w:ascii="Book Antiqua" w:hAnsi="Book Antiqua" w:cs="Helvetica"/>
          <w:sz w:val="22"/>
        </w:rPr>
        <w:t xml:space="preserve">IC and its Investment </w:t>
      </w:r>
      <w:r w:rsidR="00372EC5" w:rsidRPr="00EF04B3">
        <w:rPr>
          <w:rFonts w:ascii="Book Antiqua" w:hAnsi="Book Antiqua" w:cs="Helvetica"/>
          <w:sz w:val="22"/>
        </w:rPr>
        <w:t xml:space="preserve">Consultant </w:t>
      </w:r>
      <w:r w:rsidR="00117740" w:rsidRPr="00EF04B3">
        <w:rPr>
          <w:rFonts w:ascii="Book Antiqua" w:hAnsi="Book Antiqua" w:cs="Helvetica"/>
          <w:sz w:val="22"/>
        </w:rPr>
        <w:t xml:space="preserve">will </w:t>
      </w:r>
      <w:r w:rsidRPr="00EF04B3">
        <w:rPr>
          <w:rFonts w:ascii="Book Antiqua" w:hAnsi="Book Antiqua" w:cs="Helvetica"/>
          <w:sz w:val="22"/>
        </w:rPr>
        <w:t>monitor</w:t>
      </w:r>
      <w:r w:rsidR="00117740" w:rsidRPr="00EF04B3">
        <w:rPr>
          <w:rFonts w:ascii="Book Antiqua" w:hAnsi="Book Antiqua" w:cs="Helvetica"/>
          <w:sz w:val="22"/>
        </w:rPr>
        <w:t xml:space="preserve"> the endowment fund’s investment managers and the underlying investments in the portfolio on an annual basis.</w:t>
      </w:r>
    </w:p>
    <w:p w:rsidR="00F44E39" w:rsidRPr="00EF04B3" w:rsidRDefault="00F44E39" w:rsidP="00DD5B40">
      <w:pPr>
        <w:pStyle w:val="ListParagraph"/>
        <w:numPr>
          <w:ilvl w:val="0"/>
          <w:numId w:val="16"/>
        </w:numPr>
        <w:ind w:left="1080" w:right="360"/>
        <w:contextualSpacing w:val="0"/>
        <w:jc w:val="both"/>
        <w:rPr>
          <w:rFonts w:ascii="Book Antiqua" w:hAnsi="Book Antiqua"/>
          <w:sz w:val="22"/>
        </w:rPr>
      </w:pPr>
      <w:r w:rsidRPr="00EF04B3">
        <w:rPr>
          <w:rStyle w:val="Strong"/>
          <w:rFonts w:ascii="Book Antiqua" w:hAnsi="Book Antiqua"/>
          <w:sz w:val="22"/>
        </w:rPr>
        <w:t>Shareholder advocacy.</w:t>
      </w:r>
      <w:r w:rsidRPr="00EF04B3">
        <w:rPr>
          <w:rStyle w:val="apple-converted-space"/>
          <w:rFonts w:ascii="Book Antiqua" w:hAnsi="Book Antiqua"/>
          <w:sz w:val="22"/>
        </w:rPr>
        <w:t> </w:t>
      </w:r>
      <w:r w:rsidR="00DD5B40" w:rsidRPr="00EF04B3">
        <w:rPr>
          <w:rStyle w:val="apple-converted-space"/>
          <w:rFonts w:ascii="Book Antiqua" w:hAnsi="Book Antiqua"/>
          <w:sz w:val="22"/>
        </w:rPr>
        <w:t xml:space="preserve"> </w:t>
      </w:r>
      <w:r w:rsidRPr="00EF04B3">
        <w:rPr>
          <w:rFonts w:ascii="Book Antiqua" w:hAnsi="Book Antiqua"/>
          <w:sz w:val="22"/>
        </w:rPr>
        <w:t xml:space="preserve">In cases in which there are concerns about issues of corporate responsibility, then the </w:t>
      </w:r>
      <w:r w:rsidR="005A1FBF" w:rsidRPr="00EF04B3">
        <w:rPr>
          <w:rFonts w:ascii="Book Antiqua" w:hAnsi="Book Antiqua"/>
          <w:sz w:val="22"/>
        </w:rPr>
        <w:t>I</w:t>
      </w:r>
      <w:r w:rsidRPr="00EF04B3">
        <w:rPr>
          <w:rFonts w:ascii="Book Antiqua" w:hAnsi="Book Antiqua"/>
          <w:sz w:val="22"/>
        </w:rPr>
        <w:t xml:space="preserve">C, acting on its own behalf or in concert with other investors, may engage corporations to change that behavior. An example of such engagement is the sponsoring of shareholder resolutions. </w:t>
      </w:r>
      <w:r w:rsidR="00AC30E6" w:rsidRPr="00130DE3">
        <w:t>The IC may participate with external organizations designed to advocate issues of corporate responsibility.</w:t>
      </w:r>
    </w:p>
    <w:p w:rsidR="006148CE" w:rsidRPr="00EF04B3" w:rsidRDefault="006148CE" w:rsidP="006148CE">
      <w:pPr>
        <w:pStyle w:val="ListParagraph"/>
        <w:rPr>
          <w:rFonts w:ascii="Book Antiqua" w:hAnsi="Book Antiqua"/>
          <w:sz w:val="22"/>
        </w:rPr>
      </w:pPr>
    </w:p>
    <w:p w:rsidR="006148CE" w:rsidRDefault="006148CE" w:rsidP="006148CE">
      <w:pPr>
        <w:ind w:left="360" w:right="360"/>
        <w:jc w:val="both"/>
        <w:rPr>
          <w:rFonts w:ascii="Book Antiqua" w:hAnsi="Book Antiqua"/>
          <w:sz w:val="22"/>
        </w:rPr>
      </w:pPr>
      <w:r w:rsidRPr="00EF04B3">
        <w:rPr>
          <w:rFonts w:ascii="Book Antiqua" w:hAnsi="Book Antiqua"/>
          <w:sz w:val="22"/>
        </w:rPr>
        <w:t xml:space="preserve">An ESG advisory committee </w:t>
      </w:r>
      <w:r w:rsidR="003E0721">
        <w:rPr>
          <w:rFonts w:ascii="Book Antiqua" w:hAnsi="Book Antiqua"/>
          <w:sz w:val="22"/>
        </w:rPr>
        <w:t>established by the Investment Committee</w:t>
      </w:r>
      <w:r w:rsidR="00CB7F1F">
        <w:rPr>
          <w:rFonts w:ascii="Book Antiqua" w:hAnsi="Book Antiqua"/>
          <w:sz w:val="22"/>
        </w:rPr>
        <w:t>, and compris</w:t>
      </w:r>
      <w:r w:rsidR="00BD3DD9">
        <w:rPr>
          <w:rFonts w:ascii="Book Antiqua" w:hAnsi="Book Antiqua"/>
          <w:sz w:val="22"/>
        </w:rPr>
        <w:t>ing</w:t>
      </w:r>
      <w:r w:rsidR="00CB7F1F">
        <w:rPr>
          <w:rFonts w:ascii="Book Antiqua" w:hAnsi="Book Antiqua"/>
          <w:sz w:val="22"/>
        </w:rPr>
        <w:t xml:space="preserve"> students, faculty, staff and administrators,</w:t>
      </w:r>
      <w:r w:rsidR="003E0721">
        <w:rPr>
          <w:rFonts w:ascii="Book Antiqua" w:hAnsi="Book Antiqua"/>
          <w:sz w:val="22"/>
        </w:rPr>
        <w:t xml:space="preserve"> </w:t>
      </w:r>
      <w:r w:rsidRPr="00EF04B3">
        <w:rPr>
          <w:rFonts w:ascii="Book Antiqua" w:hAnsi="Book Antiqua"/>
          <w:sz w:val="22"/>
        </w:rPr>
        <w:t>will assist the Investment Committee on issues relating to the endowment fund’s Responsible Investing Policy.</w:t>
      </w:r>
    </w:p>
    <w:p w:rsidR="00F1179B" w:rsidRDefault="00F1179B">
      <w:pPr>
        <w:rPr>
          <w:rFonts w:ascii="Book Antiqua" w:hAnsi="Book Antiqua"/>
          <w:sz w:val="22"/>
        </w:rPr>
      </w:pPr>
      <w:r>
        <w:rPr>
          <w:rFonts w:ascii="Book Antiqua" w:hAnsi="Book Antiqua"/>
          <w:sz w:val="22"/>
        </w:rPr>
        <w:br w:type="page"/>
      </w:r>
    </w:p>
    <w:p w:rsidR="00775C92" w:rsidRPr="00EF04B3" w:rsidRDefault="005639B9" w:rsidP="00EF04B3">
      <w:pPr>
        <w:numPr>
          <w:ilvl w:val="0"/>
          <w:numId w:val="12"/>
        </w:numPr>
        <w:tabs>
          <w:tab w:val="right" w:pos="540"/>
        </w:tabs>
        <w:spacing w:before="240" w:after="120"/>
        <w:ind w:left="360"/>
        <w:jc w:val="both"/>
        <w:rPr>
          <w:rFonts w:ascii="Book Antiqua" w:hAnsi="Book Antiqua"/>
          <w:b/>
          <w:sz w:val="22"/>
        </w:rPr>
      </w:pPr>
      <w:r w:rsidRPr="00EF04B3">
        <w:rPr>
          <w:rFonts w:ascii="Book Antiqua" w:hAnsi="Book Antiqua"/>
          <w:b/>
          <w:noProof/>
          <w:sz w:val="22"/>
          <w:szCs w:val="22"/>
        </w:rPr>
        <w:lastRenderedPageBreak/>
        <w:t>Reporting</w:t>
      </w:r>
    </w:p>
    <w:p w:rsidR="00454911" w:rsidRPr="00EF04B3" w:rsidRDefault="00C00004" w:rsidP="00071DFD">
      <w:pPr>
        <w:pStyle w:val="BodyTextIndent"/>
        <w:ind w:left="360"/>
        <w:rPr>
          <w:sz w:val="22"/>
        </w:rPr>
      </w:pPr>
      <w:r>
        <w:rPr>
          <w:sz w:val="22"/>
        </w:rPr>
        <w:t>On an annual</w:t>
      </w:r>
      <w:r w:rsidR="00775C92" w:rsidRPr="00EF04B3">
        <w:rPr>
          <w:sz w:val="22"/>
        </w:rPr>
        <w:t xml:space="preserve"> basis, the IC and its </w:t>
      </w:r>
      <w:r w:rsidR="005A0282" w:rsidRPr="00EF04B3">
        <w:rPr>
          <w:sz w:val="22"/>
        </w:rPr>
        <w:t>I</w:t>
      </w:r>
      <w:r w:rsidR="00775C92" w:rsidRPr="00EF04B3">
        <w:rPr>
          <w:sz w:val="22"/>
        </w:rPr>
        <w:t>nvestment</w:t>
      </w:r>
      <w:r w:rsidR="005A0282" w:rsidRPr="00EF04B3">
        <w:rPr>
          <w:sz w:val="22"/>
        </w:rPr>
        <w:t xml:space="preserve"> Consultant</w:t>
      </w:r>
      <w:r w:rsidR="00775C92" w:rsidRPr="00EF04B3">
        <w:rPr>
          <w:sz w:val="22"/>
        </w:rPr>
        <w:t xml:space="preserve"> will provide a report illustrating the Responsible Investment Activities of the endowment fund’s portfolio.  The underlying </w:t>
      </w:r>
      <w:r w:rsidR="003B08EF" w:rsidRPr="00EF04B3">
        <w:rPr>
          <w:sz w:val="22"/>
        </w:rPr>
        <w:t xml:space="preserve">separate account or all </w:t>
      </w:r>
      <w:r w:rsidR="00775C92" w:rsidRPr="00EF04B3">
        <w:rPr>
          <w:sz w:val="22"/>
        </w:rPr>
        <w:t xml:space="preserve">investment managers will be requested to provide information related to ESG characteristics for the underlying investments.  </w:t>
      </w:r>
      <w:r w:rsidR="00A40010" w:rsidRPr="00EF04B3">
        <w:rPr>
          <w:sz w:val="22"/>
        </w:rPr>
        <w:t xml:space="preserve">Each investment manager will be asked to communicate openly about its implementation of environmental, social and governance criteria.  </w:t>
      </w:r>
      <w:r w:rsidR="00775C92" w:rsidRPr="00EF04B3">
        <w:rPr>
          <w:sz w:val="22"/>
        </w:rPr>
        <w:t>The report will be made available to the Warren Wilson College Board of Trustees and the Administration.  At the discretion of the WWC IC, Board of Trustees and Administration the report may</w:t>
      </w:r>
      <w:r w:rsidR="00454911" w:rsidRPr="00EF04B3">
        <w:rPr>
          <w:sz w:val="22"/>
        </w:rPr>
        <w:t xml:space="preserve"> </w:t>
      </w:r>
      <w:r w:rsidR="00775C92" w:rsidRPr="00EF04B3">
        <w:rPr>
          <w:sz w:val="22"/>
        </w:rPr>
        <w:t>be made public</w:t>
      </w:r>
      <w:r w:rsidR="00454911" w:rsidRPr="00EF04B3">
        <w:rPr>
          <w:sz w:val="22"/>
        </w:rPr>
        <w:t xml:space="preserve"> under the terms of the aforementioned endowment fund stakeholders.</w:t>
      </w:r>
    </w:p>
    <w:p w:rsidR="002C57F8" w:rsidRPr="00EF04B3" w:rsidRDefault="005639B9" w:rsidP="00EF04B3">
      <w:pPr>
        <w:numPr>
          <w:ilvl w:val="0"/>
          <w:numId w:val="12"/>
        </w:numPr>
        <w:tabs>
          <w:tab w:val="right" w:pos="540"/>
        </w:tabs>
        <w:spacing w:before="240" w:after="120"/>
        <w:ind w:left="360"/>
        <w:jc w:val="both"/>
        <w:rPr>
          <w:rFonts w:ascii="Book Antiqua" w:hAnsi="Book Antiqua"/>
          <w:b/>
          <w:sz w:val="22"/>
        </w:rPr>
      </w:pPr>
      <w:r w:rsidRPr="00EF04B3">
        <w:rPr>
          <w:rFonts w:ascii="Book Antiqua" w:hAnsi="Book Antiqua"/>
          <w:b/>
          <w:sz w:val="22"/>
        </w:rPr>
        <w:t>Reviewing the Responsible Investment Policy</w:t>
      </w:r>
    </w:p>
    <w:p w:rsidR="002C57F8" w:rsidRPr="00EF04B3" w:rsidRDefault="002C57F8" w:rsidP="00071DFD">
      <w:pPr>
        <w:pStyle w:val="BodyTextIndent"/>
        <w:ind w:left="360"/>
        <w:rPr>
          <w:sz w:val="22"/>
        </w:rPr>
      </w:pPr>
      <w:r w:rsidRPr="00EF04B3">
        <w:rPr>
          <w:sz w:val="22"/>
        </w:rPr>
        <w:t>On an annual basis, the IC will r</w:t>
      </w:r>
      <w:r w:rsidR="00253394" w:rsidRPr="00EF04B3">
        <w:rPr>
          <w:sz w:val="22"/>
        </w:rPr>
        <w:t>eview</w:t>
      </w:r>
      <w:r w:rsidRPr="00EF04B3">
        <w:rPr>
          <w:sz w:val="22"/>
        </w:rPr>
        <w:t xml:space="preserve"> the R</w:t>
      </w:r>
      <w:r w:rsidR="00817F26" w:rsidRPr="00EF04B3">
        <w:rPr>
          <w:sz w:val="22"/>
        </w:rPr>
        <w:t xml:space="preserve">esponsible Investment Policy to measure the effectiveness of </w:t>
      </w:r>
      <w:r w:rsidR="00117740" w:rsidRPr="00EF04B3">
        <w:rPr>
          <w:sz w:val="22"/>
        </w:rPr>
        <w:t xml:space="preserve">the endowment fund with the use of selective performance indicators.  Specifically, the assessment will seek to </w:t>
      </w:r>
      <w:r w:rsidRPr="00EF04B3">
        <w:rPr>
          <w:sz w:val="22"/>
        </w:rPr>
        <w:t xml:space="preserve">determine:  how well it is working; what progress towards goals have been made; how is the implementation working; what issues are we facing and need to address; </w:t>
      </w:r>
      <w:r w:rsidR="003B08EF" w:rsidRPr="00EF04B3">
        <w:rPr>
          <w:sz w:val="22"/>
        </w:rPr>
        <w:t xml:space="preserve">what </w:t>
      </w:r>
      <w:r w:rsidRPr="00EF04B3">
        <w:rPr>
          <w:sz w:val="22"/>
        </w:rPr>
        <w:t>adjustments or revisions</w:t>
      </w:r>
      <w:r w:rsidR="003B08EF" w:rsidRPr="00EF04B3">
        <w:rPr>
          <w:sz w:val="22"/>
        </w:rPr>
        <w:t>, if any,</w:t>
      </w:r>
      <w:r w:rsidRPr="00EF04B3">
        <w:rPr>
          <w:sz w:val="22"/>
        </w:rPr>
        <w:t xml:space="preserve"> need to be made; has anything changed that requires the IC to make changes to the policy; are there new approaches to responsible investing that could be considered; are the policies consistent with the values, mission and culture of WWC.</w:t>
      </w:r>
    </w:p>
    <w:p w:rsidR="005C79AC" w:rsidRPr="00EF04B3" w:rsidRDefault="005639B9" w:rsidP="00EF04B3">
      <w:pPr>
        <w:numPr>
          <w:ilvl w:val="0"/>
          <w:numId w:val="12"/>
        </w:numPr>
        <w:tabs>
          <w:tab w:val="right" w:pos="540"/>
        </w:tabs>
        <w:spacing w:before="240" w:after="120"/>
        <w:ind w:left="360"/>
        <w:jc w:val="both"/>
        <w:rPr>
          <w:rFonts w:ascii="Book Antiqua" w:hAnsi="Book Antiqua"/>
          <w:b/>
          <w:sz w:val="22"/>
        </w:rPr>
      </w:pPr>
      <w:r w:rsidRPr="00EF04B3">
        <w:rPr>
          <w:rFonts w:ascii="Book Antiqua" w:hAnsi="Book Antiqua"/>
          <w:b/>
          <w:noProof/>
          <w:sz w:val="22"/>
          <w:szCs w:val="22"/>
        </w:rPr>
        <w:t>Credits</w:t>
      </w:r>
    </w:p>
    <w:p w:rsidR="004B6658" w:rsidRPr="00EF04B3" w:rsidRDefault="005C79AC" w:rsidP="00071DFD">
      <w:pPr>
        <w:pStyle w:val="BodyTextIndent"/>
        <w:ind w:left="360"/>
        <w:rPr>
          <w:sz w:val="22"/>
        </w:rPr>
      </w:pPr>
      <w:r w:rsidRPr="00EF04B3">
        <w:rPr>
          <w:sz w:val="22"/>
        </w:rPr>
        <w:t>Document contains n</w:t>
      </w:r>
      <w:r w:rsidR="004B6658" w:rsidRPr="00EF04B3">
        <w:rPr>
          <w:sz w:val="22"/>
        </w:rPr>
        <w:t>arrative and information</w:t>
      </w:r>
      <w:r w:rsidRPr="00EF04B3">
        <w:rPr>
          <w:sz w:val="22"/>
        </w:rPr>
        <w:t xml:space="preserve"> obtained from third party sources including, but not limited to, </w:t>
      </w:r>
      <w:r w:rsidR="005F2C1F">
        <w:rPr>
          <w:sz w:val="22"/>
        </w:rPr>
        <w:t xml:space="preserve">UN’s </w:t>
      </w:r>
      <w:r w:rsidRPr="00EF04B3">
        <w:rPr>
          <w:sz w:val="22"/>
        </w:rPr>
        <w:t>PRI – Principles for Responsible Investment, Earlham College, and Harvard University.</w:t>
      </w:r>
    </w:p>
    <w:sectPr w:rsidR="004B6658" w:rsidRPr="00EF04B3" w:rsidSect="00F1179B">
      <w:footerReference w:type="default" r:id="rId9"/>
      <w:pgSz w:w="12240" w:h="15840" w:code="1"/>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B1" w:rsidRDefault="00A527B1" w:rsidP="00CE2613">
      <w:r>
        <w:separator/>
      </w:r>
    </w:p>
  </w:endnote>
  <w:endnote w:type="continuationSeparator" w:id="0">
    <w:p w:rsidR="00A527B1" w:rsidRDefault="00A527B1" w:rsidP="00CE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Eterna">
    <w:altName w:val="Times New Roman"/>
    <w:charset w:val="00"/>
    <w:family w:val="auto"/>
    <w:pitch w:val="variable"/>
    <w:sig w:usb0="00000083" w:usb1="00000000" w:usb2="00000000" w:usb3="00000000" w:csb0="00000009"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59498"/>
      <w:docPartObj>
        <w:docPartGallery w:val="Page Numbers (Bottom of Page)"/>
        <w:docPartUnique/>
      </w:docPartObj>
    </w:sdtPr>
    <w:sdtEndPr>
      <w:rPr>
        <w:noProof/>
      </w:rPr>
    </w:sdtEndPr>
    <w:sdtContent>
      <w:p w:rsidR="003757CA" w:rsidRPr="004E6427" w:rsidRDefault="003757CA">
        <w:pPr>
          <w:pStyle w:val="Footer"/>
          <w:jc w:val="center"/>
          <w:rPr>
            <w:rFonts w:ascii="Book Antiqua" w:hAnsi="Book Antiqua"/>
            <w:sz w:val="18"/>
          </w:rPr>
        </w:pPr>
        <w:r w:rsidRPr="004E6427">
          <w:rPr>
            <w:rFonts w:ascii="Book Antiqua" w:hAnsi="Book Antiqua"/>
            <w:sz w:val="18"/>
          </w:rPr>
          <w:fldChar w:fldCharType="begin"/>
        </w:r>
        <w:r w:rsidRPr="004E6427">
          <w:rPr>
            <w:rFonts w:ascii="Book Antiqua" w:hAnsi="Book Antiqua"/>
            <w:sz w:val="18"/>
          </w:rPr>
          <w:instrText xml:space="preserve"> PAGE   \* MERGEFORMAT </w:instrText>
        </w:r>
        <w:r w:rsidRPr="004E6427">
          <w:rPr>
            <w:rFonts w:ascii="Book Antiqua" w:hAnsi="Book Antiqua"/>
            <w:sz w:val="18"/>
          </w:rPr>
          <w:fldChar w:fldCharType="separate"/>
        </w:r>
        <w:r w:rsidR="002D07D9">
          <w:rPr>
            <w:rFonts w:ascii="Book Antiqua" w:hAnsi="Book Antiqua"/>
            <w:noProof/>
            <w:sz w:val="18"/>
          </w:rPr>
          <w:t>1</w:t>
        </w:r>
        <w:r w:rsidRPr="004E6427">
          <w:rPr>
            <w:rFonts w:ascii="Book Antiqua" w:hAnsi="Book Antiqua"/>
            <w:noProof/>
            <w:sz w:val="18"/>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B1" w:rsidRDefault="00A527B1" w:rsidP="00CE2613">
      <w:r>
        <w:separator/>
      </w:r>
    </w:p>
  </w:footnote>
  <w:footnote w:type="continuationSeparator" w:id="0">
    <w:p w:rsidR="00A527B1" w:rsidRDefault="00A527B1" w:rsidP="00CE26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51EB"/>
    <w:multiLevelType w:val="multilevel"/>
    <w:tmpl w:val="DD382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F6FF2"/>
    <w:multiLevelType w:val="multilevel"/>
    <w:tmpl w:val="37D0B9F0"/>
    <w:lvl w:ilvl="0">
      <w:start w:val="1"/>
      <w:numFmt w:val="decimal"/>
      <w:lvlText w:val="%1."/>
      <w:lvlJc w:val="left"/>
      <w:pPr>
        <w:tabs>
          <w:tab w:val="num" w:pos="720"/>
        </w:tabs>
        <w:ind w:left="360" w:firstLine="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5E2178"/>
    <w:multiLevelType w:val="hybridMultilevel"/>
    <w:tmpl w:val="8870917E"/>
    <w:lvl w:ilvl="0" w:tplc="60C608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131A55"/>
    <w:multiLevelType w:val="multilevel"/>
    <w:tmpl w:val="59A0D4DA"/>
    <w:lvl w:ilvl="0">
      <w:start w:val="1"/>
      <w:numFmt w:val="decimal"/>
      <w:lvlText w:val="%1."/>
      <w:lvlJc w:val="left"/>
      <w:pPr>
        <w:tabs>
          <w:tab w:val="num" w:pos="720"/>
        </w:tabs>
        <w:ind w:left="720" w:firstLine="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82B6C52"/>
    <w:multiLevelType w:val="multilevel"/>
    <w:tmpl w:val="A57E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6329DA"/>
    <w:multiLevelType w:val="multilevel"/>
    <w:tmpl w:val="59A0D4DA"/>
    <w:lvl w:ilvl="0">
      <w:start w:val="1"/>
      <w:numFmt w:val="decimal"/>
      <w:lvlText w:val="%1."/>
      <w:lvlJc w:val="left"/>
      <w:pPr>
        <w:tabs>
          <w:tab w:val="num" w:pos="720"/>
        </w:tabs>
        <w:ind w:left="720" w:firstLine="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BBD2584"/>
    <w:multiLevelType w:val="multilevel"/>
    <w:tmpl w:val="ED78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BF4949"/>
    <w:multiLevelType w:val="multilevel"/>
    <w:tmpl w:val="7C5E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E231AD"/>
    <w:multiLevelType w:val="multilevel"/>
    <w:tmpl w:val="2A22AC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523C5B"/>
    <w:multiLevelType w:val="multilevel"/>
    <w:tmpl w:val="80FA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8878D9"/>
    <w:multiLevelType w:val="hybridMultilevel"/>
    <w:tmpl w:val="A0CEAF1A"/>
    <w:lvl w:ilvl="0" w:tplc="133E81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36E60"/>
    <w:multiLevelType w:val="multilevel"/>
    <w:tmpl w:val="2A64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4A5D42"/>
    <w:multiLevelType w:val="hybridMultilevel"/>
    <w:tmpl w:val="EB68A6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C77607"/>
    <w:multiLevelType w:val="hybridMultilevel"/>
    <w:tmpl w:val="7BC6D96C"/>
    <w:lvl w:ilvl="0" w:tplc="35067CC4">
      <w:start w:val="1"/>
      <w:numFmt w:val="bullet"/>
      <w:lvlText w:val=""/>
      <w:lvlJc w:val="left"/>
      <w:pPr>
        <w:ind w:left="820" w:hanging="360"/>
      </w:pPr>
      <w:rPr>
        <w:rFonts w:ascii="Wingdings" w:hAnsi="Wingdings" w:hint="default"/>
        <w:caps w:val="0"/>
        <w:strike w:val="0"/>
        <w:dstrike w:val="0"/>
        <w:vanish w:val="0"/>
        <w:color w:val="000000"/>
        <w:spacing w:val="0"/>
        <w:w w:val="100"/>
        <w:kern w:val="0"/>
        <w:position w:val="0"/>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71738F"/>
    <w:multiLevelType w:val="multilevel"/>
    <w:tmpl w:val="2F56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C7547F"/>
    <w:multiLevelType w:val="multilevel"/>
    <w:tmpl w:val="91920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297730"/>
    <w:multiLevelType w:val="multilevel"/>
    <w:tmpl w:val="91920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A2316D"/>
    <w:multiLevelType w:val="hybridMultilevel"/>
    <w:tmpl w:val="43849B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BD1622"/>
    <w:multiLevelType w:val="multilevel"/>
    <w:tmpl w:val="80FA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634D02"/>
    <w:multiLevelType w:val="multilevel"/>
    <w:tmpl w:val="35C2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15"/>
  </w:num>
  <w:num w:numId="4">
    <w:abstractNumId w:val="14"/>
  </w:num>
  <w:num w:numId="5">
    <w:abstractNumId w:val="4"/>
  </w:num>
  <w:num w:numId="6">
    <w:abstractNumId w:val="11"/>
  </w:num>
  <w:num w:numId="7">
    <w:abstractNumId w:val="6"/>
  </w:num>
  <w:num w:numId="8">
    <w:abstractNumId w:val="19"/>
  </w:num>
  <w:num w:numId="9">
    <w:abstractNumId w:val="7"/>
  </w:num>
  <w:num w:numId="10">
    <w:abstractNumId w:val="17"/>
  </w:num>
  <w:num w:numId="11">
    <w:abstractNumId w:val="16"/>
  </w:num>
  <w:num w:numId="12">
    <w:abstractNumId w:val="12"/>
  </w:num>
  <w:num w:numId="13">
    <w:abstractNumId w:val="18"/>
  </w:num>
  <w:num w:numId="14">
    <w:abstractNumId w:val="8"/>
  </w:num>
  <w:num w:numId="15">
    <w:abstractNumId w:val="3"/>
  </w:num>
  <w:num w:numId="16">
    <w:abstractNumId w:val="10"/>
  </w:num>
  <w:num w:numId="17">
    <w:abstractNumId w:val="1"/>
  </w:num>
  <w:num w:numId="18">
    <w:abstractNumId w:val="2"/>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7B"/>
    <w:rsid w:val="000000F9"/>
    <w:rsid w:val="00001518"/>
    <w:rsid w:val="000039EE"/>
    <w:rsid w:val="00004366"/>
    <w:rsid w:val="00007BD4"/>
    <w:rsid w:val="0001125A"/>
    <w:rsid w:val="00014123"/>
    <w:rsid w:val="00014BD1"/>
    <w:rsid w:val="000163AC"/>
    <w:rsid w:val="00017104"/>
    <w:rsid w:val="000203D0"/>
    <w:rsid w:val="000214D0"/>
    <w:rsid w:val="000214D2"/>
    <w:rsid w:val="000228A1"/>
    <w:rsid w:val="00023BA8"/>
    <w:rsid w:val="000277A9"/>
    <w:rsid w:val="000334F0"/>
    <w:rsid w:val="00035FE0"/>
    <w:rsid w:val="000365F1"/>
    <w:rsid w:val="00041AFF"/>
    <w:rsid w:val="00042236"/>
    <w:rsid w:val="00042B5A"/>
    <w:rsid w:val="00042DB5"/>
    <w:rsid w:val="000472FC"/>
    <w:rsid w:val="00053D98"/>
    <w:rsid w:val="00054207"/>
    <w:rsid w:val="00054519"/>
    <w:rsid w:val="00054A8F"/>
    <w:rsid w:val="00054C1A"/>
    <w:rsid w:val="00055959"/>
    <w:rsid w:val="000609D3"/>
    <w:rsid w:val="00061713"/>
    <w:rsid w:val="00063AFB"/>
    <w:rsid w:val="00071DFD"/>
    <w:rsid w:val="00076942"/>
    <w:rsid w:val="00077F8A"/>
    <w:rsid w:val="0008109A"/>
    <w:rsid w:val="00081266"/>
    <w:rsid w:val="000817F0"/>
    <w:rsid w:val="000839E6"/>
    <w:rsid w:val="00084A5A"/>
    <w:rsid w:val="00085B10"/>
    <w:rsid w:val="0008695F"/>
    <w:rsid w:val="00086988"/>
    <w:rsid w:val="00095766"/>
    <w:rsid w:val="000978C0"/>
    <w:rsid w:val="000A0799"/>
    <w:rsid w:val="000A3B88"/>
    <w:rsid w:val="000A3D8A"/>
    <w:rsid w:val="000A44B4"/>
    <w:rsid w:val="000A4EE5"/>
    <w:rsid w:val="000A754F"/>
    <w:rsid w:val="000A7C9B"/>
    <w:rsid w:val="000B0766"/>
    <w:rsid w:val="000B085A"/>
    <w:rsid w:val="000B154B"/>
    <w:rsid w:val="000B24D2"/>
    <w:rsid w:val="000B388C"/>
    <w:rsid w:val="000C04E4"/>
    <w:rsid w:val="000C25A7"/>
    <w:rsid w:val="000C29DA"/>
    <w:rsid w:val="000C2BCB"/>
    <w:rsid w:val="000C524B"/>
    <w:rsid w:val="000C7BFA"/>
    <w:rsid w:val="000D0655"/>
    <w:rsid w:val="000D34FF"/>
    <w:rsid w:val="000D3E73"/>
    <w:rsid w:val="000D50CF"/>
    <w:rsid w:val="000D65E8"/>
    <w:rsid w:val="000E2D1F"/>
    <w:rsid w:val="000E313E"/>
    <w:rsid w:val="000E593C"/>
    <w:rsid w:val="000E6CE2"/>
    <w:rsid w:val="000F1976"/>
    <w:rsid w:val="000F434C"/>
    <w:rsid w:val="000F483E"/>
    <w:rsid w:val="0010015B"/>
    <w:rsid w:val="00101881"/>
    <w:rsid w:val="001043B0"/>
    <w:rsid w:val="0010778A"/>
    <w:rsid w:val="00117740"/>
    <w:rsid w:val="00117A2A"/>
    <w:rsid w:val="00120DB2"/>
    <w:rsid w:val="001226E8"/>
    <w:rsid w:val="00126EE7"/>
    <w:rsid w:val="00130DE3"/>
    <w:rsid w:val="00130E59"/>
    <w:rsid w:val="001314EC"/>
    <w:rsid w:val="00134456"/>
    <w:rsid w:val="00135162"/>
    <w:rsid w:val="0013603F"/>
    <w:rsid w:val="001372EB"/>
    <w:rsid w:val="00141CA0"/>
    <w:rsid w:val="0014748C"/>
    <w:rsid w:val="001479E9"/>
    <w:rsid w:val="001516F8"/>
    <w:rsid w:val="00152A6B"/>
    <w:rsid w:val="00160032"/>
    <w:rsid w:val="0016197D"/>
    <w:rsid w:val="00163585"/>
    <w:rsid w:val="001656C8"/>
    <w:rsid w:val="001660E4"/>
    <w:rsid w:val="001672E3"/>
    <w:rsid w:val="00167522"/>
    <w:rsid w:val="001703D9"/>
    <w:rsid w:val="001709C6"/>
    <w:rsid w:val="001751DD"/>
    <w:rsid w:val="001752D2"/>
    <w:rsid w:val="00177A50"/>
    <w:rsid w:val="00181794"/>
    <w:rsid w:val="00181FCC"/>
    <w:rsid w:val="001823E9"/>
    <w:rsid w:val="001826D6"/>
    <w:rsid w:val="00185DC2"/>
    <w:rsid w:val="001860E2"/>
    <w:rsid w:val="00186400"/>
    <w:rsid w:val="00191BAD"/>
    <w:rsid w:val="00196645"/>
    <w:rsid w:val="00197021"/>
    <w:rsid w:val="001976A2"/>
    <w:rsid w:val="001979D2"/>
    <w:rsid w:val="001A5F77"/>
    <w:rsid w:val="001B2FC8"/>
    <w:rsid w:val="001B7428"/>
    <w:rsid w:val="001C1B23"/>
    <w:rsid w:val="001C408A"/>
    <w:rsid w:val="001C50F6"/>
    <w:rsid w:val="001C5528"/>
    <w:rsid w:val="001C7322"/>
    <w:rsid w:val="001D1121"/>
    <w:rsid w:val="001D28AA"/>
    <w:rsid w:val="001D3A01"/>
    <w:rsid w:val="001D3CD9"/>
    <w:rsid w:val="001D5D31"/>
    <w:rsid w:val="001D75C0"/>
    <w:rsid w:val="001E04F1"/>
    <w:rsid w:val="001E1D1B"/>
    <w:rsid w:val="001E206A"/>
    <w:rsid w:val="001E22CC"/>
    <w:rsid w:val="001E6831"/>
    <w:rsid w:val="001E7DD6"/>
    <w:rsid w:val="001F1946"/>
    <w:rsid w:val="001F783E"/>
    <w:rsid w:val="002008F7"/>
    <w:rsid w:val="002064BC"/>
    <w:rsid w:val="00207086"/>
    <w:rsid w:val="002102F5"/>
    <w:rsid w:val="00211C9D"/>
    <w:rsid w:val="00212E4A"/>
    <w:rsid w:val="00215234"/>
    <w:rsid w:val="002156FE"/>
    <w:rsid w:val="002170E5"/>
    <w:rsid w:val="002171BF"/>
    <w:rsid w:val="0022137B"/>
    <w:rsid w:val="00221C5A"/>
    <w:rsid w:val="00221CC0"/>
    <w:rsid w:val="0022200C"/>
    <w:rsid w:val="0022700B"/>
    <w:rsid w:val="0023109E"/>
    <w:rsid w:val="00231202"/>
    <w:rsid w:val="00232757"/>
    <w:rsid w:val="00233A89"/>
    <w:rsid w:val="00233AE7"/>
    <w:rsid w:val="00235987"/>
    <w:rsid w:val="00235E29"/>
    <w:rsid w:val="00242745"/>
    <w:rsid w:val="0024323A"/>
    <w:rsid w:val="00250148"/>
    <w:rsid w:val="00250574"/>
    <w:rsid w:val="00252197"/>
    <w:rsid w:val="00252666"/>
    <w:rsid w:val="00252C7A"/>
    <w:rsid w:val="00252FA8"/>
    <w:rsid w:val="00253394"/>
    <w:rsid w:val="00254262"/>
    <w:rsid w:val="002554EA"/>
    <w:rsid w:val="00260152"/>
    <w:rsid w:val="00263372"/>
    <w:rsid w:val="00264F79"/>
    <w:rsid w:val="00266442"/>
    <w:rsid w:val="00266CF3"/>
    <w:rsid w:val="00267CD5"/>
    <w:rsid w:val="00270ACF"/>
    <w:rsid w:val="0027179E"/>
    <w:rsid w:val="00271AAC"/>
    <w:rsid w:val="002732F6"/>
    <w:rsid w:val="00274169"/>
    <w:rsid w:val="00277E39"/>
    <w:rsid w:val="0028044F"/>
    <w:rsid w:val="00283288"/>
    <w:rsid w:val="00287131"/>
    <w:rsid w:val="002924E7"/>
    <w:rsid w:val="002925BF"/>
    <w:rsid w:val="00296051"/>
    <w:rsid w:val="002A0ED9"/>
    <w:rsid w:val="002A2FD9"/>
    <w:rsid w:val="002A45E9"/>
    <w:rsid w:val="002A503A"/>
    <w:rsid w:val="002A5AA7"/>
    <w:rsid w:val="002A6200"/>
    <w:rsid w:val="002B089C"/>
    <w:rsid w:val="002B3340"/>
    <w:rsid w:val="002B34D5"/>
    <w:rsid w:val="002B58B2"/>
    <w:rsid w:val="002B6C70"/>
    <w:rsid w:val="002C0F64"/>
    <w:rsid w:val="002C4DE1"/>
    <w:rsid w:val="002C4E47"/>
    <w:rsid w:val="002C53F0"/>
    <w:rsid w:val="002C57F8"/>
    <w:rsid w:val="002C590E"/>
    <w:rsid w:val="002C6D2C"/>
    <w:rsid w:val="002C79F9"/>
    <w:rsid w:val="002C7C27"/>
    <w:rsid w:val="002C7D7A"/>
    <w:rsid w:val="002D07D9"/>
    <w:rsid w:val="002D0FC6"/>
    <w:rsid w:val="002D14EB"/>
    <w:rsid w:val="002D2BAC"/>
    <w:rsid w:val="002D55B5"/>
    <w:rsid w:val="002D6BEB"/>
    <w:rsid w:val="002D6E05"/>
    <w:rsid w:val="002E497B"/>
    <w:rsid w:val="002F000B"/>
    <w:rsid w:val="002F01A6"/>
    <w:rsid w:val="002F6A9C"/>
    <w:rsid w:val="002F6EB5"/>
    <w:rsid w:val="00302D94"/>
    <w:rsid w:val="0030326B"/>
    <w:rsid w:val="00303556"/>
    <w:rsid w:val="00304B74"/>
    <w:rsid w:val="00305D3C"/>
    <w:rsid w:val="00305FF3"/>
    <w:rsid w:val="003129BF"/>
    <w:rsid w:val="003142EB"/>
    <w:rsid w:val="00315F98"/>
    <w:rsid w:val="00316D0B"/>
    <w:rsid w:val="003177EC"/>
    <w:rsid w:val="00327874"/>
    <w:rsid w:val="003335FD"/>
    <w:rsid w:val="00336AF4"/>
    <w:rsid w:val="00337B1D"/>
    <w:rsid w:val="00337FE4"/>
    <w:rsid w:val="0034033C"/>
    <w:rsid w:val="00343556"/>
    <w:rsid w:val="00344D00"/>
    <w:rsid w:val="00350059"/>
    <w:rsid w:val="0035211F"/>
    <w:rsid w:val="00355E0B"/>
    <w:rsid w:val="00356B3D"/>
    <w:rsid w:val="00361340"/>
    <w:rsid w:val="00361D2A"/>
    <w:rsid w:val="00361EDB"/>
    <w:rsid w:val="00361F8F"/>
    <w:rsid w:val="00365A5C"/>
    <w:rsid w:val="0036756B"/>
    <w:rsid w:val="003716AF"/>
    <w:rsid w:val="0037219E"/>
    <w:rsid w:val="00372CD3"/>
    <w:rsid w:val="00372EC5"/>
    <w:rsid w:val="003733A6"/>
    <w:rsid w:val="00373556"/>
    <w:rsid w:val="0037382F"/>
    <w:rsid w:val="003756D3"/>
    <w:rsid w:val="003757CA"/>
    <w:rsid w:val="003770D9"/>
    <w:rsid w:val="003803F4"/>
    <w:rsid w:val="00381152"/>
    <w:rsid w:val="00393AE7"/>
    <w:rsid w:val="00394AB8"/>
    <w:rsid w:val="003953EA"/>
    <w:rsid w:val="003A1799"/>
    <w:rsid w:val="003A2500"/>
    <w:rsid w:val="003A6DD3"/>
    <w:rsid w:val="003A7269"/>
    <w:rsid w:val="003A72E6"/>
    <w:rsid w:val="003A7BD0"/>
    <w:rsid w:val="003B01AD"/>
    <w:rsid w:val="003B0415"/>
    <w:rsid w:val="003B052F"/>
    <w:rsid w:val="003B08EF"/>
    <w:rsid w:val="003B0B13"/>
    <w:rsid w:val="003B19D0"/>
    <w:rsid w:val="003B1E86"/>
    <w:rsid w:val="003B1EB2"/>
    <w:rsid w:val="003B295D"/>
    <w:rsid w:val="003B3B1A"/>
    <w:rsid w:val="003B479B"/>
    <w:rsid w:val="003C0D13"/>
    <w:rsid w:val="003C3525"/>
    <w:rsid w:val="003C45FC"/>
    <w:rsid w:val="003C5C76"/>
    <w:rsid w:val="003C78FF"/>
    <w:rsid w:val="003C7C44"/>
    <w:rsid w:val="003D0B2C"/>
    <w:rsid w:val="003D1193"/>
    <w:rsid w:val="003D3229"/>
    <w:rsid w:val="003D3EBE"/>
    <w:rsid w:val="003D4CED"/>
    <w:rsid w:val="003D52FA"/>
    <w:rsid w:val="003D7358"/>
    <w:rsid w:val="003D7F82"/>
    <w:rsid w:val="003E0721"/>
    <w:rsid w:val="003E12A7"/>
    <w:rsid w:val="003E1860"/>
    <w:rsid w:val="003E2214"/>
    <w:rsid w:val="003E34A6"/>
    <w:rsid w:val="003E3636"/>
    <w:rsid w:val="003E5686"/>
    <w:rsid w:val="003E5987"/>
    <w:rsid w:val="003E5E6F"/>
    <w:rsid w:val="003E608F"/>
    <w:rsid w:val="003F23A9"/>
    <w:rsid w:val="003F39FF"/>
    <w:rsid w:val="003F4589"/>
    <w:rsid w:val="003F7855"/>
    <w:rsid w:val="00405576"/>
    <w:rsid w:val="0040715B"/>
    <w:rsid w:val="0041025B"/>
    <w:rsid w:val="00410BBB"/>
    <w:rsid w:val="00417054"/>
    <w:rsid w:val="00422756"/>
    <w:rsid w:val="00423D7D"/>
    <w:rsid w:val="004261CF"/>
    <w:rsid w:val="004275B6"/>
    <w:rsid w:val="004318D8"/>
    <w:rsid w:val="0043504D"/>
    <w:rsid w:val="004430F5"/>
    <w:rsid w:val="00444BAE"/>
    <w:rsid w:val="00445C38"/>
    <w:rsid w:val="0045173F"/>
    <w:rsid w:val="00452293"/>
    <w:rsid w:val="00453FB4"/>
    <w:rsid w:val="00454911"/>
    <w:rsid w:val="004556E0"/>
    <w:rsid w:val="00456E15"/>
    <w:rsid w:val="0045742A"/>
    <w:rsid w:val="0045753E"/>
    <w:rsid w:val="00457B6C"/>
    <w:rsid w:val="00461757"/>
    <w:rsid w:val="0046683B"/>
    <w:rsid w:val="00466C23"/>
    <w:rsid w:val="00472468"/>
    <w:rsid w:val="0047293C"/>
    <w:rsid w:val="00472ABB"/>
    <w:rsid w:val="00472E14"/>
    <w:rsid w:val="00474AC7"/>
    <w:rsid w:val="004804FE"/>
    <w:rsid w:val="0048067B"/>
    <w:rsid w:val="00481D55"/>
    <w:rsid w:val="00482493"/>
    <w:rsid w:val="0048334D"/>
    <w:rsid w:val="0048460B"/>
    <w:rsid w:val="00486408"/>
    <w:rsid w:val="00486711"/>
    <w:rsid w:val="00486BC5"/>
    <w:rsid w:val="004872E0"/>
    <w:rsid w:val="00487B10"/>
    <w:rsid w:val="004911F5"/>
    <w:rsid w:val="0049203C"/>
    <w:rsid w:val="00492892"/>
    <w:rsid w:val="00494E6A"/>
    <w:rsid w:val="004953E4"/>
    <w:rsid w:val="00496170"/>
    <w:rsid w:val="004A15B8"/>
    <w:rsid w:val="004A1897"/>
    <w:rsid w:val="004A3FCD"/>
    <w:rsid w:val="004B08C6"/>
    <w:rsid w:val="004B49AD"/>
    <w:rsid w:val="004B6658"/>
    <w:rsid w:val="004B7688"/>
    <w:rsid w:val="004C74F7"/>
    <w:rsid w:val="004D13C5"/>
    <w:rsid w:val="004D2060"/>
    <w:rsid w:val="004D2310"/>
    <w:rsid w:val="004D4B14"/>
    <w:rsid w:val="004D4F1C"/>
    <w:rsid w:val="004D5FEC"/>
    <w:rsid w:val="004D6BE9"/>
    <w:rsid w:val="004D7024"/>
    <w:rsid w:val="004E2FBB"/>
    <w:rsid w:val="004E3AFA"/>
    <w:rsid w:val="004E6211"/>
    <w:rsid w:val="004E6427"/>
    <w:rsid w:val="004F0137"/>
    <w:rsid w:val="004F2741"/>
    <w:rsid w:val="004F3226"/>
    <w:rsid w:val="004F35CC"/>
    <w:rsid w:val="004F3DE4"/>
    <w:rsid w:val="004F4D2A"/>
    <w:rsid w:val="004F5916"/>
    <w:rsid w:val="004F5F41"/>
    <w:rsid w:val="004F694C"/>
    <w:rsid w:val="00500945"/>
    <w:rsid w:val="00504BDD"/>
    <w:rsid w:val="00505238"/>
    <w:rsid w:val="00506846"/>
    <w:rsid w:val="00510F45"/>
    <w:rsid w:val="0051278E"/>
    <w:rsid w:val="0051468B"/>
    <w:rsid w:val="005151E1"/>
    <w:rsid w:val="00516384"/>
    <w:rsid w:val="005171CC"/>
    <w:rsid w:val="00522DAA"/>
    <w:rsid w:val="00523EA2"/>
    <w:rsid w:val="005257C0"/>
    <w:rsid w:val="00526952"/>
    <w:rsid w:val="00527218"/>
    <w:rsid w:val="00530FC5"/>
    <w:rsid w:val="005315CF"/>
    <w:rsid w:val="0053498D"/>
    <w:rsid w:val="0053561B"/>
    <w:rsid w:val="00537144"/>
    <w:rsid w:val="00537A5D"/>
    <w:rsid w:val="0054481E"/>
    <w:rsid w:val="00544D8A"/>
    <w:rsid w:val="00546FEA"/>
    <w:rsid w:val="00551414"/>
    <w:rsid w:val="00551494"/>
    <w:rsid w:val="00555351"/>
    <w:rsid w:val="00557F97"/>
    <w:rsid w:val="005639B9"/>
    <w:rsid w:val="00567AD1"/>
    <w:rsid w:val="00571F29"/>
    <w:rsid w:val="00573A77"/>
    <w:rsid w:val="00575F67"/>
    <w:rsid w:val="005767F3"/>
    <w:rsid w:val="00581A45"/>
    <w:rsid w:val="00581ECF"/>
    <w:rsid w:val="00584051"/>
    <w:rsid w:val="0058516A"/>
    <w:rsid w:val="00587C8C"/>
    <w:rsid w:val="005907B0"/>
    <w:rsid w:val="0059141C"/>
    <w:rsid w:val="00592650"/>
    <w:rsid w:val="00593898"/>
    <w:rsid w:val="00597131"/>
    <w:rsid w:val="005972C6"/>
    <w:rsid w:val="005A0282"/>
    <w:rsid w:val="005A170C"/>
    <w:rsid w:val="005A1FBF"/>
    <w:rsid w:val="005A3E58"/>
    <w:rsid w:val="005A554B"/>
    <w:rsid w:val="005A56C2"/>
    <w:rsid w:val="005A6477"/>
    <w:rsid w:val="005B031C"/>
    <w:rsid w:val="005B1F94"/>
    <w:rsid w:val="005B4E5C"/>
    <w:rsid w:val="005B5B48"/>
    <w:rsid w:val="005B6894"/>
    <w:rsid w:val="005B7830"/>
    <w:rsid w:val="005B7DE1"/>
    <w:rsid w:val="005C110F"/>
    <w:rsid w:val="005C2C88"/>
    <w:rsid w:val="005C35A6"/>
    <w:rsid w:val="005C4FD8"/>
    <w:rsid w:val="005C79AC"/>
    <w:rsid w:val="005D229B"/>
    <w:rsid w:val="005D29FA"/>
    <w:rsid w:val="005D478A"/>
    <w:rsid w:val="005D5A71"/>
    <w:rsid w:val="005D6B8F"/>
    <w:rsid w:val="005D6C51"/>
    <w:rsid w:val="005E0800"/>
    <w:rsid w:val="005E0EEE"/>
    <w:rsid w:val="005E252F"/>
    <w:rsid w:val="005E5DDE"/>
    <w:rsid w:val="005F1557"/>
    <w:rsid w:val="005F1D6C"/>
    <w:rsid w:val="005F217C"/>
    <w:rsid w:val="005F2C1F"/>
    <w:rsid w:val="005F4FC5"/>
    <w:rsid w:val="005F5AA7"/>
    <w:rsid w:val="0060200B"/>
    <w:rsid w:val="00602638"/>
    <w:rsid w:val="00603714"/>
    <w:rsid w:val="006101CE"/>
    <w:rsid w:val="0061365E"/>
    <w:rsid w:val="006148CE"/>
    <w:rsid w:val="00615B74"/>
    <w:rsid w:val="006161E6"/>
    <w:rsid w:val="006165BE"/>
    <w:rsid w:val="00621425"/>
    <w:rsid w:val="006232B5"/>
    <w:rsid w:val="006269D4"/>
    <w:rsid w:val="0063105B"/>
    <w:rsid w:val="00636905"/>
    <w:rsid w:val="006443D2"/>
    <w:rsid w:val="00644962"/>
    <w:rsid w:val="006453A7"/>
    <w:rsid w:val="00647994"/>
    <w:rsid w:val="006537E5"/>
    <w:rsid w:val="00654929"/>
    <w:rsid w:val="0065582D"/>
    <w:rsid w:val="00657890"/>
    <w:rsid w:val="00657C81"/>
    <w:rsid w:val="006614EB"/>
    <w:rsid w:val="006616D7"/>
    <w:rsid w:val="00664A53"/>
    <w:rsid w:val="00667888"/>
    <w:rsid w:val="00670398"/>
    <w:rsid w:val="0067086B"/>
    <w:rsid w:val="00670E0D"/>
    <w:rsid w:val="00670ED6"/>
    <w:rsid w:val="00673F07"/>
    <w:rsid w:val="006749D1"/>
    <w:rsid w:val="006757CD"/>
    <w:rsid w:val="006803EF"/>
    <w:rsid w:val="006844BE"/>
    <w:rsid w:val="006858B6"/>
    <w:rsid w:val="00685AC1"/>
    <w:rsid w:val="006878F6"/>
    <w:rsid w:val="00693964"/>
    <w:rsid w:val="006939B3"/>
    <w:rsid w:val="00694677"/>
    <w:rsid w:val="006946E0"/>
    <w:rsid w:val="00695FD4"/>
    <w:rsid w:val="00697FDE"/>
    <w:rsid w:val="006A0019"/>
    <w:rsid w:val="006A02F4"/>
    <w:rsid w:val="006A39D3"/>
    <w:rsid w:val="006A62D5"/>
    <w:rsid w:val="006A6488"/>
    <w:rsid w:val="006A67FC"/>
    <w:rsid w:val="006A6B26"/>
    <w:rsid w:val="006A76F8"/>
    <w:rsid w:val="006A78A9"/>
    <w:rsid w:val="006B3529"/>
    <w:rsid w:val="006B37A3"/>
    <w:rsid w:val="006B5AB1"/>
    <w:rsid w:val="006B6C1B"/>
    <w:rsid w:val="006B76A2"/>
    <w:rsid w:val="006C009C"/>
    <w:rsid w:val="006C111E"/>
    <w:rsid w:val="006C2DC9"/>
    <w:rsid w:val="006C2FB0"/>
    <w:rsid w:val="006C6CD3"/>
    <w:rsid w:val="006C752B"/>
    <w:rsid w:val="006D0257"/>
    <w:rsid w:val="006D70DD"/>
    <w:rsid w:val="006E3AD0"/>
    <w:rsid w:val="006E500A"/>
    <w:rsid w:val="006F07D4"/>
    <w:rsid w:val="006F098D"/>
    <w:rsid w:val="006F2C46"/>
    <w:rsid w:val="006F79BB"/>
    <w:rsid w:val="0070258D"/>
    <w:rsid w:val="00706393"/>
    <w:rsid w:val="00707301"/>
    <w:rsid w:val="007113C4"/>
    <w:rsid w:val="0071295C"/>
    <w:rsid w:val="00712F34"/>
    <w:rsid w:val="007141B9"/>
    <w:rsid w:val="00716473"/>
    <w:rsid w:val="0071790B"/>
    <w:rsid w:val="00720365"/>
    <w:rsid w:val="00721016"/>
    <w:rsid w:val="0072148A"/>
    <w:rsid w:val="007214D3"/>
    <w:rsid w:val="007222B9"/>
    <w:rsid w:val="00722E0A"/>
    <w:rsid w:val="00731C11"/>
    <w:rsid w:val="00733772"/>
    <w:rsid w:val="007362F7"/>
    <w:rsid w:val="0074374F"/>
    <w:rsid w:val="00743B10"/>
    <w:rsid w:val="00743C69"/>
    <w:rsid w:val="0074752D"/>
    <w:rsid w:val="00750951"/>
    <w:rsid w:val="007516B4"/>
    <w:rsid w:val="0075248C"/>
    <w:rsid w:val="007564D3"/>
    <w:rsid w:val="00757A3F"/>
    <w:rsid w:val="007601C0"/>
    <w:rsid w:val="00762028"/>
    <w:rsid w:val="00765AA9"/>
    <w:rsid w:val="00766B4F"/>
    <w:rsid w:val="00775C92"/>
    <w:rsid w:val="0077714C"/>
    <w:rsid w:val="00777EEA"/>
    <w:rsid w:val="0078011D"/>
    <w:rsid w:val="00782892"/>
    <w:rsid w:val="00783148"/>
    <w:rsid w:val="00784A7D"/>
    <w:rsid w:val="00786DDD"/>
    <w:rsid w:val="0079240B"/>
    <w:rsid w:val="0079347F"/>
    <w:rsid w:val="00796361"/>
    <w:rsid w:val="007A29CD"/>
    <w:rsid w:val="007A2FBD"/>
    <w:rsid w:val="007A46B5"/>
    <w:rsid w:val="007A6EC4"/>
    <w:rsid w:val="007B63B9"/>
    <w:rsid w:val="007B74D7"/>
    <w:rsid w:val="007C0B9E"/>
    <w:rsid w:val="007C2965"/>
    <w:rsid w:val="007C50F0"/>
    <w:rsid w:val="007D1E1E"/>
    <w:rsid w:val="007D453A"/>
    <w:rsid w:val="007D6DB9"/>
    <w:rsid w:val="007D7165"/>
    <w:rsid w:val="007D7CD6"/>
    <w:rsid w:val="007E057B"/>
    <w:rsid w:val="007E25CD"/>
    <w:rsid w:val="007E268A"/>
    <w:rsid w:val="007E2B9A"/>
    <w:rsid w:val="007E4898"/>
    <w:rsid w:val="007E52E5"/>
    <w:rsid w:val="007E5DE8"/>
    <w:rsid w:val="007E5F9F"/>
    <w:rsid w:val="007E6777"/>
    <w:rsid w:val="007E703F"/>
    <w:rsid w:val="007E77BA"/>
    <w:rsid w:val="007F0D78"/>
    <w:rsid w:val="007F1933"/>
    <w:rsid w:val="007F1C36"/>
    <w:rsid w:val="007F31DD"/>
    <w:rsid w:val="007F4BE9"/>
    <w:rsid w:val="007F5334"/>
    <w:rsid w:val="007F5941"/>
    <w:rsid w:val="007F5D11"/>
    <w:rsid w:val="007F795E"/>
    <w:rsid w:val="0080012F"/>
    <w:rsid w:val="00802308"/>
    <w:rsid w:val="0080537B"/>
    <w:rsid w:val="00806D79"/>
    <w:rsid w:val="00812ADE"/>
    <w:rsid w:val="008157F1"/>
    <w:rsid w:val="00816274"/>
    <w:rsid w:val="00817F26"/>
    <w:rsid w:val="00821BCA"/>
    <w:rsid w:val="008249FB"/>
    <w:rsid w:val="00824E1C"/>
    <w:rsid w:val="00836B0E"/>
    <w:rsid w:val="00837A31"/>
    <w:rsid w:val="0084226A"/>
    <w:rsid w:val="008424B0"/>
    <w:rsid w:val="00843534"/>
    <w:rsid w:val="008444DA"/>
    <w:rsid w:val="00847968"/>
    <w:rsid w:val="00855F26"/>
    <w:rsid w:val="0086490A"/>
    <w:rsid w:val="00865C1F"/>
    <w:rsid w:val="00865D28"/>
    <w:rsid w:val="008700DB"/>
    <w:rsid w:val="00871474"/>
    <w:rsid w:val="00872198"/>
    <w:rsid w:val="00873319"/>
    <w:rsid w:val="008770E0"/>
    <w:rsid w:val="008813F8"/>
    <w:rsid w:val="0088470E"/>
    <w:rsid w:val="00885DFE"/>
    <w:rsid w:val="0088743C"/>
    <w:rsid w:val="00896716"/>
    <w:rsid w:val="00896DE6"/>
    <w:rsid w:val="008A179F"/>
    <w:rsid w:val="008A3FDC"/>
    <w:rsid w:val="008B1427"/>
    <w:rsid w:val="008B1C67"/>
    <w:rsid w:val="008B1DD3"/>
    <w:rsid w:val="008B3CA5"/>
    <w:rsid w:val="008B49DF"/>
    <w:rsid w:val="008B7B1E"/>
    <w:rsid w:val="008C3843"/>
    <w:rsid w:val="008C3A03"/>
    <w:rsid w:val="008C6B16"/>
    <w:rsid w:val="008D54D1"/>
    <w:rsid w:val="008D65C8"/>
    <w:rsid w:val="008E07EC"/>
    <w:rsid w:val="008E1A13"/>
    <w:rsid w:val="008E2BAE"/>
    <w:rsid w:val="008E4C99"/>
    <w:rsid w:val="008E4E80"/>
    <w:rsid w:val="008E5F54"/>
    <w:rsid w:val="008E6268"/>
    <w:rsid w:val="008E7551"/>
    <w:rsid w:val="008F01BD"/>
    <w:rsid w:val="008F2233"/>
    <w:rsid w:val="008F2DA8"/>
    <w:rsid w:val="00902AFB"/>
    <w:rsid w:val="0090429F"/>
    <w:rsid w:val="00920E1F"/>
    <w:rsid w:val="00921EBC"/>
    <w:rsid w:val="00921FE4"/>
    <w:rsid w:val="00923F4B"/>
    <w:rsid w:val="00925164"/>
    <w:rsid w:val="00927594"/>
    <w:rsid w:val="00927CE3"/>
    <w:rsid w:val="009319EE"/>
    <w:rsid w:val="00933EB4"/>
    <w:rsid w:val="009340CF"/>
    <w:rsid w:val="00937498"/>
    <w:rsid w:val="009512B2"/>
    <w:rsid w:val="00957A9F"/>
    <w:rsid w:val="00957C6A"/>
    <w:rsid w:val="0096095C"/>
    <w:rsid w:val="00961192"/>
    <w:rsid w:val="00961E89"/>
    <w:rsid w:val="00963850"/>
    <w:rsid w:val="00963917"/>
    <w:rsid w:val="00964C25"/>
    <w:rsid w:val="0097210A"/>
    <w:rsid w:val="00972EAE"/>
    <w:rsid w:val="00973077"/>
    <w:rsid w:val="009748B1"/>
    <w:rsid w:val="00976A8A"/>
    <w:rsid w:val="00977CF5"/>
    <w:rsid w:val="00982465"/>
    <w:rsid w:val="00984B1A"/>
    <w:rsid w:val="00984BE1"/>
    <w:rsid w:val="00987868"/>
    <w:rsid w:val="00990388"/>
    <w:rsid w:val="0099147C"/>
    <w:rsid w:val="0099190D"/>
    <w:rsid w:val="00994ED4"/>
    <w:rsid w:val="00995A9F"/>
    <w:rsid w:val="009A24AF"/>
    <w:rsid w:val="009A750D"/>
    <w:rsid w:val="009B1A0B"/>
    <w:rsid w:val="009B2530"/>
    <w:rsid w:val="009B5EB9"/>
    <w:rsid w:val="009B6FF0"/>
    <w:rsid w:val="009B7715"/>
    <w:rsid w:val="009C11B0"/>
    <w:rsid w:val="009C22A2"/>
    <w:rsid w:val="009C6B12"/>
    <w:rsid w:val="009D00BE"/>
    <w:rsid w:val="009D0C0A"/>
    <w:rsid w:val="009D2CED"/>
    <w:rsid w:val="009D40A7"/>
    <w:rsid w:val="009D42C0"/>
    <w:rsid w:val="009E0962"/>
    <w:rsid w:val="009E3E45"/>
    <w:rsid w:val="009E7A09"/>
    <w:rsid w:val="009E7AFE"/>
    <w:rsid w:val="009F44C5"/>
    <w:rsid w:val="009F5947"/>
    <w:rsid w:val="009F6DD7"/>
    <w:rsid w:val="00A00417"/>
    <w:rsid w:val="00A04281"/>
    <w:rsid w:val="00A04A3B"/>
    <w:rsid w:val="00A05B7A"/>
    <w:rsid w:val="00A070DD"/>
    <w:rsid w:val="00A07422"/>
    <w:rsid w:val="00A10672"/>
    <w:rsid w:val="00A1116C"/>
    <w:rsid w:val="00A11FE4"/>
    <w:rsid w:val="00A12F15"/>
    <w:rsid w:val="00A13683"/>
    <w:rsid w:val="00A14E91"/>
    <w:rsid w:val="00A15BE0"/>
    <w:rsid w:val="00A174D6"/>
    <w:rsid w:val="00A176F7"/>
    <w:rsid w:val="00A231BB"/>
    <w:rsid w:val="00A23596"/>
    <w:rsid w:val="00A24241"/>
    <w:rsid w:val="00A268A8"/>
    <w:rsid w:val="00A3027F"/>
    <w:rsid w:val="00A33A4E"/>
    <w:rsid w:val="00A34666"/>
    <w:rsid w:val="00A37849"/>
    <w:rsid w:val="00A40010"/>
    <w:rsid w:val="00A42859"/>
    <w:rsid w:val="00A43026"/>
    <w:rsid w:val="00A459B9"/>
    <w:rsid w:val="00A50122"/>
    <w:rsid w:val="00A527B1"/>
    <w:rsid w:val="00A5504B"/>
    <w:rsid w:val="00A57574"/>
    <w:rsid w:val="00A63DAD"/>
    <w:rsid w:val="00A663A2"/>
    <w:rsid w:val="00A70C8F"/>
    <w:rsid w:val="00A71FDE"/>
    <w:rsid w:val="00A7216D"/>
    <w:rsid w:val="00A74535"/>
    <w:rsid w:val="00A75D14"/>
    <w:rsid w:val="00A775FB"/>
    <w:rsid w:val="00A807D5"/>
    <w:rsid w:val="00A83BAE"/>
    <w:rsid w:val="00A9043E"/>
    <w:rsid w:val="00A91690"/>
    <w:rsid w:val="00A91FDE"/>
    <w:rsid w:val="00A93A4E"/>
    <w:rsid w:val="00A93BD5"/>
    <w:rsid w:val="00A945BA"/>
    <w:rsid w:val="00A94604"/>
    <w:rsid w:val="00A96296"/>
    <w:rsid w:val="00A97ECE"/>
    <w:rsid w:val="00AA108F"/>
    <w:rsid w:val="00AA1709"/>
    <w:rsid w:val="00AA4B91"/>
    <w:rsid w:val="00AA5B43"/>
    <w:rsid w:val="00AB2BC9"/>
    <w:rsid w:val="00AB5006"/>
    <w:rsid w:val="00AB6391"/>
    <w:rsid w:val="00AB79B1"/>
    <w:rsid w:val="00AC12FB"/>
    <w:rsid w:val="00AC165B"/>
    <w:rsid w:val="00AC30E6"/>
    <w:rsid w:val="00AC6F66"/>
    <w:rsid w:val="00AD1E08"/>
    <w:rsid w:val="00AD3880"/>
    <w:rsid w:val="00AD3F14"/>
    <w:rsid w:val="00AD4B12"/>
    <w:rsid w:val="00AD55DC"/>
    <w:rsid w:val="00AD61CF"/>
    <w:rsid w:val="00AD7037"/>
    <w:rsid w:val="00AD7890"/>
    <w:rsid w:val="00AD7CB7"/>
    <w:rsid w:val="00AE09D4"/>
    <w:rsid w:val="00AE48A3"/>
    <w:rsid w:val="00AE51A5"/>
    <w:rsid w:val="00AE6022"/>
    <w:rsid w:val="00AF036B"/>
    <w:rsid w:val="00AF0D98"/>
    <w:rsid w:val="00AF3507"/>
    <w:rsid w:val="00AF56B0"/>
    <w:rsid w:val="00AF6153"/>
    <w:rsid w:val="00B05A67"/>
    <w:rsid w:val="00B100C4"/>
    <w:rsid w:val="00B11EB4"/>
    <w:rsid w:val="00B12542"/>
    <w:rsid w:val="00B12CA1"/>
    <w:rsid w:val="00B20671"/>
    <w:rsid w:val="00B21006"/>
    <w:rsid w:val="00B2179A"/>
    <w:rsid w:val="00B221A0"/>
    <w:rsid w:val="00B228CF"/>
    <w:rsid w:val="00B24147"/>
    <w:rsid w:val="00B27619"/>
    <w:rsid w:val="00B3082F"/>
    <w:rsid w:val="00B33492"/>
    <w:rsid w:val="00B42962"/>
    <w:rsid w:val="00B4366D"/>
    <w:rsid w:val="00B44A55"/>
    <w:rsid w:val="00B46666"/>
    <w:rsid w:val="00B508B4"/>
    <w:rsid w:val="00B509AF"/>
    <w:rsid w:val="00B51925"/>
    <w:rsid w:val="00B51AFA"/>
    <w:rsid w:val="00B55A24"/>
    <w:rsid w:val="00B61ADC"/>
    <w:rsid w:val="00B648F1"/>
    <w:rsid w:val="00B6506E"/>
    <w:rsid w:val="00B65226"/>
    <w:rsid w:val="00B66870"/>
    <w:rsid w:val="00B71308"/>
    <w:rsid w:val="00B75947"/>
    <w:rsid w:val="00B76035"/>
    <w:rsid w:val="00B76949"/>
    <w:rsid w:val="00B80261"/>
    <w:rsid w:val="00B81247"/>
    <w:rsid w:val="00B8149C"/>
    <w:rsid w:val="00B81FE5"/>
    <w:rsid w:val="00B83B9E"/>
    <w:rsid w:val="00B84A79"/>
    <w:rsid w:val="00B85B03"/>
    <w:rsid w:val="00B86486"/>
    <w:rsid w:val="00B925BA"/>
    <w:rsid w:val="00B926C1"/>
    <w:rsid w:val="00B93B5B"/>
    <w:rsid w:val="00B94A96"/>
    <w:rsid w:val="00B95F5C"/>
    <w:rsid w:val="00B967C7"/>
    <w:rsid w:val="00BA04D5"/>
    <w:rsid w:val="00BA19B4"/>
    <w:rsid w:val="00BA1B28"/>
    <w:rsid w:val="00BB6BE8"/>
    <w:rsid w:val="00BB7045"/>
    <w:rsid w:val="00BB780D"/>
    <w:rsid w:val="00BC05B5"/>
    <w:rsid w:val="00BC0880"/>
    <w:rsid w:val="00BC092C"/>
    <w:rsid w:val="00BC2D36"/>
    <w:rsid w:val="00BC57AA"/>
    <w:rsid w:val="00BD07A1"/>
    <w:rsid w:val="00BD25F5"/>
    <w:rsid w:val="00BD3935"/>
    <w:rsid w:val="00BD3B59"/>
    <w:rsid w:val="00BD3DD9"/>
    <w:rsid w:val="00BD6C3A"/>
    <w:rsid w:val="00BD76B4"/>
    <w:rsid w:val="00BE0240"/>
    <w:rsid w:val="00BE126F"/>
    <w:rsid w:val="00BE1A7D"/>
    <w:rsid w:val="00BE7107"/>
    <w:rsid w:val="00BF04ED"/>
    <w:rsid w:val="00BF35D4"/>
    <w:rsid w:val="00BF7312"/>
    <w:rsid w:val="00C00004"/>
    <w:rsid w:val="00C00555"/>
    <w:rsid w:val="00C00A2A"/>
    <w:rsid w:val="00C13182"/>
    <w:rsid w:val="00C16C3E"/>
    <w:rsid w:val="00C16E6F"/>
    <w:rsid w:val="00C16F1F"/>
    <w:rsid w:val="00C20A49"/>
    <w:rsid w:val="00C22066"/>
    <w:rsid w:val="00C22299"/>
    <w:rsid w:val="00C24AB0"/>
    <w:rsid w:val="00C25875"/>
    <w:rsid w:val="00C2717E"/>
    <w:rsid w:val="00C35C1D"/>
    <w:rsid w:val="00C36E4B"/>
    <w:rsid w:val="00C406C4"/>
    <w:rsid w:val="00C42E78"/>
    <w:rsid w:val="00C44B1A"/>
    <w:rsid w:val="00C455A9"/>
    <w:rsid w:val="00C5131A"/>
    <w:rsid w:val="00C5152A"/>
    <w:rsid w:val="00C515FA"/>
    <w:rsid w:val="00C5192F"/>
    <w:rsid w:val="00C52A82"/>
    <w:rsid w:val="00C555DB"/>
    <w:rsid w:val="00C57248"/>
    <w:rsid w:val="00C57FF7"/>
    <w:rsid w:val="00C6090F"/>
    <w:rsid w:val="00C6110C"/>
    <w:rsid w:val="00C61558"/>
    <w:rsid w:val="00C6220E"/>
    <w:rsid w:val="00C635FB"/>
    <w:rsid w:val="00C63665"/>
    <w:rsid w:val="00C66551"/>
    <w:rsid w:val="00C66809"/>
    <w:rsid w:val="00C67084"/>
    <w:rsid w:val="00C6726E"/>
    <w:rsid w:val="00C71253"/>
    <w:rsid w:val="00C720BC"/>
    <w:rsid w:val="00C75053"/>
    <w:rsid w:val="00C76EEB"/>
    <w:rsid w:val="00C81055"/>
    <w:rsid w:val="00C812AE"/>
    <w:rsid w:val="00C83D33"/>
    <w:rsid w:val="00C841D8"/>
    <w:rsid w:val="00C84E78"/>
    <w:rsid w:val="00C85B60"/>
    <w:rsid w:val="00C912B9"/>
    <w:rsid w:val="00C9461F"/>
    <w:rsid w:val="00C94DEC"/>
    <w:rsid w:val="00C9587D"/>
    <w:rsid w:val="00C962A8"/>
    <w:rsid w:val="00C97722"/>
    <w:rsid w:val="00CA0E7A"/>
    <w:rsid w:val="00CA0FDB"/>
    <w:rsid w:val="00CA21E9"/>
    <w:rsid w:val="00CA251B"/>
    <w:rsid w:val="00CA36E9"/>
    <w:rsid w:val="00CA5607"/>
    <w:rsid w:val="00CA5C10"/>
    <w:rsid w:val="00CA7D2D"/>
    <w:rsid w:val="00CB280A"/>
    <w:rsid w:val="00CB2ADD"/>
    <w:rsid w:val="00CB36B5"/>
    <w:rsid w:val="00CB597D"/>
    <w:rsid w:val="00CB7C7C"/>
    <w:rsid w:val="00CB7F1F"/>
    <w:rsid w:val="00CC15EC"/>
    <w:rsid w:val="00CC3CB9"/>
    <w:rsid w:val="00CC57C5"/>
    <w:rsid w:val="00CC6502"/>
    <w:rsid w:val="00CD0316"/>
    <w:rsid w:val="00CD2809"/>
    <w:rsid w:val="00CD331B"/>
    <w:rsid w:val="00CD46AB"/>
    <w:rsid w:val="00CD4957"/>
    <w:rsid w:val="00CE01B7"/>
    <w:rsid w:val="00CE2611"/>
    <w:rsid w:val="00CE2613"/>
    <w:rsid w:val="00CE36C2"/>
    <w:rsid w:val="00CE4442"/>
    <w:rsid w:val="00CE5532"/>
    <w:rsid w:val="00CE57B9"/>
    <w:rsid w:val="00CF115B"/>
    <w:rsid w:val="00CF1977"/>
    <w:rsid w:val="00CF3F3E"/>
    <w:rsid w:val="00CF5E28"/>
    <w:rsid w:val="00D00891"/>
    <w:rsid w:val="00D02DB4"/>
    <w:rsid w:val="00D102C4"/>
    <w:rsid w:val="00D1108D"/>
    <w:rsid w:val="00D11277"/>
    <w:rsid w:val="00D12BFD"/>
    <w:rsid w:val="00D16BB6"/>
    <w:rsid w:val="00D201CA"/>
    <w:rsid w:val="00D216AC"/>
    <w:rsid w:val="00D22A6A"/>
    <w:rsid w:val="00D252F4"/>
    <w:rsid w:val="00D257CA"/>
    <w:rsid w:val="00D26C97"/>
    <w:rsid w:val="00D274F4"/>
    <w:rsid w:val="00D275A6"/>
    <w:rsid w:val="00D30C82"/>
    <w:rsid w:val="00D31C6F"/>
    <w:rsid w:val="00D32166"/>
    <w:rsid w:val="00D345EA"/>
    <w:rsid w:val="00D43915"/>
    <w:rsid w:val="00D4443A"/>
    <w:rsid w:val="00D505EB"/>
    <w:rsid w:val="00D52DBC"/>
    <w:rsid w:val="00D534AB"/>
    <w:rsid w:val="00D53651"/>
    <w:rsid w:val="00D5463C"/>
    <w:rsid w:val="00D55AC1"/>
    <w:rsid w:val="00D55D79"/>
    <w:rsid w:val="00D5694E"/>
    <w:rsid w:val="00D609A8"/>
    <w:rsid w:val="00D668C5"/>
    <w:rsid w:val="00D67C75"/>
    <w:rsid w:val="00D7296D"/>
    <w:rsid w:val="00D73027"/>
    <w:rsid w:val="00D73BFB"/>
    <w:rsid w:val="00D777C9"/>
    <w:rsid w:val="00D77DF7"/>
    <w:rsid w:val="00D80E3F"/>
    <w:rsid w:val="00D84F11"/>
    <w:rsid w:val="00D85949"/>
    <w:rsid w:val="00D869BA"/>
    <w:rsid w:val="00D9019B"/>
    <w:rsid w:val="00D921DB"/>
    <w:rsid w:val="00D9223D"/>
    <w:rsid w:val="00D939A3"/>
    <w:rsid w:val="00D96C31"/>
    <w:rsid w:val="00DA02A9"/>
    <w:rsid w:val="00DA28AE"/>
    <w:rsid w:val="00DA3517"/>
    <w:rsid w:val="00DA3FB1"/>
    <w:rsid w:val="00DA4D7F"/>
    <w:rsid w:val="00DB28E5"/>
    <w:rsid w:val="00DB2DFE"/>
    <w:rsid w:val="00DB3694"/>
    <w:rsid w:val="00DB3C40"/>
    <w:rsid w:val="00DC070D"/>
    <w:rsid w:val="00DD1403"/>
    <w:rsid w:val="00DD5B40"/>
    <w:rsid w:val="00DD6DD4"/>
    <w:rsid w:val="00DE17A4"/>
    <w:rsid w:val="00DE42C3"/>
    <w:rsid w:val="00DE526C"/>
    <w:rsid w:val="00DF539A"/>
    <w:rsid w:val="00DF75C8"/>
    <w:rsid w:val="00E00DAE"/>
    <w:rsid w:val="00E013F4"/>
    <w:rsid w:val="00E024F5"/>
    <w:rsid w:val="00E06A15"/>
    <w:rsid w:val="00E07307"/>
    <w:rsid w:val="00E10817"/>
    <w:rsid w:val="00E117D3"/>
    <w:rsid w:val="00E11EF1"/>
    <w:rsid w:val="00E1203C"/>
    <w:rsid w:val="00E140BC"/>
    <w:rsid w:val="00E156A1"/>
    <w:rsid w:val="00E15BE6"/>
    <w:rsid w:val="00E15E95"/>
    <w:rsid w:val="00E246EA"/>
    <w:rsid w:val="00E32C45"/>
    <w:rsid w:val="00E32CA1"/>
    <w:rsid w:val="00E32E4B"/>
    <w:rsid w:val="00E33680"/>
    <w:rsid w:val="00E34EC3"/>
    <w:rsid w:val="00E4195D"/>
    <w:rsid w:val="00E42A4C"/>
    <w:rsid w:val="00E44BF3"/>
    <w:rsid w:val="00E4532F"/>
    <w:rsid w:val="00E52AF0"/>
    <w:rsid w:val="00E540AD"/>
    <w:rsid w:val="00E551FF"/>
    <w:rsid w:val="00E55C13"/>
    <w:rsid w:val="00E5613B"/>
    <w:rsid w:val="00E6083F"/>
    <w:rsid w:val="00E60D6C"/>
    <w:rsid w:val="00E60EC7"/>
    <w:rsid w:val="00E62834"/>
    <w:rsid w:val="00E62E8B"/>
    <w:rsid w:val="00E65ADE"/>
    <w:rsid w:val="00E66096"/>
    <w:rsid w:val="00E67F0F"/>
    <w:rsid w:val="00E701D6"/>
    <w:rsid w:val="00E710A3"/>
    <w:rsid w:val="00E72277"/>
    <w:rsid w:val="00E7577D"/>
    <w:rsid w:val="00E8396B"/>
    <w:rsid w:val="00E86C02"/>
    <w:rsid w:val="00E9036E"/>
    <w:rsid w:val="00E9039F"/>
    <w:rsid w:val="00EA19C5"/>
    <w:rsid w:val="00EA28A8"/>
    <w:rsid w:val="00EA4CB4"/>
    <w:rsid w:val="00EA4F04"/>
    <w:rsid w:val="00EA5967"/>
    <w:rsid w:val="00EB2171"/>
    <w:rsid w:val="00EB64B0"/>
    <w:rsid w:val="00EB6BA6"/>
    <w:rsid w:val="00EB75EB"/>
    <w:rsid w:val="00EC2DEF"/>
    <w:rsid w:val="00EC2F68"/>
    <w:rsid w:val="00EC550C"/>
    <w:rsid w:val="00EC7678"/>
    <w:rsid w:val="00ED1F57"/>
    <w:rsid w:val="00ED2227"/>
    <w:rsid w:val="00ED3912"/>
    <w:rsid w:val="00ED3F19"/>
    <w:rsid w:val="00ED54DC"/>
    <w:rsid w:val="00EE7A12"/>
    <w:rsid w:val="00EF04B3"/>
    <w:rsid w:val="00EF06BF"/>
    <w:rsid w:val="00EF596A"/>
    <w:rsid w:val="00F0552D"/>
    <w:rsid w:val="00F1179B"/>
    <w:rsid w:val="00F1217C"/>
    <w:rsid w:val="00F123EA"/>
    <w:rsid w:val="00F13BC0"/>
    <w:rsid w:val="00F14D2A"/>
    <w:rsid w:val="00F1758A"/>
    <w:rsid w:val="00F220A7"/>
    <w:rsid w:val="00F23633"/>
    <w:rsid w:val="00F25949"/>
    <w:rsid w:val="00F2667D"/>
    <w:rsid w:val="00F27B23"/>
    <w:rsid w:val="00F323E6"/>
    <w:rsid w:val="00F34C31"/>
    <w:rsid w:val="00F37922"/>
    <w:rsid w:val="00F422BD"/>
    <w:rsid w:val="00F44E39"/>
    <w:rsid w:val="00F45EA2"/>
    <w:rsid w:val="00F46638"/>
    <w:rsid w:val="00F4703C"/>
    <w:rsid w:val="00F5781E"/>
    <w:rsid w:val="00F60175"/>
    <w:rsid w:val="00F608A6"/>
    <w:rsid w:val="00F62E8E"/>
    <w:rsid w:val="00F63AFB"/>
    <w:rsid w:val="00F63FC8"/>
    <w:rsid w:val="00F70DB0"/>
    <w:rsid w:val="00F72533"/>
    <w:rsid w:val="00F771C6"/>
    <w:rsid w:val="00F77FCA"/>
    <w:rsid w:val="00F8115E"/>
    <w:rsid w:val="00F83655"/>
    <w:rsid w:val="00F86345"/>
    <w:rsid w:val="00F908BB"/>
    <w:rsid w:val="00F96B52"/>
    <w:rsid w:val="00F9799D"/>
    <w:rsid w:val="00FA2E8D"/>
    <w:rsid w:val="00FA2EAD"/>
    <w:rsid w:val="00FA30E9"/>
    <w:rsid w:val="00FA62FA"/>
    <w:rsid w:val="00FB1684"/>
    <w:rsid w:val="00FB2872"/>
    <w:rsid w:val="00FB2FCB"/>
    <w:rsid w:val="00FB63A2"/>
    <w:rsid w:val="00FB672C"/>
    <w:rsid w:val="00FB7251"/>
    <w:rsid w:val="00FC061E"/>
    <w:rsid w:val="00FC1C68"/>
    <w:rsid w:val="00FC55DF"/>
    <w:rsid w:val="00FC592B"/>
    <w:rsid w:val="00FC5DB9"/>
    <w:rsid w:val="00FC5E47"/>
    <w:rsid w:val="00FC5ECB"/>
    <w:rsid w:val="00FC7099"/>
    <w:rsid w:val="00FC725B"/>
    <w:rsid w:val="00FD0C35"/>
    <w:rsid w:val="00FD1A38"/>
    <w:rsid w:val="00FD6290"/>
    <w:rsid w:val="00FD7AD4"/>
    <w:rsid w:val="00FE0973"/>
    <w:rsid w:val="00FE0C89"/>
    <w:rsid w:val="00FE1922"/>
    <w:rsid w:val="00FE491A"/>
    <w:rsid w:val="00FE522D"/>
    <w:rsid w:val="00FE54DC"/>
    <w:rsid w:val="00FE7184"/>
    <w:rsid w:val="00FF0EA9"/>
    <w:rsid w:val="00FF2C06"/>
    <w:rsid w:val="00FF455E"/>
    <w:rsid w:val="00FF58EB"/>
    <w:rsid w:val="00FF5D5F"/>
    <w:rsid w:val="00FF6B39"/>
    <w:rsid w:val="00FF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7E057B"/>
    <w:pPr>
      <w:spacing w:before="100" w:beforeAutospacing="1" w:after="100" w:afterAutospacing="1"/>
      <w:outlineLvl w:val="0"/>
    </w:pPr>
    <w:rPr>
      <w:b/>
      <w:bCs/>
      <w:kern w:val="36"/>
      <w:sz w:val="48"/>
      <w:szCs w:val="48"/>
    </w:rPr>
  </w:style>
  <w:style w:type="paragraph" w:styleId="Heading3">
    <w:name w:val="heading 3"/>
    <w:basedOn w:val="Normal"/>
    <w:qFormat/>
    <w:rsid w:val="007E057B"/>
    <w:pPr>
      <w:spacing w:before="100" w:beforeAutospacing="1" w:after="100" w:afterAutospacing="1"/>
      <w:outlineLvl w:val="2"/>
    </w:pPr>
    <w:rPr>
      <w:b/>
      <w:bCs/>
      <w:sz w:val="27"/>
      <w:szCs w:val="27"/>
    </w:rPr>
  </w:style>
  <w:style w:type="paragraph" w:styleId="Heading4">
    <w:name w:val="heading 4"/>
    <w:basedOn w:val="Normal"/>
    <w:qFormat/>
    <w:rsid w:val="007E057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057B"/>
    <w:pPr>
      <w:spacing w:before="100" w:beforeAutospacing="1" w:after="100" w:afterAutospacing="1"/>
    </w:pPr>
  </w:style>
  <w:style w:type="character" w:styleId="Hyperlink">
    <w:name w:val="Hyperlink"/>
    <w:rsid w:val="007E057B"/>
    <w:rPr>
      <w:color w:val="0000FF"/>
      <w:u w:val="single"/>
    </w:rPr>
  </w:style>
  <w:style w:type="character" w:customStyle="1" w:styleId="apple-converted-space">
    <w:name w:val="apple-converted-space"/>
    <w:basedOn w:val="DefaultParagraphFont"/>
    <w:rsid w:val="007E057B"/>
  </w:style>
  <w:style w:type="character" w:styleId="Strong">
    <w:name w:val="Strong"/>
    <w:qFormat/>
    <w:rsid w:val="007E057B"/>
    <w:rPr>
      <w:b/>
      <w:bCs/>
    </w:rPr>
  </w:style>
  <w:style w:type="character" w:styleId="Emphasis">
    <w:name w:val="Emphasis"/>
    <w:qFormat/>
    <w:rsid w:val="007E057B"/>
    <w:rPr>
      <w:i/>
      <w:iCs/>
    </w:rPr>
  </w:style>
  <w:style w:type="paragraph" w:customStyle="1" w:styleId="Default">
    <w:name w:val="Default"/>
    <w:rsid w:val="006C752B"/>
    <w:pPr>
      <w:autoSpaceDE w:val="0"/>
      <w:autoSpaceDN w:val="0"/>
      <w:adjustRightInd w:val="0"/>
    </w:pPr>
    <w:rPr>
      <w:rFonts w:ascii="Eterna" w:hAnsi="Eterna" w:cs="Eterna"/>
      <w:color w:val="000000"/>
      <w:sz w:val="24"/>
      <w:szCs w:val="24"/>
    </w:rPr>
  </w:style>
  <w:style w:type="paragraph" w:styleId="Header">
    <w:name w:val="header"/>
    <w:basedOn w:val="Normal"/>
    <w:link w:val="HeaderChar"/>
    <w:rsid w:val="00CE2613"/>
    <w:pPr>
      <w:tabs>
        <w:tab w:val="center" w:pos="4680"/>
        <w:tab w:val="right" w:pos="9360"/>
      </w:tabs>
    </w:pPr>
  </w:style>
  <w:style w:type="character" w:customStyle="1" w:styleId="HeaderChar">
    <w:name w:val="Header Char"/>
    <w:link w:val="Header"/>
    <w:rsid w:val="00CE2613"/>
    <w:rPr>
      <w:sz w:val="24"/>
      <w:szCs w:val="24"/>
    </w:rPr>
  </w:style>
  <w:style w:type="paragraph" w:styleId="Footer">
    <w:name w:val="footer"/>
    <w:basedOn w:val="Normal"/>
    <w:link w:val="FooterChar"/>
    <w:uiPriority w:val="99"/>
    <w:rsid w:val="00CE2613"/>
    <w:pPr>
      <w:tabs>
        <w:tab w:val="center" w:pos="4680"/>
        <w:tab w:val="right" w:pos="9360"/>
      </w:tabs>
    </w:pPr>
  </w:style>
  <w:style w:type="character" w:customStyle="1" w:styleId="FooterChar">
    <w:name w:val="Footer Char"/>
    <w:link w:val="Footer"/>
    <w:uiPriority w:val="99"/>
    <w:rsid w:val="00CE2613"/>
    <w:rPr>
      <w:sz w:val="24"/>
      <w:szCs w:val="24"/>
    </w:rPr>
  </w:style>
  <w:style w:type="paragraph" w:styleId="BalloonText">
    <w:name w:val="Balloon Text"/>
    <w:basedOn w:val="Normal"/>
    <w:link w:val="BalloonTextChar"/>
    <w:rsid w:val="0048460B"/>
    <w:rPr>
      <w:rFonts w:ascii="Tahoma" w:hAnsi="Tahoma" w:cs="Tahoma"/>
      <w:sz w:val="16"/>
      <w:szCs w:val="16"/>
    </w:rPr>
  </w:style>
  <w:style w:type="character" w:customStyle="1" w:styleId="BalloonTextChar">
    <w:name w:val="Balloon Text Char"/>
    <w:basedOn w:val="DefaultParagraphFont"/>
    <w:link w:val="BalloonText"/>
    <w:rsid w:val="0048460B"/>
    <w:rPr>
      <w:rFonts w:ascii="Tahoma" w:hAnsi="Tahoma" w:cs="Tahoma"/>
      <w:sz w:val="16"/>
      <w:szCs w:val="16"/>
    </w:rPr>
  </w:style>
  <w:style w:type="character" w:styleId="CommentReference">
    <w:name w:val="annotation reference"/>
    <w:basedOn w:val="DefaultParagraphFont"/>
    <w:rsid w:val="00837A31"/>
    <w:rPr>
      <w:sz w:val="16"/>
      <w:szCs w:val="16"/>
    </w:rPr>
  </w:style>
  <w:style w:type="paragraph" w:styleId="CommentText">
    <w:name w:val="annotation text"/>
    <w:basedOn w:val="Normal"/>
    <w:link w:val="CommentTextChar"/>
    <w:rsid w:val="00837A31"/>
    <w:rPr>
      <w:sz w:val="20"/>
      <w:szCs w:val="20"/>
    </w:rPr>
  </w:style>
  <w:style w:type="character" w:customStyle="1" w:styleId="CommentTextChar">
    <w:name w:val="Comment Text Char"/>
    <w:basedOn w:val="DefaultParagraphFont"/>
    <w:link w:val="CommentText"/>
    <w:rsid w:val="00837A31"/>
  </w:style>
  <w:style w:type="paragraph" w:styleId="CommentSubject">
    <w:name w:val="annotation subject"/>
    <w:basedOn w:val="CommentText"/>
    <w:next w:val="CommentText"/>
    <w:link w:val="CommentSubjectChar"/>
    <w:rsid w:val="00837A31"/>
    <w:rPr>
      <w:b/>
      <w:bCs/>
    </w:rPr>
  </w:style>
  <w:style w:type="character" w:customStyle="1" w:styleId="CommentSubjectChar">
    <w:name w:val="Comment Subject Char"/>
    <w:basedOn w:val="CommentTextChar"/>
    <w:link w:val="CommentSubject"/>
    <w:rsid w:val="00837A31"/>
    <w:rPr>
      <w:b/>
      <w:bCs/>
    </w:rPr>
  </w:style>
  <w:style w:type="paragraph" w:styleId="ListParagraph">
    <w:name w:val="List Paragraph"/>
    <w:basedOn w:val="Normal"/>
    <w:uiPriority w:val="1"/>
    <w:qFormat/>
    <w:rsid w:val="00CA0FDB"/>
    <w:pPr>
      <w:ind w:left="720"/>
      <w:contextualSpacing/>
    </w:pPr>
  </w:style>
  <w:style w:type="paragraph" w:styleId="BodyTextIndent">
    <w:name w:val="Body Text Indent"/>
    <w:basedOn w:val="Normal"/>
    <w:link w:val="BodyTextIndentChar"/>
    <w:rsid w:val="00071DFD"/>
    <w:pPr>
      <w:tabs>
        <w:tab w:val="right" w:pos="540"/>
      </w:tabs>
      <w:ind w:left="720"/>
      <w:jc w:val="both"/>
    </w:pPr>
    <w:rPr>
      <w:rFonts w:ascii="Book Antiqua" w:hAnsi="Book Antiqua"/>
      <w:szCs w:val="22"/>
    </w:rPr>
  </w:style>
  <w:style w:type="character" w:customStyle="1" w:styleId="BodyTextIndentChar">
    <w:name w:val="Body Text Indent Char"/>
    <w:basedOn w:val="DefaultParagraphFont"/>
    <w:link w:val="BodyTextIndent"/>
    <w:rsid w:val="00071DFD"/>
    <w:rPr>
      <w:rFonts w:ascii="Book Antiqua" w:hAnsi="Book Antiqua"/>
      <w:sz w:val="24"/>
      <w:szCs w:val="22"/>
    </w:rPr>
  </w:style>
  <w:style w:type="paragraph" w:styleId="BodyText">
    <w:name w:val="Body Text"/>
    <w:basedOn w:val="Normal"/>
    <w:link w:val="BodyTextChar"/>
    <w:semiHidden/>
    <w:unhideWhenUsed/>
    <w:rsid w:val="00977CF5"/>
    <w:pPr>
      <w:spacing w:after="120"/>
    </w:pPr>
  </w:style>
  <w:style w:type="character" w:customStyle="1" w:styleId="BodyTextChar">
    <w:name w:val="Body Text Char"/>
    <w:basedOn w:val="DefaultParagraphFont"/>
    <w:link w:val="BodyText"/>
    <w:semiHidden/>
    <w:rsid w:val="00977CF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7E057B"/>
    <w:pPr>
      <w:spacing w:before="100" w:beforeAutospacing="1" w:after="100" w:afterAutospacing="1"/>
      <w:outlineLvl w:val="0"/>
    </w:pPr>
    <w:rPr>
      <w:b/>
      <w:bCs/>
      <w:kern w:val="36"/>
      <w:sz w:val="48"/>
      <w:szCs w:val="48"/>
    </w:rPr>
  </w:style>
  <w:style w:type="paragraph" w:styleId="Heading3">
    <w:name w:val="heading 3"/>
    <w:basedOn w:val="Normal"/>
    <w:qFormat/>
    <w:rsid w:val="007E057B"/>
    <w:pPr>
      <w:spacing w:before="100" w:beforeAutospacing="1" w:after="100" w:afterAutospacing="1"/>
      <w:outlineLvl w:val="2"/>
    </w:pPr>
    <w:rPr>
      <w:b/>
      <w:bCs/>
      <w:sz w:val="27"/>
      <w:szCs w:val="27"/>
    </w:rPr>
  </w:style>
  <w:style w:type="paragraph" w:styleId="Heading4">
    <w:name w:val="heading 4"/>
    <w:basedOn w:val="Normal"/>
    <w:qFormat/>
    <w:rsid w:val="007E057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057B"/>
    <w:pPr>
      <w:spacing w:before="100" w:beforeAutospacing="1" w:after="100" w:afterAutospacing="1"/>
    </w:pPr>
  </w:style>
  <w:style w:type="character" w:styleId="Hyperlink">
    <w:name w:val="Hyperlink"/>
    <w:rsid w:val="007E057B"/>
    <w:rPr>
      <w:color w:val="0000FF"/>
      <w:u w:val="single"/>
    </w:rPr>
  </w:style>
  <w:style w:type="character" w:customStyle="1" w:styleId="apple-converted-space">
    <w:name w:val="apple-converted-space"/>
    <w:basedOn w:val="DefaultParagraphFont"/>
    <w:rsid w:val="007E057B"/>
  </w:style>
  <w:style w:type="character" w:styleId="Strong">
    <w:name w:val="Strong"/>
    <w:qFormat/>
    <w:rsid w:val="007E057B"/>
    <w:rPr>
      <w:b/>
      <w:bCs/>
    </w:rPr>
  </w:style>
  <w:style w:type="character" w:styleId="Emphasis">
    <w:name w:val="Emphasis"/>
    <w:qFormat/>
    <w:rsid w:val="007E057B"/>
    <w:rPr>
      <w:i/>
      <w:iCs/>
    </w:rPr>
  </w:style>
  <w:style w:type="paragraph" w:customStyle="1" w:styleId="Default">
    <w:name w:val="Default"/>
    <w:rsid w:val="006C752B"/>
    <w:pPr>
      <w:autoSpaceDE w:val="0"/>
      <w:autoSpaceDN w:val="0"/>
      <w:adjustRightInd w:val="0"/>
    </w:pPr>
    <w:rPr>
      <w:rFonts w:ascii="Eterna" w:hAnsi="Eterna" w:cs="Eterna"/>
      <w:color w:val="000000"/>
      <w:sz w:val="24"/>
      <w:szCs w:val="24"/>
    </w:rPr>
  </w:style>
  <w:style w:type="paragraph" w:styleId="Header">
    <w:name w:val="header"/>
    <w:basedOn w:val="Normal"/>
    <w:link w:val="HeaderChar"/>
    <w:rsid w:val="00CE2613"/>
    <w:pPr>
      <w:tabs>
        <w:tab w:val="center" w:pos="4680"/>
        <w:tab w:val="right" w:pos="9360"/>
      </w:tabs>
    </w:pPr>
  </w:style>
  <w:style w:type="character" w:customStyle="1" w:styleId="HeaderChar">
    <w:name w:val="Header Char"/>
    <w:link w:val="Header"/>
    <w:rsid w:val="00CE2613"/>
    <w:rPr>
      <w:sz w:val="24"/>
      <w:szCs w:val="24"/>
    </w:rPr>
  </w:style>
  <w:style w:type="paragraph" w:styleId="Footer">
    <w:name w:val="footer"/>
    <w:basedOn w:val="Normal"/>
    <w:link w:val="FooterChar"/>
    <w:uiPriority w:val="99"/>
    <w:rsid w:val="00CE2613"/>
    <w:pPr>
      <w:tabs>
        <w:tab w:val="center" w:pos="4680"/>
        <w:tab w:val="right" w:pos="9360"/>
      </w:tabs>
    </w:pPr>
  </w:style>
  <w:style w:type="character" w:customStyle="1" w:styleId="FooterChar">
    <w:name w:val="Footer Char"/>
    <w:link w:val="Footer"/>
    <w:uiPriority w:val="99"/>
    <w:rsid w:val="00CE2613"/>
    <w:rPr>
      <w:sz w:val="24"/>
      <w:szCs w:val="24"/>
    </w:rPr>
  </w:style>
  <w:style w:type="paragraph" w:styleId="BalloonText">
    <w:name w:val="Balloon Text"/>
    <w:basedOn w:val="Normal"/>
    <w:link w:val="BalloonTextChar"/>
    <w:rsid w:val="0048460B"/>
    <w:rPr>
      <w:rFonts w:ascii="Tahoma" w:hAnsi="Tahoma" w:cs="Tahoma"/>
      <w:sz w:val="16"/>
      <w:szCs w:val="16"/>
    </w:rPr>
  </w:style>
  <w:style w:type="character" w:customStyle="1" w:styleId="BalloonTextChar">
    <w:name w:val="Balloon Text Char"/>
    <w:basedOn w:val="DefaultParagraphFont"/>
    <w:link w:val="BalloonText"/>
    <w:rsid w:val="0048460B"/>
    <w:rPr>
      <w:rFonts w:ascii="Tahoma" w:hAnsi="Tahoma" w:cs="Tahoma"/>
      <w:sz w:val="16"/>
      <w:szCs w:val="16"/>
    </w:rPr>
  </w:style>
  <w:style w:type="character" w:styleId="CommentReference">
    <w:name w:val="annotation reference"/>
    <w:basedOn w:val="DefaultParagraphFont"/>
    <w:rsid w:val="00837A31"/>
    <w:rPr>
      <w:sz w:val="16"/>
      <w:szCs w:val="16"/>
    </w:rPr>
  </w:style>
  <w:style w:type="paragraph" w:styleId="CommentText">
    <w:name w:val="annotation text"/>
    <w:basedOn w:val="Normal"/>
    <w:link w:val="CommentTextChar"/>
    <w:rsid w:val="00837A31"/>
    <w:rPr>
      <w:sz w:val="20"/>
      <w:szCs w:val="20"/>
    </w:rPr>
  </w:style>
  <w:style w:type="character" w:customStyle="1" w:styleId="CommentTextChar">
    <w:name w:val="Comment Text Char"/>
    <w:basedOn w:val="DefaultParagraphFont"/>
    <w:link w:val="CommentText"/>
    <w:rsid w:val="00837A31"/>
  </w:style>
  <w:style w:type="paragraph" w:styleId="CommentSubject">
    <w:name w:val="annotation subject"/>
    <w:basedOn w:val="CommentText"/>
    <w:next w:val="CommentText"/>
    <w:link w:val="CommentSubjectChar"/>
    <w:rsid w:val="00837A31"/>
    <w:rPr>
      <w:b/>
      <w:bCs/>
    </w:rPr>
  </w:style>
  <w:style w:type="character" w:customStyle="1" w:styleId="CommentSubjectChar">
    <w:name w:val="Comment Subject Char"/>
    <w:basedOn w:val="CommentTextChar"/>
    <w:link w:val="CommentSubject"/>
    <w:rsid w:val="00837A31"/>
    <w:rPr>
      <w:b/>
      <w:bCs/>
    </w:rPr>
  </w:style>
  <w:style w:type="paragraph" w:styleId="ListParagraph">
    <w:name w:val="List Paragraph"/>
    <w:basedOn w:val="Normal"/>
    <w:uiPriority w:val="1"/>
    <w:qFormat/>
    <w:rsid w:val="00CA0FDB"/>
    <w:pPr>
      <w:ind w:left="720"/>
      <w:contextualSpacing/>
    </w:pPr>
  </w:style>
  <w:style w:type="paragraph" w:styleId="BodyTextIndent">
    <w:name w:val="Body Text Indent"/>
    <w:basedOn w:val="Normal"/>
    <w:link w:val="BodyTextIndentChar"/>
    <w:rsid w:val="00071DFD"/>
    <w:pPr>
      <w:tabs>
        <w:tab w:val="right" w:pos="540"/>
      </w:tabs>
      <w:ind w:left="720"/>
      <w:jc w:val="both"/>
    </w:pPr>
    <w:rPr>
      <w:rFonts w:ascii="Book Antiqua" w:hAnsi="Book Antiqua"/>
      <w:szCs w:val="22"/>
    </w:rPr>
  </w:style>
  <w:style w:type="character" w:customStyle="1" w:styleId="BodyTextIndentChar">
    <w:name w:val="Body Text Indent Char"/>
    <w:basedOn w:val="DefaultParagraphFont"/>
    <w:link w:val="BodyTextIndent"/>
    <w:rsid w:val="00071DFD"/>
    <w:rPr>
      <w:rFonts w:ascii="Book Antiqua" w:hAnsi="Book Antiqua"/>
      <w:sz w:val="24"/>
      <w:szCs w:val="22"/>
    </w:rPr>
  </w:style>
  <w:style w:type="paragraph" w:styleId="BodyText">
    <w:name w:val="Body Text"/>
    <w:basedOn w:val="Normal"/>
    <w:link w:val="BodyTextChar"/>
    <w:semiHidden/>
    <w:unhideWhenUsed/>
    <w:rsid w:val="00977CF5"/>
    <w:pPr>
      <w:spacing w:after="120"/>
    </w:pPr>
  </w:style>
  <w:style w:type="character" w:customStyle="1" w:styleId="BodyTextChar">
    <w:name w:val="Body Text Char"/>
    <w:basedOn w:val="DefaultParagraphFont"/>
    <w:link w:val="BodyText"/>
    <w:semiHidden/>
    <w:rsid w:val="00977C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6123">
      <w:bodyDiv w:val="1"/>
      <w:marLeft w:val="0"/>
      <w:marRight w:val="0"/>
      <w:marTop w:val="0"/>
      <w:marBottom w:val="0"/>
      <w:divBdr>
        <w:top w:val="none" w:sz="0" w:space="0" w:color="auto"/>
        <w:left w:val="none" w:sz="0" w:space="0" w:color="auto"/>
        <w:bottom w:val="none" w:sz="0" w:space="0" w:color="auto"/>
        <w:right w:val="none" w:sz="0" w:space="0" w:color="auto"/>
      </w:divBdr>
    </w:div>
    <w:div w:id="501285359">
      <w:bodyDiv w:val="1"/>
      <w:marLeft w:val="0"/>
      <w:marRight w:val="0"/>
      <w:marTop w:val="0"/>
      <w:marBottom w:val="0"/>
      <w:divBdr>
        <w:top w:val="none" w:sz="0" w:space="0" w:color="auto"/>
        <w:left w:val="none" w:sz="0" w:space="0" w:color="auto"/>
        <w:bottom w:val="none" w:sz="0" w:space="0" w:color="auto"/>
        <w:right w:val="none" w:sz="0" w:space="0" w:color="auto"/>
      </w:divBdr>
      <w:divsChild>
        <w:div w:id="1014764613">
          <w:marLeft w:val="0"/>
          <w:marRight w:val="0"/>
          <w:marTop w:val="0"/>
          <w:marBottom w:val="0"/>
          <w:divBdr>
            <w:top w:val="none" w:sz="0" w:space="0" w:color="auto"/>
            <w:left w:val="none" w:sz="0" w:space="0" w:color="auto"/>
            <w:bottom w:val="none" w:sz="0" w:space="0" w:color="auto"/>
            <w:right w:val="none" w:sz="0" w:space="0" w:color="auto"/>
          </w:divBdr>
        </w:div>
      </w:divsChild>
    </w:div>
    <w:div w:id="539783280">
      <w:bodyDiv w:val="1"/>
      <w:marLeft w:val="0"/>
      <w:marRight w:val="0"/>
      <w:marTop w:val="0"/>
      <w:marBottom w:val="0"/>
      <w:divBdr>
        <w:top w:val="none" w:sz="0" w:space="0" w:color="auto"/>
        <w:left w:val="none" w:sz="0" w:space="0" w:color="auto"/>
        <w:bottom w:val="none" w:sz="0" w:space="0" w:color="auto"/>
        <w:right w:val="none" w:sz="0" w:space="0" w:color="auto"/>
      </w:divBdr>
    </w:div>
    <w:div w:id="754857849">
      <w:bodyDiv w:val="1"/>
      <w:marLeft w:val="0"/>
      <w:marRight w:val="0"/>
      <w:marTop w:val="0"/>
      <w:marBottom w:val="0"/>
      <w:divBdr>
        <w:top w:val="none" w:sz="0" w:space="0" w:color="auto"/>
        <w:left w:val="none" w:sz="0" w:space="0" w:color="auto"/>
        <w:bottom w:val="none" w:sz="0" w:space="0" w:color="auto"/>
        <w:right w:val="none" w:sz="0" w:space="0" w:color="auto"/>
      </w:divBdr>
      <w:divsChild>
        <w:div w:id="1181241297">
          <w:marLeft w:val="0"/>
          <w:marRight w:val="0"/>
          <w:marTop w:val="0"/>
          <w:marBottom w:val="0"/>
          <w:divBdr>
            <w:top w:val="none" w:sz="0" w:space="0" w:color="auto"/>
            <w:left w:val="none" w:sz="0" w:space="0" w:color="auto"/>
            <w:bottom w:val="none" w:sz="0" w:space="0" w:color="auto"/>
            <w:right w:val="none" w:sz="0" w:space="0" w:color="auto"/>
          </w:divBdr>
        </w:div>
      </w:divsChild>
    </w:div>
    <w:div w:id="1167134604">
      <w:bodyDiv w:val="1"/>
      <w:marLeft w:val="0"/>
      <w:marRight w:val="0"/>
      <w:marTop w:val="0"/>
      <w:marBottom w:val="0"/>
      <w:divBdr>
        <w:top w:val="none" w:sz="0" w:space="0" w:color="auto"/>
        <w:left w:val="none" w:sz="0" w:space="0" w:color="auto"/>
        <w:bottom w:val="none" w:sz="0" w:space="0" w:color="auto"/>
        <w:right w:val="none" w:sz="0" w:space="0" w:color="auto"/>
      </w:divBdr>
    </w:div>
    <w:div w:id="1234586567">
      <w:bodyDiv w:val="1"/>
      <w:marLeft w:val="0"/>
      <w:marRight w:val="0"/>
      <w:marTop w:val="0"/>
      <w:marBottom w:val="0"/>
      <w:divBdr>
        <w:top w:val="none" w:sz="0" w:space="0" w:color="auto"/>
        <w:left w:val="none" w:sz="0" w:space="0" w:color="auto"/>
        <w:bottom w:val="none" w:sz="0" w:space="0" w:color="auto"/>
        <w:right w:val="none" w:sz="0" w:space="0" w:color="auto"/>
      </w:divBdr>
      <w:divsChild>
        <w:div w:id="1217475252">
          <w:marLeft w:val="0"/>
          <w:marRight w:val="0"/>
          <w:marTop w:val="0"/>
          <w:marBottom w:val="0"/>
          <w:divBdr>
            <w:top w:val="none" w:sz="0" w:space="0" w:color="auto"/>
            <w:left w:val="none" w:sz="0" w:space="0" w:color="auto"/>
            <w:bottom w:val="none" w:sz="0" w:space="0" w:color="auto"/>
            <w:right w:val="none" w:sz="0" w:space="0" w:color="auto"/>
          </w:divBdr>
          <w:divsChild>
            <w:div w:id="1781072875">
              <w:marLeft w:val="0"/>
              <w:marRight w:val="0"/>
              <w:marTop w:val="0"/>
              <w:marBottom w:val="0"/>
              <w:divBdr>
                <w:top w:val="none" w:sz="0" w:space="0" w:color="auto"/>
                <w:left w:val="none" w:sz="0" w:space="0" w:color="auto"/>
                <w:bottom w:val="none" w:sz="0" w:space="0" w:color="auto"/>
                <w:right w:val="none" w:sz="0" w:space="0" w:color="auto"/>
              </w:divBdr>
            </w:div>
          </w:divsChild>
        </w:div>
        <w:div w:id="1395349976">
          <w:marLeft w:val="-225"/>
          <w:marRight w:val="-225"/>
          <w:marTop w:val="0"/>
          <w:marBottom w:val="0"/>
          <w:divBdr>
            <w:top w:val="none" w:sz="0" w:space="0" w:color="auto"/>
            <w:left w:val="none" w:sz="0" w:space="0" w:color="auto"/>
            <w:bottom w:val="none" w:sz="0" w:space="0" w:color="auto"/>
            <w:right w:val="none" w:sz="0" w:space="0" w:color="auto"/>
          </w:divBdr>
          <w:divsChild>
            <w:div w:id="1928225384">
              <w:marLeft w:val="0"/>
              <w:marRight w:val="0"/>
              <w:marTop w:val="0"/>
              <w:marBottom w:val="0"/>
              <w:divBdr>
                <w:top w:val="none" w:sz="0" w:space="0" w:color="auto"/>
                <w:left w:val="none" w:sz="0" w:space="0" w:color="auto"/>
                <w:bottom w:val="none" w:sz="0" w:space="0" w:color="auto"/>
                <w:right w:val="none" w:sz="0" w:space="0" w:color="auto"/>
              </w:divBdr>
              <w:divsChild>
                <w:div w:id="927034352">
                  <w:marLeft w:val="0"/>
                  <w:marRight w:val="0"/>
                  <w:marTop w:val="0"/>
                  <w:marBottom w:val="0"/>
                  <w:divBdr>
                    <w:top w:val="none" w:sz="0" w:space="0" w:color="auto"/>
                    <w:left w:val="none" w:sz="0" w:space="0" w:color="auto"/>
                    <w:bottom w:val="none" w:sz="0" w:space="0" w:color="auto"/>
                    <w:right w:val="none" w:sz="0" w:space="0" w:color="auto"/>
                  </w:divBdr>
                  <w:divsChild>
                    <w:div w:id="238254830">
                      <w:blockQuote w:val="1"/>
                      <w:marLeft w:val="0"/>
                      <w:marRight w:val="0"/>
                      <w:marTop w:val="300"/>
                      <w:marBottom w:val="300"/>
                      <w:divBdr>
                        <w:top w:val="none" w:sz="0" w:space="0" w:color="auto"/>
                        <w:left w:val="single" w:sz="36" w:space="15" w:color="EEEEEE"/>
                        <w:bottom w:val="none" w:sz="0" w:space="0" w:color="auto"/>
                        <w:right w:val="none" w:sz="0" w:space="0" w:color="auto"/>
                      </w:divBdr>
                    </w:div>
                    <w:div w:id="879516948">
                      <w:blockQuote w:val="1"/>
                      <w:marLeft w:val="0"/>
                      <w:marRight w:val="0"/>
                      <w:marTop w:val="300"/>
                      <w:marBottom w:val="300"/>
                      <w:divBdr>
                        <w:top w:val="none" w:sz="0" w:space="0" w:color="auto"/>
                        <w:left w:val="single" w:sz="36" w:space="15" w:color="EEEEEE"/>
                        <w:bottom w:val="none" w:sz="0" w:space="0" w:color="auto"/>
                        <w:right w:val="none" w:sz="0" w:space="0" w:color="auto"/>
                      </w:divBdr>
                    </w:div>
                    <w:div w:id="1257329473">
                      <w:blockQuote w:val="1"/>
                      <w:marLeft w:val="0"/>
                      <w:marRight w:val="0"/>
                      <w:marTop w:val="300"/>
                      <w:marBottom w:val="300"/>
                      <w:divBdr>
                        <w:top w:val="none" w:sz="0" w:space="0" w:color="auto"/>
                        <w:left w:val="single" w:sz="36" w:space="15" w:color="EEEEEE"/>
                        <w:bottom w:val="none" w:sz="0" w:space="0" w:color="auto"/>
                        <w:right w:val="none" w:sz="0" w:space="0" w:color="auto"/>
                      </w:divBdr>
                    </w:div>
                    <w:div w:id="1934244352">
                      <w:blockQuote w:val="1"/>
                      <w:marLeft w:val="0"/>
                      <w:marRight w:val="0"/>
                      <w:marTop w:val="300"/>
                      <w:marBottom w:val="300"/>
                      <w:divBdr>
                        <w:top w:val="none" w:sz="0" w:space="0" w:color="auto"/>
                        <w:left w:val="single" w:sz="36" w:space="15" w:color="EEEEEE"/>
                        <w:bottom w:val="none" w:sz="0" w:space="0" w:color="auto"/>
                        <w:right w:val="none" w:sz="0" w:space="0" w:color="auto"/>
                      </w:divBdr>
                    </w:div>
                    <w:div w:id="2144228286">
                      <w:marLeft w:val="0"/>
                      <w:marRight w:val="0"/>
                      <w:marTop w:val="0"/>
                      <w:marBottom w:val="300"/>
                      <w:divBdr>
                        <w:top w:val="none" w:sz="0" w:space="0" w:color="auto"/>
                        <w:left w:val="none" w:sz="0" w:space="0" w:color="auto"/>
                        <w:bottom w:val="none" w:sz="0" w:space="0" w:color="auto"/>
                        <w:right w:val="none" w:sz="0" w:space="0" w:color="auto"/>
                      </w:divBdr>
                      <w:divsChild>
                        <w:div w:id="1281299744">
                          <w:marLeft w:val="0"/>
                          <w:marRight w:val="0"/>
                          <w:marTop w:val="0"/>
                          <w:marBottom w:val="0"/>
                          <w:divBdr>
                            <w:top w:val="single" w:sz="12" w:space="0" w:color="EB8976"/>
                            <w:left w:val="single" w:sz="12" w:space="0" w:color="EB8976"/>
                            <w:bottom w:val="single" w:sz="12" w:space="0" w:color="EB8976"/>
                            <w:right w:val="single" w:sz="12" w:space="0" w:color="EB8976"/>
                          </w:divBdr>
                        </w:div>
                      </w:divsChild>
                    </w:div>
                  </w:divsChild>
                </w:div>
              </w:divsChild>
            </w:div>
          </w:divsChild>
        </w:div>
      </w:divsChild>
    </w:div>
    <w:div w:id="1343358474">
      <w:bodyDiv w:val="1"/>
      <w:marLeft w:val="0"/>
      <w:marRight w:val="0"/>
      <w:marTop w:val="0"/>
      <w:marBottom w:val="0"/>
      <w:divBdr>
        <w:top w:val="none" w:sz="0" w:space="0" w:color="auto"/>
        <w:left w:val="none" w:sz="0" w:space="0" w:color="auto"/>
        <w:bottom w:val="none" w:sz="0" w:space="0" w:color="auto"/>
        <w:right w:val="none" w:sz="0" w:space="0" w:color="auto"/>
      </w:divBdr>
    </w:div>
    <w:div w:id="183483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E7B1E-8481-2443-894E-8323854A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7108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Socially Responsible Endowment Investments Policy for Earlham College and the Earlham Foundation</vt:lpstr>
    </vt:vector>
  </TitlesOfParts>
  <Company>Newport Capital</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Socially Responsible Endowment Investments Policy for Earlham College and the Earlham Foundation</dc:title>
  <dc:creator>Anthony Rust</dc:creator>
  <cp:lastModifiedBy>Alison  Climo</cp:lastModifiedBy>
  <cp:revision>2</cp:revision>
  <cp:lastPrinted>2015-09-17T18:07:00Z</cp:lastPrinted>
  <dcterms:created xsi:type="dcterms:W3CDTF">2016-03-21T14:41:00Z</dcterms:created>
  <dcterms:modified xsi:type="dcterms:W3CDTF">2016-03-21T14:41:00Z</dcterms:modified>
</cp:coreProperties>
</file>