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045" w:rsidRPr="00AA32FF" w:rsidRDefault="00C86E33" w:rsidP="00A836D4">
      <w:pPr>
        <w:tabs>
          <w:tab w:val="left" w:pos="1080"/>
        </w:tabs>
      </w:pPr>
      <w:r>
        <w:t>December 16</w:t>
      </w:r>
      <w:r w:rsidR="009B2FEC">
        <w:t>, 2015</w:t>
      </w:r>
    </w:p>
    <w:p w:rsidR="00A836D4" w:rsidRPr="00AA32FF" w:rsidRDefault="00A836D4" w:rsidP="00A836D4">
      <w:pPr>
        <w:tabs>
          <w:tab w:val="left" w:pos="1080"/>
        </w:tabs>
      </w:pPr>
    </w:p>
    <w:p w:rsidR="00593766" w:rsidRDefault="00593766" w:rsidP="00A836D4">
      <w:pPr>
        <w:tabs>
          <w:tab w:val="left" w:pos="1080"/>
        </w:tabs>
      </w:pPr>
    </w:p>
    <w:p w:rsidR="00AF6C01" w:rsidRDefault="00847418" w:rsidP="00A836D4">
      <w:pPr>
        <w:tabs>
          <w:tab w:val="left" w:pos="1080"/>
        </w:tabs>
      </w:pPr>
      <w:r>
        <w:t>North Seattle Community College</w:t>
      </w:r>
    </w:p>
    <w:p w:rsidR="00847418" w:rsidRDefault="00847418" w:rsidP="00A836D4">
      <w:pPr>
        <w:tabs>
          <w:tab w:val="left" w:pos="1080"/>
        </w:tabs>
      </w:pPr>
      <w:r>
        <w:t>Attn: Ian Siadak</w:t>
      </w:r>
    </w:p>
    <w:p w:rsidR="00847418" w:rsidRPr="00AA32FF" w:rsidRDefault="00847418" w:rsidP="00A836D4">
      <w:pPr>
        <w:tabs>
          <w:tab w:val="left" w:pos="1080"/>
        </w:tabs>
      </w:pPr>
      <w:r>
        <w:t>1500 Harvard Ave</w:t>
      </w:r>
    </w:p>
    <w:p w:rsidR="00A836D4" w:rsidRPr="00AA32FF" w:rsidRDefault="00847418" w:rsidP="00A836D4">
      <w:pPr>
        <w:tabs>
          <w:tab w:val="left" w:pos="1080"/>
        </w:tabs>
      </w:pPr>
      <w:r>
        <w:t>Seattle, WA 98122</w:t>
      </w:r>
    </w:p>
    <w:p w:rsidR="00A836D4" w:rsidRPr="00AA32FF" w:rsidRDefault="00A836D4" w:rsidP="00A836D4"/>
    <w:p w:rsidR="00A836D4" w:rsidRPr="00AA32FF" w:rsidRDefault="00A836D4" w:rsidP="00A836D4">
      <w:pPr>
        <w:spacing w:after="180"/>
      </w:pPr>
      <w:r w:rsidRPr="00AA32FF">
        <w:t xml:space="preserve">Dear </w:t>
      </w:r>
      <w:r w:rsidR="00847418">
        <w:rPr>
          <w:noProof/>
        </w:rPr>
        <w:t>Ian Siadak</w:t>
      </w:r>
      <w:r w:rsidRPr="00AA32FF">
        <w:t>:</w:t>
      </w:r>
    </w:p>
    <w:p w:rsidR="009B2FEC" w:rsidRDefault="00AF6C01" w:rsidP="006870D8">
      <w:pPr>
        <w:spacing w:after="180" w:line="276" w:lineRule="auto"/>
        <w:rPr>
          <w:color w:val="000000"/>
        </w:rPr>
      </w:pPr>
      <w:r w:rsidRPr="00AA32FF">
        <w:rPr>
          <w:color w:val="000000"/>
        </w:rPr>
        <w:t>On November 4, 2015 Seattle Public Utilities</w:t>
      </w:r>
      <w:r w:rsidR="006B2B4E">
        <w:rPr>
          <w:color w:val="000000"/>
        </w:rPr>
        <w:t xml:space="preserve"> (SPU)</w:t>
      </w:r>
      <w:r w:rsidRPr="00AA32FF">
        <w:rPr>
          <w:color w:val="000000"/>
        </w:rPr>
        <w:t xml:space="preserve"> sent a</w:t>
      </w:r>
      <w:r w:rsidR="00971792" w:rsidRPr="00AA32FF">
        <w:rPr>
          <w:color w:val="000000"/>
        </w:rPr>
        <w:t xml:space="preserve"> </w:t>
      </w:r>
      <w:proofErr w:type="spellStart"/>
      <w:r w:rsidR="00971792" w:rsidRPr="00AA32FF">
        <w:rPr>
          <w:color w:val="000000"/>
        </w:rPr>
        <w:t>Stormwater</w:t>
      </w:r>
      <w:proofErr w:type="spellEnd"/>
      <w:r w:rsidR="00971792" w:rsidRPr="00AA32FF">
        <w:rPr>
          <w:color w:val="000000"/>
        </w:rPr>
        <w:t xml:space="preserve"> Facility</w:t>
      </w:r>
      <w:r w:rsidRPr="00AA32FF">
        <w:rPr>
          <w:color w:val="000000"/>
        </w:rPr>
        <w:t xml:space="preserve"> Credit Adjustment letter informing you that the </w:t>
      </w:r>
      <w:proofErr w:type="spellStart"/>
      <w:r w:rsidRPr="00AA32FF">
        <w:rPr>
          <w:color w:val="000000"/>
        </w:rPr>
        <w:t>Stormwater</w:t>
      </w:r>
      <w:proofErr w:type="spellEnd"/>
      <w:r w:rsidRPr="00AA32FF">
        <w:rPr>
          <w:color w:val="000000"/>
        </w:rPr>
        <w:t xml:space="preserve"> Facility Credit</w:t>
      </w:r>
      <w:r w:rsidR="0046724D" w:rsidRPr="00AA32FF">
        <w:rPr>
          <w:color w:val="000000"/>
        </w:rPr>
        <w:t xml:space="preserve"> (SFCP)</w:t>
      </w:r>
      <w:r w:rsidRPr="00AA32FF">
        <w:rPr>
          <w:color w:val="000000"/>
        </w:rPr>
        <w:t xml:space="preserve"> for the property located at </w:t>
      </w:r>
      <w:r w:rsidR="00847418">
        <w:rPr>
          <w:color w:val="000000"/>
        </w:rPr>
        <w:t>9600 College Way N, parcel #3226049021</w:t>
      </w:r>
      <w:r w:rsidR="0046724D" w:rsidRPr="00AA32FF">
        <w:rPr>
          <w:color w:val="000000"/>
        </w:rPr>
        <w:t xml:space="preserve"> would</w:t>
      </w:r>
      <w:r w:rsidRPr="00AA32FF">
        <w:rPr>
          <w:color w:val="000000"/>
        </w:rPr>
        <w:t xml:space="preserve"> be changing</w:t>
      </w:r>
      <w:r w:rsidR="0046724D" w:rsidRPr="00AA32FF">
        <w:rPr>
          <w:color w:val="000000"/>
        </w:rPr>
        <w:t xml:space="preserve">. The </w:t>
      </w:r>
      <w:r w:rsidR="009B2FEC">
        <w:rPr>
          <w:color w:val="000000"/>
        </w:rPr>
        <w:t xml:space="preserve">previous </w:t>
      </w:r>
      <w:r w:rsidR="0046724D" w:rsidRPr="00AA32FF">
        <w:rPr>
          <w:color w:val="000000"/>
        </w:rPr>
        <w:t>letter</w:t>
      </w:r>
      <w:r w:rsidR="009B2FEC">
        <w:rPr>
          <w:color w:val="000000"/>
        </w:rPr>
        <w:t xml:space="preserve"> incorrectly</w:t>
      </w:r>
      <w:r w:rsidR="0046724D" w:rsidRPr="00AA32FF">
        <w:rPr>
          <w:color w:val="000000"/>
        </w:rPr>
        <w:t xml:space="preserve"> stated that your credit of </w:t>
      </w:r>
      <w:r w:rsidR="00847418">
        <w:rPr>
          <w:color w:val="000000"/>
        </w:rPr>
        <w:t>29</w:t>
      </w:r>
      <w:r w:rsidR="007033BC" w:rsidRPr="00AA32FF">
        <w:rPr>
          <w:color w:val="000000"/>
        </w:rPr>
        <w:t xml:space="preserve">% </w:t>
      </w:r>
      <w:r w:rsidR="0046724D" w:rsidRPr="00AA32FF">
        <w:rPr>
          <w:color w:val="000000"/>
        </w:rPr>
        <w:t xml:space="preserve">would be changed </w:t>
      </w:r>
      <w:r w:rsidR="00847418">
        <w:rPr>
          <w:color w:val="000000"/>
        </w:rPr>
        <w:t>to 20</w:t>
      </w:r>
      <w:r w:rsidRPr="00AA32FF">
        <w:rPr>
          <w:color w:val="000000"/>
        </w:rPr>
        <w:t xml:space="preserve">% </w:t>
      </w:r>
      <w:r w:rsidR="007033BC" w:rsidRPr="00AA32FF">
        <w:rPr>
          <w:color w:val="000000"/>
        </w:rPr>
        <w:t xml:space="preserve">credit </w:t>
      </w:r>
      <w:r w:rsidR="0045753B">
        <w:rPr>
          <w:color w:val="000000"/>
        </w:rPr>
        <w:t>starting on the</w:t>
      </w:r>
      <w:r w:rsidRPr="00AA32FF">
        <w:rPr>
          <w:color w:val="000000"/>
        </w:rPr>
        <w:t xml:space="preserve"> 2016 drainage billing year and thereafter.</w:t>
      </w:r>
      <w:r w:rsidR="0046724D" w:rsidRPr="00AA32FF">
        <w:rPr>
          <w:color w:val="000000"/>
        </w:rPr>
        <w:t xml:space="preserve"> </w:t>
      </w:r>
      <w:r w:rsidR="00971792" w:rsidRPr="00AA32FF">
        <w:rPr>
          <w:color w:val="000000"/>
        </w:rPr>
        <w:t>This letter explain</w:t>
      </w:r>
      <w:r w:rsidR="00E055C5">
        <w:rPr>
          <w:color w:val="000000"/>
        </w:rPr>
        <w:t>s</w:t>
      </w:r>
      <w:r w:rsidR="00971792" w:rsidRPr="00AA32FF">
        <w:rPr>
          <w:color w:val="000000"/>
        </w:rPr>
        <w:t xml:space="preserve"> the </w:t>
      </w:r>
      <w:r w:rsidR="009B2FEC">
        <w:rPr>
          <w:color w:val="000000"/>
        </w:rPr>
        <w:t xml:space="preserve">correct </w:t>
      </w:r>
      <w:r w:rsidR="0046724D" w:rsidRPr="00AA32FF">
        <w:rPr>
          <w:color w:val="000000"/>
        </w:rPr>
        <w:t>credit</w:t>
      </w:r>
      <w:r w:rsidR="009B2FEC">
        <w:rPr>
          <w:color w:val="000000"/>
        </w:rPr>
        <w:t xml:space="preserve"> of </w:t>
      </w:r>
      <w:r w:rsidR="005C5D5A">
        <w:rPr>
          <w:color w:val="000000"/>
        </w:rPr>
        <w:t>19</w:t>
      </w:r>
      <w:r w:rsidR="009B2FEC">
        <w:rPr>
          <w:color w:val="000000"/>
        </w:rPr>
        <w:t>%</w:t>
      </w:r>
      <w:r w:rsidR="00E20704">
        <w:rPr>
          <w:color w:val="000000"/>
        </w:rPr>
        <w:t xml:space="preserve"> starting on the 2016 drainage billing year and thereafter</w:t>
      </w:r>
      <w:r w:rsidR="009B2FEC">
        <w:rPr>
          <w:color w:val="000000"/>
        </w:rPr>
        <w:t>.</w:t>
      </w:r>
      <w:r w:rsidR="0046724D" w:rsidRPr="00AA32FF">
        <w:rPr>
          <w:color w:val="000000"/>
        </w:rPr>
        <w:t xml:space="preserve"> </w:t>
      </w:r>
      <w:r w:rsidR="009B2FEC">
        <w:rPr>
          <w:color w:val="000000"/>
        </w:rPr>
        <w:t xml:space="preserve">Part A describes the credit calculation, part B breaks down each component of the </w:t>
      </w:r>
      <w:r w:rsidR="00E20704">
        <w:rPr>
          <w:color w:val="000000"/>
        </w:rPr>
        <w:t xml:space="preserve">credit </w:t>
      </w:r>
      <w:r w:rsidR="009B2FEC">
        <w:rPr>
          <w:color w:val="000000"/>
        </w:rPr>
        <w:t>calculation</w:t>
      </w:r>
      <w:r w:rsidR="00566BAD">
        <w:rPr>
          <w:color w:val="000000"/>
        </w:rPr>
        <w:t>.</w:t>
      </w:r>
      <w:r w:rsidR="009B2FEC">
        <w:rPr>
          <w:color w:val="000000"/>
        </w:rPr>
        <w:t xml:space="preserve"> </w:t>
      </w:r>
    </w:p>
    <w:p w:rsidR="00455C1E" w:rsidRDefault="009B2FEC" w:rsidP="009B2FEC">
      <w:pPr>
        <w:pStyle w:val="ListParagraph"/>
        <w:numPr>
          <w:ilvl w:val="0"/>
          <w:numId w:val="7"/>
        </w:numPr>
        <w:tabs>
          <w:tab w:val="left" w:pos="360"/>
        </w:tabs>
        <w:rPr>
          <w:rFonts w:cstheme="minorHAnsi"/>
          <w:szCs w:val="22"/>
        </w:rPr>
      </w:pPr>
      <w:r>
        <w:rPr>
          <w:rFonts w:cstheme="minorHAnsi"/>
          <w:b/>
          <w:szCs w:val="22"/>
        </w:rPr>
        <w:t>SFCP Credit Calculation</w:t>
      </w:r>
      <w:r w:rsidR="007A6B49">
        <w:rPr>
          <w:rFonts w:cstheme="minorHAnsi"/>
          <w:b/>
          <w:szCs w:val="22"/>
        </w:rPr>
        <w:t>:</w:t>
      </w:r>
    </w:p>
    <w:p w:rsidR="00566BAD" w:rsidRPr="00FC1BA2" w:rsidRDefault="00455C1E" w:rsidP="004A1DF2">
      <w:pPr>
        <w:pStyle w:val="ListParagraph"/>
        <w:tabs>
          <w:tab w:val="left" w:pos="360"/>
        </w:tabs>
        <w:ind w:left="0"/>
        <w:rPr>
          <w:rFonts w:cstheme="minorHAnsi"/>
          <w:szCs w:val="22"/>
        </w:rPr>
      </w:pPr>
      <w:r w:rsidRPr="00FC1BA2">
        <w:rPr>
          <w:rFonts w:cstheme="minorHAnsi"/>
          <w:szCs w:val="22"/>
        </w:rPr>
        <w:t xml:space="preserve">Below outlines the credit calculation </w:t>
      </w:r>
      <w:r w:rsidR="009B2FEC">
        <w:rPr>
          <w:rFonts w:cstheme="minorHAnsi"/>
          <w:szCs w:val="22"/>
        </w:rPr>
        <w:t xml:space="preserve">between the 2012 and 2015. </w:t>
      </w:r>
    </w:p>
    <w:p w:rsidR="00455C1E" w:rsidRDefault="00455C1E" w:rsidP="00455C1E">
      <w:pPr>
        <w:pStyle w:val="ListParagraph"/>
        <w:tabs>
          <w:tab w:val="left" w:pos="360"/>
        </w:tabs>
        <w:ind w:left="0"/>
        <w:rPr>
          <w:color w:val="000000"/>
        </w:rPr>
      </w:pPr>
    </w:p>
    <w:p w:rsidR="00455C1E" w:rsidRDefault="00455C1E" w:rsidP="00566BAD">
      <w:pPr>
        <w:keepNext/>
        <w:keepLines/>
        <w:rPr>
          <w:b/>
          <w:color w:val="000000"/>
        </w:rPr>
      </w:pPr>
      <w:r>
        <w:rPr>
          <w:b/>
          <w:color w:val="000000"/>
        </w:rPr>
        <w:t xml:space="preserve">Incorrect </w:t>
      </w:r>
      <w:r w:rsidRPr="00C9322C">
        <w:rPr>
          <w:b/>
          <w:color w:val="000000"/>
        </w:rPr>
        <w:t xml:space="preserve">Credit Calculation </w:t>
      </w:r>
    </w:p>
    <w:p w:rsidR="00E20704" w:rsidRPr="00C9322C" w:rsidRDefault="00E20704" w:rsidP="00566BAD">
      <w:pPr>
        <w:keepNext/>
        <w:keepLines/>
        <w:rPr>
          <w:b/>
          <w:color w:val="000000"/>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2340"/>
        <w:gridCol w:w="1350"/>
        <w:gridCol w:w="270"/>
        <w:gridCol w:w="1620"/>
        <w:gridCol w:w="270"/>
        <w:gridCol w:w="1530"/>
        <w:gridCol w:w="360"/>
        <w:gridCol w:w="900"/>
      </w:tblGrid>
      <w:tr w:rsidR="00566BAD" w:rsidRPr="00772F22" w:rsidTr="00566BAD">
        <w:trPr>
          <w:trHeight w:val="445"/>
          <w:jc w:val="center"/>
        </w:trPr>
        <w:tc>
          <w:tcPr>
            <w:tcW w:w="1435" w:type="dxa"/>
            <w:vAlign w:val="center"/>
          </w:tcPr>
          <w:p w:rsidR="008A0D12" w:rsidRPr="00772F22" w:rsidRDefault="008A0D12" w:rsidP="00566BAD">
            <w:pPr>
              <w:keepNext/>
              <w:keepLines/>
              <w:jc w:val="center"/>
            </w:pPr>
            <w:r>
              <w:t>System Type</w:t>
            </w:r>
          </w:p>
        </w:tc>
        <w:tc>
          <w:tcPr>
            <w:tcW w:w="2340" w:type="dxa"/>
            <w:vAlign w:val="center"/>
          </w:tcPr>
          <w:p w:rsidR="008A0D12" w:rsidRDefault="008A0D12" w:rsidP="00566BAD">
            <w:pPr>
              <w:keepNext/>
              <w:keepLines/>
              <w:jc w:val="center"/>
            </w:pPr>
            <w:r>
              <w:t>BMP Classification</w:t>
            </w:r>
          </w:p>
          <w:p w:rsidR="00E512C4" w:rsidRPr="00772F22" w:rsidRDefault="00E512C4" w:rsidP="00566BAD">
            <w:pPr>
              <w:keepNext/>
              <w:keepLines/>
              <w:jc w:val="center"/>
            </w:pPr>
            <w:r>
              <w:t>(See Attachment A)</w:t>
            </w:r>
          </w:p>
        </w:tc>
        <w:tc>
          <w:tcPr>
            <w:tcW w:w="1350" w:type="dxa"/>
            <w:vAlign w:val="center"/>
          </w:tcPr>
          <w:p w:rsidR="008A0D12" w:rsidRPr="00772F22" w:rsidRDefault="008A0D12" w:rsidP="00566BAD">
            <w:pPr>
              <w:keepNext/>
              <w:keepLines/>
              <w:jc w:val="center"/>
            </w:pPr>
            <w:r w:rsidRPr="00772F22">
              <w:t>Facility Credit</w:t>
            </w:r>
          </w:p>
          <w:p w:rsidR="008A0D12" w:rsidRPr="00772F22" w:rsidRDefault="008A0D12" w:rsidP="00566BAD">
            <w:pPr>
              <w:keepNext/>
              <w:keepLines/>
              <w:jc w:val="center"/>
            </w:pPr>
            <w:r w:rsidRPr="00772F22">
              <w:t xml:space="preserve">(See </w:t>
            </w:r>
            <w:r>
              <w:t>Table 1</w:t>
            </w:r>
            <w:r w:rsidRPr="00772F22">
              <w:t>)</w:t>
            </w:r>
          </w:p>
        </w:tc>
        <w:tc>
          <w:tcPr>
            <w:tcW w:w="270" w:type="dxa"/>
            <w:vAlign w:val="center"/>
          </w:tcPr>
          <w:p w:rsidR="008A0D12" w:rsidRPr="00772F22" w:rsidRDefault="008A0D12" w:rsidP="00566BAD">
            <w:pPr>
              <w:keepNext/>
              <w:keepLines/>
              <w:jc w:val="center"/>
            </w:pPr>
            <w:r>
              <w:t>X</w:t>
            </w:r>
          </w:p>
        </w:tc>
        <w:tc>
          <w:tcPr>
            <w:tcW w:w="1620" w:type="dxa"/>
            <w:vAlign w:val="center"/>
          </w:tcPr>
          <w:p w:rsidR="008A0D12" w:rsidRDefault="008A0D12" w:rsidP="00566BAD">
            <w:pPr>
              <w:keepNext/>
              <w:keepLines/>
              <w:jc w:val="center"/>
            </w:pPr>
            <w:r w:rsidRPr="00772F22">
              <w:t>% Impervious Surface Managed</w:t>
            </w:r>
          </w:p>
          <w:p w:rsidR="008A0D12" w:rsidRPr="00772F22" w:rsidRDefault="008A0D12" w:rsidP="00566BAD">
            <w:pPr>
              <w:keepNext/>
              <w:keepLines/>
              <w:jc w:val="center"/>
            </w:pPr>
            <w:r w:rsidRPr="00772F22">
              <w:t xml:space="preserve">(See </w:t>
            </w:r>
            <w:r>
              <w:t>Table 2</w:t>
            </w:r>
            <w:r w:rsidRPr="00772F22">
              <w:t>)</w:t>
            </w:r>
          </w:p>
        </w:tc>
        <w:tc>
          <w:tcPr>
            <w:tcW w:w="270" w:type="dxa"/>
            <w:vAlign w:val="center"/>
          </w:tcPr>
          <w:p w:rsidR="008A0D12" w:rsidRPr="00772F22" w:rsidRDefault="008A0D12" w:rsidP="00566BAD">
            <w:pPr>
              <w:keepNext/>
              <w:keepLines/>
              <w:jc w:val="center"/>
            </w:pPr>
            <w:r>
              <w:t>X</w:t>
            </w:r>
          </w:p>
        </w:tc>
        <w:tc>
          <w:tcPr>
            <w:tcW w:w="1530" w:type="dxa"/>
            <w:vAlign w:val="center"/>
          </w:tcPr>
          <w:p w:rsidR="008A0D12" w:rsidRPr="00772F22" w:rsidRDefault="008A0D12" w:rsidP="00566BAD">
            <w:pPr>
              <w:keepNext/>
              <w:keepLines/>
              <w:jc w:val="center"/>
            </w:pPr>
            <w:r w:rsidRPr="00772F22">
              <w:t xml:space="preserve">Impervious % of </w:t>
            </w:r>
            <w:r>
              <w:t xml:space="preserve">Drainage </w:t>
            </w:r>
            <w:r w:rsidRPr="00772F22">
              <w:t>Bill</w:t>
            </w:r>
          </w:p>
        </w:tc>
        <w:tc>
          <w:tcPr>
            <w:tcW w:w="360" w:type="dxa"/>
            <w:vAlign w:val="center"/>
          </w:tcPr>
          <w:p w:rsidR="008A0D12" w:rsidRPr="00772F22" w:rsidRDefault="008A0D12" w:rsidP="00566BAD">
            <w:pPr>
              <w:keepNext/>
              <w:keepLines/>
              <w:jc w:val="center"/>
            </w:pPr>
            <w:r w:rsidRPr="00772F22">
              <w:t>=</w:t>
            </w:r>
          </w:p>
        </w:tc>
        <w:tc>
          <w:tcPr>
            <w:tcW w:w="900" w:type="dxa"/>
            <w:vAlign w:val="center"/>
          </w:tcPr>
          <w:p w:rsidR="008A0D12" w:rsidRPr="00772F22" w:rsidRDefault="008A0D12" w:rsidP="00566BAD">
            <w:pPr>
              <w:keepNext/>
              <w:keepLines/>
              <w:jc w:val="center"/>
            </w:pPr>
            <w:r w:rsidRPr="00772F22">
              <w:t>Credit</w:t>
            </w:r>
          </w:p>
        </w:tc>
      </w:tr>
      <w:tr w:rsidR="00566BAD" w:rsidRPr="00772F22" w:rsidTr="00566BAD">
        <w:trPr>
          <w:trHeight w:val="288"/>
          <w:jc w:val="center"/>
        </w:trPr>
        <w:tc>
          <w:tcPr>
            <w:tcW w:w="1435"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E512C4">
            <w:pPr>
              <w:keepNext/>
              <w:keepLines/>
              <w:jc w:val="center"/>
            </w:pPr>
            <w:r w:rsidRPr="00772F22">
              <w:t>Water Quality</w:t>
            </w:r>
          </w:p>
        </w:tc>
        <w:tc>
          <w:tcPr>
            <w:tcW w:w="2340" w:type="dxa"/>
            <w:tcBorders>
              <w:top w:val="single" w:sz="4" w:space="0" w:color="auto"/>
              <w:left w:val="single" w:sz="4" w:space="0" w:color="auto"/>
              <w:bottom w:val="single" w:sz="4" w:space="0" w:color="auto"/>
              <w:right w:val="single" w:sz="4" w:space="0" w:color="auto"/>
            </w:tcBorders>
            <w:vAlign w:val="center"/>
          </w:tcPr>
          <w:p w:rsidR="008A0D12" w:rsidRPr="00772F22" w:rsidRDefault="00566BAD" w:rsidP="00E512C4">
            <w:pPr>
              <w:keepNext/>
              <w:keepLines/>
              <w:jc w:val="center"/>
            </w:pPr>
            <w:r>
              <w:t xml:space="preserve">Water Quality - </w:t>
            </w:r>
            <w:r w:rsidR="008A0D12">
              <w:t>Level 2</w:t>
            </w:r>
          </w:p>
        </w:tc>
        <w:tc>
          <w:tcPr>
            <w:tcW w:w="135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310107">
            <w:pPr>
              <w:keepNext/>
              <w:keepLines/>
              <w:jc w:val="center"/>
            </w:pPr>
            <w:r w:rsidRPr="00772F22">
              <w:t>27%</w:t>
            </w:r>
          </w:p>
        </w:tc>
        <w:tc>
          <w:tcPr>
            <w:tcW w:w="27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310107">
            <w:pPr>
              <w:keepNext/>
              <w:keepLines/>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310107">
            <w:pPr>
              <w:keepNext/>
              <w:keepLines/>
              <w:jc w:val="center"/>
            </w:pPr>
            <w:r w:rsidRPr="00772F22">
              <w:t>76%</w:t>
            </w:r>
          </w:p>
        </w:tc>
        <w:tc>
          <w:tcPr>
            <w:tcW w:w="27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310107">
            <w:pPr>
              <w:keepNext/>
              <w:keepLines/>
              <w:jc w:val="center"/>
            </w:pPr>
          </w:p>
        </w:tc>
        <w:tc>
          <w:tcPr>
            <w:tcW w:w="153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310107">
            <w:pPr>
              <w:keepNext/>
              <w:keepLines/>
              <w:jc w:val="center"/>
            </w:pPr>
            <w:r w:rsidRPr="00772F22">
              <w:t>74.27%</w:t>
            </w:r>
          </w:p>
        </w:tc>
        <w:tc>
          <w:tcPr>
            <w:tcW w:w="36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310107">
            <w:pPr>
              <w:keepNext/>
              <w:keepLines/>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pPr>
              <w:keepNext/>
              <w:keepLines/>
              <w:jc w:val="center"/>
            </w:pPr>
            <w:r>
              <w:t>15</w:t>
            </w:r>
            <w:r w:rsidRPr="00772F22">
              <w:t>%</w:t>
            </w:r>
          </w:p>
        </w:tc>
      </w:tr>
      <w:tr w:rsidR="00566BAD" w:rsidRPr="00772F22" w:rsidTr="00566BAD">
        <w:trPr>
          <w:trHeight w:val="288"/>
          <w:jc w:val="center"/>
        </w:trPr>
        <w:tc>
          <w:tcPr>
            <w:tcW w:w="1435" w:type="dxa"/>
            <w:vAlign w:val="center"/>
          </w:tcPr>
          <w:p w:rsidR="008A0D12" w:rsidRPr="00772F22" w:rsidRDefault="008A0D12" w:rsidP="00310107">
            <w:pPr>
              <w:keepNext/>
              <w:keepLines/>
              <w:jc w:val="center"/>
            </w:pPr>
            <w:r w:rsidRPr="00772F22">
              <w:t>Flow Control</w:t>
            </w:r>
          </w:p>
        </w:tc>
        <w:tc>
          <w:tcPr>
            <w:tcW w:w="2340" w:type="dxa"/>
            <w:vAlign w:val="center"/>
          </w:tcPr>
          <w:p w:rsidR="008A0D12" w:rsidRPr="00772F22" w:rsidRDefault="00566BAD" w:rsidP="00E512C4">
            <w:pPr>
              <w:keepNext/>
              <w:keepLines/>
              <w:jc w:val="center"/>
            </w:pPr>
            <w:r>
              <w:t xml:space="preserve">Flow Control - </w:t>
            </w:r>
            <w:r w:rsidR="008A0D12">
              <w:t>Level 2</w:t>
            </w:r>
          </w:p>
        </w:tc>
        <w:tc>
          <w:tcPr>
            <w:tcW w:w="1350" w:type="dxa"/>
            <w:vAlign w:val="center"/>
          </w:tcPr>
          <w:p w:rsidR="008A0D12" w:rsidRPr="00772F22" w:rsidRDefault="008A0D12" w:rsidP="00310107">
            <w:pPr>
              <w:keepNext/>
              <w:keepLines/>
              <w:jc w:val="center"/>
            </w:pPr>
            <w:r w:rsidRPr="00772F22">
              <w:t>20%</w:t>
            </w:r>
          </w:p>
        </w:tc>
        <w:tc>
          <w:tcPr>
            <w:tcW w:w="270" w:type="dxa"/>
            <w:vAlign w:val="center"/>
          </w:tcPr>
          <w:p w:rsidR="008A0D12" w:rsidRPr="00772F22" w:rsidRDefault="008A0D12" w:rsidP="00310107">
            <w:pPr>
              <w:keepNext/>
              <w:keepLines/>
              <w:jc w:val="center"/>
            </w:pPr>
          </w:p>
        </w:tc>
        <w:tc>
          <w:tcPr>
            <w:tcW w:w="1620" w:type="dxa"/>
            <w:vAlign w:val="center"/>
          </w:tcPr>
          <w:p w:rsidR="008A0D12" w:rsidRPr="00772F22" w:rsidRDefault="008A0D12" w:rsidP="00310107">
            <w:pPr>
              <w:keepNext/>
              <w:keepLines/>
              <w:jc w:val="center"/>
            </w:pPr>
            <w:r w:rsidRPr="00772F22">
              <w:t>97%</w:t>
            </w:r>
          </w:p>
        </w:tc>
        <w:tc>
          <w:tcPr>
            <w:tcW w:w="270" w:type="dxa"/>
            <w:vAlign w:val="center"/>
          </w:tcPr>
          <w:p w:rsidR="008A0D12" w:rsidRPr="00772F22" w:rsidRDefault="008A0D12" w:rsidP="00310107">
            <w:pPr>
              <w:keepNext/>
              <w:keepLines/>
              <w:jc w:val="center"/>
            </w:pPr>
          </w:p>
        </w:tc>
        <w:tc>
          <w:tcPr>
            <w:tcW w:w="1530" w:type="dxa"/>
            <w:vAlign w:val="center"/>
          </w:tcPr>
          <w:p w:rsidR="008A0D12" w:rsidRPr="00772F22" w:rsidRDefault="008A0D12" w:rsidP="00310107">
            <w:pPr>
              <w:keepNext/>
              <w:keepLines/>
              <w:jc w:val="center"/>
            </w:pPr>
            <w:r w:rsidRPr="00772F22">
              <w:t>74.27%</w:t>
            </w:r>
          </w:p>
        </w:tc>
        <w:tc>
          <w:tcPr>
            <w:tcW w:w="360" w:type="dxa"/>
            <w:vAlign w:val="center"/>
          </w:tcPr>
          <w:p w:rsidR="008A0D12" w:rsidRPr="00772F22" w:rsidRDefault="008A0D12" w:rsidP="00310107">
            <w:pPr>
              <w:keepNext/>
              <w:keepLines/>
              <w:jc w:val="center"/>
            </w:pPr>
          </w:p>
        </w:tc>
        <w:tc>
          <w:tcPr>
            <w:tcW w:w="900" w:type="dxa"/>
            <w:vAlign w:val="center"/>
          </w:tcPr>
          <w:p w:rsidR="008A0D12" w:rsidRPr="00772F22" w:rsidRDefault="008A0D12" w:rsidP="00310107">
            <w:pPr>
              <w:keepNext/>
              <w:keepLines/>
              <w:jc w:val="center"/>
            </w:pPr>
            <w:r>
              <w:t>14</w:t>
            </w:r>
            <w:r w:rsidRPr="00772F22">
              <w:t>%</w:t>
            </w:r>
          </w:p>
        </w:tc>
      </w:tr>
      <w:tr w:rsidR="00566BAD" w:rsidRPr="00772F22" w:rsidTr="00566BAD">
        <w:trPr>
          <w:trHeight w:val="485"/>
          <w:jc w:val="center"/>
        </w:trPr>
        <w:tc>
          <w:tcPr>
            <w:tcW w:w="1435" w:type="dxa"/>
            <w:vAlign w:val="center"/>
          </w:tcPr>
          <w:p w:rsidR="008A0D12" w:rsidRPr="00772F22" w:rsidRDefault="008A0D12" w:rsidP="00310107">
            <w:pPr>
              <w:keepNext/>
              <w:keepLines/>
              <w:jc w:val="center"/>
            </w:pPr>
            <w:r>
              <w:t xml:space="preserve">Total Credit </w:t>
            </w:r>
          </w:p>
        </w:tc>
        <w:tc>
          <w:tcPr>
            <w:tcW w:w="2340" w:type="dxa"/>
            <w:vAlign w:val="center"/>
          </w:tcPr>
          <w:p w:rsidR="008A0D12" w:rsidRPr="00772F22" w:rsidRDefault="008A0D12" w:rsidP="00E512C4">
            <w:pPr>
              <w:keepNext/>
              <w:keepLines/>
              <w:jc w:val="center"/>
            </w:pPr>
          </w:p>
        </w:tc>
        <w:tc>
          <w:tcPr>
            <w:tcW w:w="1350" w:type="dxa"/>
            <w:vAlign w:val="center"/>
          </w:tcPr>
          <w:p w:rsidR="008A0D12" w:rsidRPr="00772F22" w:rsidRDefault="008A0D12" w:rsidP="00310107">
            <w:pPr>
              <w:keepNext/>
              <w:keepLines/>
              <w:jc w:val="center"/>
            </w:pPr>
          </w:p>
        </w:tc>
        <w:tc>
          <w:tcPr>
            <w:tcW w:w="270" w:type="dxa"/>
            <w:vAlign w:val="center"/>
          </w:tcPr>
          <w:p w:rsidR="008A0D12" w:rsidRPr="00772F22" w:rsidRDefault="008A0D12" w:rsidP="00310107">
            <w:pPr>
              <w:keepNext/>
              <w:keepLines/>
              <w:jc w:val="center"/>
            </w:pPr>
          </w:p>
        </w:tc>
        <w:tc>
          <w:tcPr>
            <w:tcW w:w="1620" w:type="dxa"/>
            <w:vAlign w:val="center"/>
          </w:tcPr>
          <w:p w:rsidR="008A0D12" w:rsidRPr="00772F22" w:rsidRDefault="008A0D12" w:rsidP="00310107">
            <w:pPr>
              <w:keepNext/>
              <w:keepLines/>
              <w:jc w:val="center"/>
            </w:pPr>
          </w:p>
        </w:tc>
        <w:tc>
          <w:tcPr>
            <w:tcW w:w="270" w:type="dxa"/>
            <w:vAlign w:val="center"/>
          </w:tcPr>
          <w:p w:rsidR="008A0D12" w:rsidRPr="00772F22" w:rsidRDefault="008A0D12" w:rsidP="00310107">
            <w:pPr>
              <w:keepNext/>
              <w:keepLines/>
              <w:jc w:val="center"/>
            </w:pPr>
          </w:p>
        </w:tc>
        <w:tc>
          <w:tcPr>
            <w:tcW w:w="1530" w:type="dxa"/>
            <w:vAlign w:val="center"/>
          </w:tcPr>
          <w:p w:rsidR="008A0D12" w:rsidRPr="00772F22" w:rsidRDefault="008A0D12" w:rsidP="009B2FEC">
            <w:pPr>
              <w:keepNext/>
              <w:keepLines/>
            </w:pPr>
          </w:p>
        </w:tc>
        <w:tc>
          <w:tcPr>
            <w:tcW w:w="360" w:type="dxa"/>
            <w:vAlign w:val="center"/>
          </w:tcPr>
          <w:p w:rsidR="008A0D12" w:rsidRPr="00772F22" w:rsidRDefault="008A0D12" w:rsidP="00310107">
            <w:pPr>
              <w:keepNext/>
              <w:keepLines/>
              <w:jc w:val="center"/>
            </w:pPr>
          </w:p>
        </w:tc>
        <w:tc>
          <w:tcPr>
            <w:tcW w:w="900" w:type="dxa"/>
            <w:vAlign w:val="center"/>
          </w:tcPr>
          <w:p w:rsidR="008A0D12" w:rsidRDefault="008A0D12" w:rsidP="00310107">
            <w:pPr>
              <w:keepNext/>
              <w:keepLines/>
              <w:jc w:val="center"/>
            </w:pPr>
            <w:r>
              <w:t>29%</w:t>
            </w:r>
          </w:p>
        </w:tc>
      </w:tr>
    </w:tbl>
    <w:p w:rsidR="00455C1E" w:rsidRPr="00593766" w:rsidRDefault="00455C1E" w:rsidP="00455C1E">
      <w:pPr>
        <w:keepNext/>
        <w:keepLines/>
        <w:spacing w:after="180"/>
        <w:rPr>
          <w:color w:val="000000"/>
        </w:rPr>
      </w:pPr>
    </w:p>
    <w:p w:rsidR="00455C1E" w:rsidRDefault="00455C1E" w:rsidP="00455C1E">
      <w:pPr>
        <w:keepNext/>
        <w:keepLines/>
        <w:rPr>
          <w:b/>
          <w:color w:val="000000"/>
        </w:rPr>
      </w:pPr>
      <w:r>
        <w:rPr>
          <w:b/>
          <w:color w:val="000000"/>
        </w:rPr>
        <w:t>Correct</w:t>
      </w:r>
      <w:r w:rsidRPr="00C9322C">
        <w:rPr>
          <w:b/>
          <w:color w:val="000000"/>
        </w:rPr>
        <w:t xml:space="preserve"> Credit Calculation</w:t>
      </w:r>
    </w:p>
    <w:p w:rsidR="00E20704" w:rsidRPr="00C9322C" w:rsidRDefault="00E20704" w:rsidP="00455C1E">
      <w:pPr>
        <w:keepNext/>
        <w:keepLines/>
        <w:rPr>
          <w:b/>
          <w:color w:val="000000"/>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2340"/>
        <w:gridCol w:w="1350"/>
        <w:gridCol w:w="270"/>
        <w:gridCol w:w="1620"/>
        <w:gridCol w:w="270"/>
        <w:gridCol w:w="1530"/>
        <w:gridCol w:w="360"/>
        <w:gridCol w:w="900"/>
      </w:tblGrid>
      <w:tr w:rsidR="00566BAD" w:rsidRPr="00772F22" w:rsidTr="00566BAD">
        <w:trPr>
          <w:jc w:val="center"/>
        </w:trPr>
        <w:tc>
          <w:tcPr>
            <w:tcW w:w="1535" w:type="dxa"/>
            <w:vAlign w:val="center"/>
          </w:tcPr>
          <w:p w:rsidR="008A0D12" w:rsidRPr="00772F22" w:rsidRDefault="008A0D12" w:rsidP="00E512C4">
            <w:pPr>
              <w:keepNext/>
              <w:keepLines/>
              <w:jc w:val="center"/>
            </w:pPr>
            <w:r>
              <w:t>System Type</w:t>
            </w:r>
          </w:p>
        </w:tc>
        <w:tc>
          <w:tcPr>
            <w:tcW w:w="2340" w:type="dxa"/>
            <w:vAlign w:val="center"/>
          </w:tcPr>
          <w:p w:rsidR="008A0D12" w:rsidRPr="00772F22" w:rsidRDefault="008A0D12" w:rsidP="00E512C4">
            <w:pPr>
              <w:keepNext/>
              <w:keepLines/>
              <w:jc w:val="center"/>
            </w:pPr>
            <w:r>
              <w:t>BMP Classification</w:t>
            </w:r>
            <w:r w:rsidR="00E512C4">
              <w:t xml:space="preserve"> (See Attachment A)</w:t>
            </w:r>
          </w:p>
        </w:tc>
        <w:tc>
          <w:tcPr>
            <w:tcW w:w="1350" w:type="dxa"/>
            <w:vAlign w:val="center"/>
          </w:tcPr>
          <w:p w:rsidR="008A0D12" w:rsidRPr="00772F22" w:rsidRDefault="008A0D12" w:rsidP="00197B74">
            <w:pPr>
              <w:keepNext/>
              <w:keepLines/>
              <w:jc w:val="center"/>
            </w:pPr>
            <w:r w:rsidRPr="00772F22">
              <w:t>Facility Credit</w:t>
            </w:r>
          </w:p>
          <w:p w:rsidR="008A0D12" w:rsidRPr="00772F22" w:rsidRDefault="008A0D12">
            <w:pPr>
              <w:keepNext/>
              <w:keepLines/>
              <w:jc w:val="center"/>
            </w:pPr>
            <w:r w:rsidRPr="00772F22">
              <w:t xml:space="preserve">(See </w:t>
            </w:r>
            <w:r>
              <w:t>Table 1</w:t>
            </w:r>
            <w:r w:rsidRPr="00772F22">
              <w:t>)</w:t>
            </w:r>
          </w:p>
        </w:tc>
        <w:tc>
          <w:tcPr>
            <w:tcW w:w="270" w:type="dxa"/>
            <w:vAlign w:val="center"/>
          </w:tcPr>
          <w:p w:rsidR="008A0D12" w:rsidRPr="00772F22" w:rsidRDefault="008A0D12" w:rsidP="00197B74">
            <w:pPr>
              <w:keepNext/>
              <w:keepLines/>
              <w:jc w:val="center"/>
            </w:pPr>
            <w:r>
              <w:t>X</w:t>
            </w:r>
          </w:p>
        </w:tc>
        <w:tc>
          <w:tcPr>
            <w:tcW w:w="1620" w:type="dxa"/>
            <w:vAlign w:val="center"/>
          </w:tcPr>
          <w:p w:rsidR="008A0D12" w:rsidRDefault="008A0D12" w:rsidP="00197B74">
            <w:pPr>
              <w:keepNext/>
              <w:keepLines/>
              <w:jc w:val="center"/>
            </w:pPr>
            <w:r w:rsidRPr="00772F22">
              <w:t>% Impervious Surface Managed</w:t>
            </w:r>
          </w:p>
          <w:p w:rsidR="008A0D12" w:rsidRPr="00772F22" w:rsidRDefault="008A0D12" w:rsidP="00197B74">
            <w:pPr>
              <w:keepNext/>
              <w:keepLines/>
              <w:jc w:val="center"/>
            </w:pPr>
            <w:r w:rsidRPr="00772F22">
              <w:t xml:space="preserve">(See </w:t>
            </w:r>
            <w:r>
              <w:t>Table 2</w:t>
            </w:r>
            <w:r w:rsidRPr="00772F22">
              <w:t>)</w:t>
            </w:r>
          </w:p>
        </w:tc>
        <w:tc>
          <w:tcPr>
            <w:tcW w:w="270" w:type="dxa"/>
            <w:vAlign w:val="center"/>
          </w:tcPr>
          <w:p w:rsidR="008A0D12" w:rsidRPr="00772F22" w:rsidRDefault="008A0D12" w:rsidP="00197B74">
            <w:pPr>
              <w:keepNext/>
              <w:keepLines/>
              <w:jc w:val="center"/>
            </w:pPr>
            <w:r>
              <w:t>X</w:t>
            </w:r>
          </w:p>
        </w:tc>
        <w:tc>
          <w:tcPr>
            <w:tcW w:w="1530" w:type="dxa"/>
            <w:vAlign w:val="center"/>
          </w:tcPr>
          <w:p w:rsidR="008A0D12" w:rsidRPr="00772F22" w:rsidRDefault="008A0D12" w:rsidP="00197B74">
            <w:pPr>
              <w:keepNext/>
              <w:keepLines/>
              <w:jc w:val="center"/>
            </w:pPr>
            <w:r w:rsidRPr="00772F22">
              <w:t xml:space="preserve">Impervious % of </w:t>
            </w:r>
            <w:r>
              <w:t xml:space="preserve">Drainage </w:t>
            </w:r>
            <w:r w:rsidRPr="00772F22">
              <w:t>Bill</w:t>
            </w:r>
          </w:p>
        </w:tc>
        <w:tc>
          <w:tcPr>
            <w:tcW w:w="360" w:type="dxa"/>
            <w:vAlign w:val="center"/>
          </w:tcPr>
          <w:p w:rsidR="008A0D12" w:rsidRPr="00772F22" w:rsidRDefault="008A0D12" w:rsidP="00197B74">
            <w:pPr>
              <w:keepNext/>
              <w:keepLines/>
              <w:jc w:val="center"/>
            </w:pPr>
            <w:r w:rsidRPr="00772F22">
              <w:t>=</w:t>
            </w:r>
          </w:p>
        </w:tc>
        <w:tc>
          <w:tcPr>
            <w:tcW w:w="900" w:type="dxa"/>
            <w:vAlign w:val="center"/>
          </w:tcPr>
          <w:p w:rsidR="008A0D12" w:rsidRPr="00772F22" w:rsidRDefault="008A0D12" w:rsidP="00197B74">
            <w:pPr>
              <w:keepNext/>
              <w:keepLines/>
            </w:pPr>
            <w:r w:rsidRPr="00772F22">
              <w:t>Credit</w:t>
            </w:r>
            <w:r>
              <w:t>*</w:t>
            </w:r>
          </w:p>
        </w:tc>
      </w:tr>
      <w:tr w:rsidR="00566BAD" w:rsidRPr="00772F22" w:rsidTr="00566BAD">
        <w:trPr>
          <w:trHeight w:val="288"/>
          <w:jc w:val="center"/>
        </w:trPr>
        <w:tc>
          <w:tcPr>
            <w:tcW w:w="1535"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E512C4">
            <w:pPr>
              <w:keepNext/>
              <w:keepLines/>
              <w:jc w:val="center"/>
            </w:pPr>
            <w:r w:rsidRPr="00772F22">
              <w:t>Water Quality</w:t>
            </w:r>
          </w:p>
        </w:tc>
        <w:tc>
          <w:tcPr>
            <w:tcW w:w="2340" w:type="dxa"/>
            <w:tcBorders>
              <w:top w:val="single" w:sz="4" w:space="0" w:color="auto"/>
              <w:left w:val="single" w:sz="4" w:space="0" w:color="auto"/>
              <w:bottom w:val="single" w:sz="4" w:space="0" w:color="auto"/>
              <w:right w:val="single" w:sz="4" w:space="0" w:color="auto"/>
            </w:tcBorders>
            <w:vAlign w:val="center"/>
          </w:tcPr>
          <w:p w:rsidR="008A0D12" w:rsidRDefault="00566BAD" w:rsidP="00E512C4">
            <w:pPr>
              <w:keepNext/>
              <w:keepLines/>
              <w:jc w:val="center"/>
            </w:pPr>
            <w:r>
              <w:t xml:space="preserve">Water Quality - </w:t>
            </w:r>
            <w:r w:rsidR="008A0D12">
              <w:t>Level 2</w:t>
            </w:r>
          </w:p>
        </w:tc>
        <w:tc>
          <w:tcPr>
            <w:tcW w:w="1350" w:type="dxa"/>
            <w:tcBorders>
              <w:top w:val="single" w:sz="4" w:space="0" w:color="auto"/>
              <w:left w:val="single" w:sz="4" w:space="0" w:color="auto"/>
              <w:bottom w:val="single" w:sz="4" w:space="0" w:color="auto"/>
              <w:right w:val="single" w:sz="4" w:space="0" w:color="auto"/>
            </w:tcBorders>
            <w:vAlign w:val="center"/>
          </w:tcPr>
          <w:p w:rsidR="008A0D12" w:rsidRPr="00286E7A" w:rsidRDefault="008A0D12" w:rsidP="00197B74">
            <w:pPr>
              <w:keepNext/>
              <w:keepLines/>
              <w:jc w:val="center"/>
            </w:pPr>
            <w:r>
              <w:t>27</w:t>
            </w:r>
            <w:r w:rsidRPr="00286E7A">
              <w:t>%</w:t>
            </w:r>
          </w:p>
        </w:tc>
        <w:tc>
          <w:tcPr>
            <w:tcW w:w="27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197B74">
            <w:pPr>
              <w:keepNext/>
              <w:keepLines/>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197B74">
            <w:pPr>
              <w:keepNext/>
              <w:keepLines/>
              <w:jc w:val="center"/>
            </w:pPr>
            <w:r>
              <w:t>22%</w:t>
            </w:r>
          </w:p>
        </w:tc>
        <w:tc>
          <w:tcPr>
            <w:tcW w:w="27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197B74">
            <w:pPr>
              <w:keepNext/>
              <w:keepLines/>
              <w:jc w:val="center"/>
            </w:pPr>
          </w:p>
        </w:tc>
        <w:tc>
          <w:tcPr>
            <w:tcW w:w="153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197B74">
            <w:pPr>
              <w:keepNext/>
              <w:keepLines/>
              <w:jc w:val="center"/>
            </w:pPr>
            <w:r>
              <w:t>83.00%</w:t>
            </w:r>
          </w:p>
        </w:tc>
        <w:tc>
          <w:tcPr>
            <w:tcW w:w="36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197B74">
            <w:pPr>
              <w:keepNext/>
              <w:keepLines/>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197B74">
            <w:pPr>
              <w:keepNext/>
              <w:keepLines/>
              <w:jc w:val="center"/>
            </w:pPr>
            <w:r>
              <w:t>5%</w:t>
            </w:r>
          </w:p>
        </w:tc>
      </w:tr>
      <w:tr w:rsidR="00566BAD" w:rsidRPr="00772F22" w:rsidTr="00566BAD">
        <w:trPr>
          <w:trHeight w:val="288"/>
          <w:jc w:val="center"/>
        </w:trPr>
        <w:tc>
          <w:tcPr>
            <w:tcW w:w="1535"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E512C4">
            <w:pPr>
              <w:keepNext/>
              <w:keepLines/>
              <w:jc w:val="center"/>
            </w:pPr>
            <w:r>
              <w:t>Water Quality</w:t>
            </w:r>
          </w:p>
        </w:tc>
        <w:tc>
          <w:tcPr>
            <w:tcW w:w="2340" w:type="dxa"/>
            <w:tcBorders>
              <w:top w:val="single" w:sz="4" w:space="0" w:color="auto"/>
              <w:left w:val="single" w:sz="4" w:space="0" w:color="auto"/>
              <w:bottom w:val="single" w:sz="4" w:space="0" w:color="auto"/>
              <w:right w:val="single" w:sz="4" w:space="0" w:color="auto"/>
            </w:tcBorders>
            <w:vAlign w:val="center"/>
          </w:tcPr>
          <w:p w:rsidR="008A0D12" w:rsidRDefault="00566BAD" w:rsidP="00E512C4">
            <w:pPr>
              <w:keepNext/>
              <w:keepLines/>
              <w:jc w:val="center"/>
            </w:pPr>
            <w:r>
              <w:t xml:space="preserve">Water Quality - </w:t>
            </w:r>
            <w:r w:rsidR="008A0D12">
              <w:t>Level 3</w:t>
            </w:r>
          </w:p>
        </w:tc>
        <w:tc>
          <w:tcPr>
            <w:tcW w:w="1350" w:type="dxa"/>
            <w:tcBorders>
              <w:top w:val="single" w:sz="4" w:space="0" w:color="auto"/>
              <w:left w:val="single" w:sz="4" w:space="0" w:color="auto"/>
              <w:bottom w:val="single" w:sz="4" w:space="0" w:color="auto"/>
              <w:right w:val="single" w:sz="4" w:space="0" w:color="auto"/>
            </w:tcBorders>
            <w:vAlign w:val="center"/>
          </w:tcPr>
          <w:p w:rsidR="008A0D12" w:rsidRPr="00286E7A" w:rsidRDefault="008A0D12" w:rsidP="00197B74">
            <w:pPr>
              <w:keepNext/>
              <w:keepLines/>
              <w:jc w:val="center"/>
            </w:pPr>
            <w:r>
              <w:t>48%</w:t>
            </w:r>
          </w:p>
        </w:tc>
        <w:tc>
          <w:tcPr>
            <w:tcW w:w="27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197B74">
            <w:pPr>
              <w:keepNext/>
              <w:keepLines/>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8A0D12" w:rsidRDefault="008A0D12" w:rsidP="00197B74">
            <w:pPr>
              <w:keepNext/>
              <w:keepLines/>
              <w:jc w:val="center"/>
            </w:pPr>
            <w:r>
              <w:t>12%</w:t>
            </w:r>
          </w:p>
        </w:tc>
        <w:tc>
          <w:tcPr>
            <w:tcW w:w="27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197B74">
            <w:pPr>
              <w:keepNext/>
              <w:keepLines/>
              <w:jc w:val="center"/>
            </w:pPr>
          </w:p>
        </w:tc>
        <w:tc>
          <w:tcPr>
            <w:tcW w:w="1530" w:type="dxa"/>
            <w:tcBorders>
              <w:top w:val="single" w:sz="4" w:space="0" w:color="auto"/>
              <w:left w:val="single" w:sz="4" w:space="0" w:color="auto"/>
              <w:bottom w:val="single" w:sz="4" w:space="0" w:color="auto"/>
              <w:right w:val="single" w:sz="4" w:space="0" w:color="auto"/>
            </w:tcBorders>
            <w:vAlign w:val="center"/>
          </w:tcPr>
          <w:p w:rsidR="008A0D12" w:rsidRDefault="008A0D12" w:rsidP="00197B74">
            <w:pPr>
              <w:keepNext/>
              <w:keepLines/>
              <w:jc w:val="center"/>
            </w:pPr>
            <w:r>
              <w:t>83.00%</w:t>
            </w:r>
          </w:p>
        </w:tc>
        <w:tc>
          <w:tcPr>
            <w:tcW w:w="360" w:type="dxa"/>
            <w:tcBorders>
              <w:top w:val="single" w:sz="4" w:space="0" w:color="auto"/>
              <w:left w:val="single" w:sz="4" w:space="0" w:color="auto"/>
              <w:bottom w:val="single" w:sz="4" w:space="0" w:color="auto"/>
              <w:right w:val="single" w:sz="4" w:space="0" w:color="auto"/>
            </w:tcBorders>
            <w:vAlign w:val="center"/>
          </w:tcPr>
          <w:p w:rsidR="008A0D12" w:rsidRPr="00772F22" w:rsidRDefault="008A0D12" w:rsidP="00197B74">
            <w:pPr>
              <w:keepNext/>
              <w:keepLines/>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8A0D12" w:rsidRDefault="008A0D12" w:rsidP="00197B74">
            <w:pPr>
              <w:keepNext/>
              <w:keepLines/>
              <w:jc w:val="center"/>
            </w:pPr>
            <w:r>
              <w:t>5%</w:t>
            </w:r>
          </w:p>
        </w:tc>
      </w:tr>
      <w:tr w:rsidR="00566BAD" w:rsidRPr="00772F22" w:rsidTr="00566BAD">
        <w:trPr>
          <w:trHeight w:val="288"/>
          <w:jc w:val="center"/>
        </w:trPr>
        <w:tc>
          <w:tcPr>
            <w:tcW w:w="1535" w:type="dxa"/>
            <w:vAlign w:val="center"/>
          </w:tcPr>
          <w:p w:rsidR="008A0D12" w:rsidRPr="00772F22" w:rsidRDefault="008A0D12" w:rsidP="00E512C4">
            <w:pPr>
              <w:jc w:val="center"/>
            </w:pPr>
            <w:r w:rsidRPr="00772F22">
              <w:t>Flow Control</w:t>
            </w:r>
          </w:p>
        </w:tc>
        <w:tc>
          <w:tcPr>
            <w:tcW w:w="2340" w:type="dxa"/>
            <w:vAlign w:val="center"/>
          </w:tcPr>
          <w:p w:rsidR="008A0D12" w:rsidRPr="00772F22" w:rsidRDefault="00566BAD" w:rsidP="00E512C4">
            <w:pPr>
              <w:jc w:val="center"/>
            </w:pPr>
            <w:r>
              <w:t xml:space="preserve">Flow Control - </w:t>
            </w:r>
            <w:r w:rsidR="008A0D12">
              <w:t xml:space="preserve">Level </w:t>
            </w:r>
            <w:r w:rsidR="00E512C4">
              <w:t>2</w:t>
            </w:r>
          </w:p>
        </w:tc>
        <w:tc>
          <w:tcPr>
            <w:tcW w:w="1350" w:type="dxa"/>
            <w:vAlign w:val="center"/>
          </w:tcPr>
          <w:p w:rsidR="008A0D12" w:rsidRPr="00772F22" w:rsidRDefault="008A0D12" w:rsidP="00197B74">
            <w:pPr>
              <w:jc w:val="center"/>
            </w:pPr>
            <w:r w:rsidRPr="00772F22">
              <w:t>20%</w:t>
            </w:r>
          </w:p>
        </w:tc>
        <w:tc>
          <w:tcPr>
            <w:tcW w:w="270" w:type="dxa"/>
            <w:vAlign w:val="center"/>
          </w:tcPr>
          <w:p w:rsidR="008A0D12" w:rsidRPr="00772F22" w:rsidRDefault="008A0D12" w:rsidP="00197B74">
            <w:pPr>
              <w:jc w:val="center"/>
            </w:pPr>
          </w:p>
        </w:tc>
        <w:tc>
          <w:tcPr>
            <w:tcW w:w="1620" w:type="dxa"/>
            <w:vAlign w:val="center"/>
          </w:tcPr>
          <w:p w:rsidR="008A0D12" w:rsidRPr="00772F22" w:rsidRDefault="008A0D12" w:rsidP="00197B74">
            <w:pPr>
              <w:jc w:val="center"/>
            </w:pPr>
            <w:r>
              <w:t>31%</w:t>
            </w:r>
          </w:p>
        </w:tc>
        <w:tc>
          <w:tcPr>
            <w:tcW w:w="270" w:type="dxa"/>
            <w:vAlign w:val="center"/>
          </w:tcPr>
          <w:p w:rsidR="008A0D12" w:rsidRPr="00772F22" w:rsidRDefault="008A0D12" w:rsidP="00197B74">
            <w:pPr>
              <w:jc w:val="center"/>
            </w:pPr>
          </w:p>
        </w:tc>
        <w:tc>
          <w:tcPr>
            <w:tcW w:w="1530" w:type="dxa"/>
            <w:vAlign w:val="center"/>
          </w:tcPr>
          <w:p w:rsidR="008A0D12" w:rsidRPr="00772F22" w:rsidRDefault="008A0D12" w:rsidP="00197B74">
            <w:pPr>
              <w:jc w:val="center"/>
            </w:pPr>
            <w:r>
              <w:t>83.00</w:t>
            </w:r>
            <w:r w:rsidRPr="00772F22">
              <w:t>%</w:t>
            </w:r>
          </w:p>
        </w:tc>
        <w:tc>
          <w:tcPr>
            <w:tcW w:w="360" w:type="dxa"/>
            <w:vAlign w:val="center"/>
          </w:tcPr>
          <w:p w:rsidR="008A0D12" w:rsidRPr="00772F22" w:rsidRDefault="008A0D12" w:rsidP="00197B74">
            <w:pPr>
              <w:jc w:val="center"/>
            </w:pPr>
          </w:p>
        </w:tc>
        <w:tc>
          <w:tcPr>
            <w:tcW w:w="900" w:type="dxa"/>
            <w:vAlign w:val="center"/>
          </w:tcPr>
          <w:p w:rsidR="008A0D12" w:rsidRPr="00772F22" w:rsidRDefault="008A0D12" w:rsidP="00197B74">
            <w:pPr>
              <w:jc w:val="center"/>
            </w:pPr>
            <w:r>
              <w:t>5%</w:t>
            </w:r>
          </w:p>
        </w:tc>
      </w:tr>
      <w:tr w:rsidR="00566BAD" w:rsidRPr="00772F22" w:rsidTr="00566BAD">
        <w:trPr>
          <w:trHeight w:val="288"/>
          <w:jc w:val="center"/>
        </w:trPr>
        <w:tc>
          <w:tcPr>
            <w:tcW w:w="1535" w:type="dxa"/>
            <w:vAlign w:val="center"/>
          </w:tcPr>
          <w:p w:rsidR="008A0D12" w:rsidRPr="00772F22" w:rsidRDefault="008A0D12" w:rsidP="00E512C4">
            <w:pPr>
              <w:jc w:val="center"/>
            </w:pPr>
            <w:r>
              <w:t>Flow Control</w:t>
            </w:r>
          </w:p>
        </w:tc>
        <w:tc>
          <w:tcPr>
            <w:tcW w:w="2340" w:type="dxa"/>
            <w:vAlign w:val="center"/>
          </w:tcPr>
          <w:p w:rsidR="008A0D12" w:rsidRDefault="00566BAD" w:rsidP="00E512C4">
            <w:pPr>
              <w:jc w:val="center"/>
            </w:pPr>
            <w:r>
              <w:t xml:space="preserve">Flow Control - </w:t>
            </w:r>
            <w:r w:rsidR="00E512C4">
              <w:t>Level 3</w:t>
            </w:r>
          </w:p>
        </w:tc>
        <w:tc>
          <w:tcPr>
            <w:tcW w:w="1350" w:type="dxa"/>
            <w:vAlign w:val="center"/>
          </w:tcPr>
          <w:p w:rsidR="008A0D12" w:rsidRPr="00772F22" w:rsidRDefault="008A0D12" w:rsidP="00197B74">
            <w:pPr>
              <w:jc w:val="center"/>
            </w:pPr>
            <w:r>
              <w:t>22%</w:t>
            </w:r>
          </w:p>
        </w:tc>
        <w:tc>
          <w:tcPr>
            <w:tcW w:w="270" w:type="dxa"/>
            <w:vAlign w:val="center"/>
          </w:tcPr>
          <w:p w:rsidR="008A0D12" w:rsidRPr="00772F22" w:rsidRDefault="008A0D12" w:rsidP="00197B74">
            <w:pPr>
              <w:jc w:val="center"/>
            </w:pPr>
          </w:p>
        </w:tc>
        <w:tc>
          <w:tcPr>
            <w:tcW w:w="1620" w:type="dxa"/>
            <w:vAlign w:val="center"/>
          </w:tcPr>
          <w:p w:rsidR="008A0D12" w:rsidRDefault="008A0D12" w:rsidP="00197B74">
            <w:pPr>
              <w:jc w:val="center"/>
            </w:pPr>
            <w:r>
              <w:t>6%</w:t>
            </w:r>
          </w:p>
        </w:tc>
        <w:tc>
          <w:tcPr>
            <w:tcW w:w="270" w:type="dxa"/>
            <w:vAlign w:val="center"/>
          </w:tcPr>
          <w:p w:rsidR="008A0D12" w:rsidRPr="00772F22" w:rsidRDefault="008A0D12" w:rsidP="00197B74">
            <w:pPr>
              <w:jc w:val="center"/>
            </w:pPr>
          </w:p>
        </w:tc>
        <w:tc>
          <w:tcPr>
            <w:tcW w:w="1530" w:type="dxa"/>
            <w:vAlign w:val="center"/>
          </w:tcPr>
          <w:p w:rsidR="008A0D12" w:rsidRDefault="008A0D12" w:rsidP="00197B74">
            <w:pPr>
              <w:jc w:val="center"/>
            </w:pPr>
            <w:r>
              <w:t>83.00%</w:t>
            </w:r>
          </w:p>
        </w:tc>
        <w:tc>
          <w:tcPr>
            <w:tcW w:w="360" w:type="dxa"/>
            <w:vAlign w:val="center"/>
          </w:tcPr>
          <w:p w:rsidR="008A0D12" w:rsidRPr="00772F22" w:rsidRDefault="008A0D12" w:rsidP="00197B74">
            <w:pPr>
              <w:jc w:val="center"/>
            </w:pPr>
          </w:p>
        </w:tc>
        <w:tc>
          <w:tcPr>
            <w:tcW w:w="900" w:type="dxa"/>
            <w:vAlign w:val="center"/>
          </w:tcPr>
          <w:p w:rsidR="008A0D12" w:rsidRDefault="008A0D12" w:rsidP="00197B74">
            <w:pPr>
              <w:jc w:val="center"/>
            </w:pPr>
            <w:r>
              <w:t>1%</w:t>
            </w:r>
          </w:p>
        </w:tc>
      </w:tr>
      <w:tr w:rsidR="00566BAD" w:rsidRPr="00772F22" w:rsidTr="00566BAD">
        <w:trPr>
          <w:trHeight w:val="288"/>
          <w:jc w:val="center"/>
        </w:trPr>
        <w:tc>
          <w:tcPr>
            <w:tcW w:w="1535" w:type="dxa"/>
            <w:vAlign w:val="center"/>
          </w:tcPr>
          <w:p w:rsidR="008A0D12" w:rsidRDefault="008A0D12" w:rsidP="00E512C4">
            <w:pPr>
              <w:jc w:val="center"/>
            </w:pPr>
            <w:r>
              <w:t>Flow Control</w:t>
            </w:r>
          </w:p>
        </w:tc>
        <w:tc>
          <w:tcPr>
            <w:tcW w:w="2340" w:type="dxa"/>
            <w:vAlign w:val="center"/>
          </w:tcPr>
          <w:p w:rsidR="008A0D12" w:rsidRDefault="00566BAD" w:rsidP="00E512C4">
            <w:pPr>
              <w:jc w:val="center"/>
            </w:pPr>
            <w:r>
              <w:t xml:space="preserve">Flow Control - </w:t>
            </w:r>
            <w:r w:rsidR="00E512C4">
              <w:t>Level 5</w:t>
            </w:r>
          </w:p>
        </w:tc>
        <w:tc>
          <w:tcPr>
            <w:tcW w:w="1350" w:type="dxa"/>
            <w:vAlign w:val="center"/>
          </w:tcPr>
          <w:p w:rsidR="008A0D12" w:rsidRPr="00772F22" w:rsidRDefault="008A0D12" w:rsidP="00197B74">
            <w:pPr>
              <w:jc w:val="center"/>
            </w:pPr>
            <w:r>
              <w:t>46%</w:t>
            </w:r>
          </w:p>
        </w:tc>
        <w:tc>
          <w:tcPr>
            <w:tcW w:w="270" w:type="dxa"/>
            <w:vAlign w:val="center"/>
          </w:tcPr>
          <w:p w:rsidR="008A0D12" w:rsidRPr="00772F22" w:rsidRDefault="008A0D12" w:rsidP="00197B74">
            <w:pPr>
              <w:jc w:val="center"/>
            </w:pPr>
          </w:p>
        </w:tc>
        <w:tc>
          <w:tcPr>
            <w:tcW w:w="1620" w:type="dxa"/>
            <w:vAlign w:val="center"/>
          </w:tcPr>
          <w:p w:rsidR="008A0D12" w:rsidRDefault="008A0D12" w:rsidP="00197B74">
            <w:pPr>
              <w:jc w:val="center"/>
            </w:pPr>
            <w:r>
              <w:t>9%</w:t>
            </w:r>
          </w:p>
        </w:tc>
        <w:tc>
          <w:tcPr>
            <w:tcW w:w="270" w:type="dxa"/>
            <w:vAlign w:val="center"/>
          </w:tcPr>
          <w:p w:rsidR="008A0D12" w:rsidRPr="00772F22" w:rsidRDefault="008A0D12" w:rsidP="00197B74">
            <w:pPr>
              <w:jc w:val="center"/>
            </w:pPr>
          </w:p>
        </w:tc>
        <w:tc>
          <w:tcPr>
            <w:tcW w:w="1530" w:type="dxa"/>
            <w:vAlign w:val="center"/>
          </w:tcPr>
          <w:p w:rsidR="008A0D12" w:rsidRDefault="008A0D12" w:rsidP="00197B74">
            <w:pPr>
              <w:jc w:val="center"/>
            </w:pPr>
            <w:r>
              <w:t>83.00%</w:t>
            </w:r>
          </w:p>
        </w:tc>
        <w:tc>
          <w:tcPr>
            <w:tcW w:w="360" w:type="dxa"/>
            <w:vAlign w:val="center"/>
          </w:tcPr>
          <w:p w:rsidR="008A0D12" w:rsidRPr="00772F22" w:rsidRDefault="008A0D12" w:rsidP="00197B74">
            <w:pPr>
              <w:jc w:val="center"/>
            </w:pPr>
          </w:p>
        </w:tc>
        <w:tc>
          <w:tcPr>
            <w:tcW w:w="900" w:type="dxa"/>
            <w:vAlign w:val="center"/>
          </w:tcPr>
          <w:p w:rsidR="008A0D12" w:rsidRDefault="008A0D12" w:rsidP="00197B74">
            <w:pPr>
              <w:jc w:val="center"/>
            </w:pPr>
            <w:r>
              <w:t>3%</w:t>
            </w:r>
          </w:p>
        </w:tc>
      </w:tr>
      <w:tr w:rsidR="00566BAD" w:rsidRPr="00772F22" w:rsidTr="00566BAD">
        <w:trPr>
          <w:trHeight w:val="593"/>
          <w:jc w:val="center"/>
        </w:trPr>
        <w:tc>
          <w:tcPr>
            <w:tcW w:w="1535" w:type="dxa"/>
            <w:vAlign w:val="center"/>
          </w:tcPr>
          <w:p w:rsidR="008A0D12" w:rsidRDefault="008A0D12" w:rsidP="00E512C4">
            <w:pPr>
              <w:jc w:val="center"/>
            </w:pPr>
            <w:r>
              <w:t>Total Credit</w:t>
            </w:r>
          </w:p>
        </w:tc>
        <w:tc>
          <w:tcPr>
            <w:tcW w:w="2340" w:type="dxa"/>
            <w:vAlign w:val="center"/>
          </w:tcPr>
          <w:p w:rsidR="008A0D12" w:rsidRDefault="008A0D12" w:rsidP="00E512C4">
            <w:pPr>
              <w:jc w:val="center"/>
            </w:pPr>
          </w:p>
        </w:tc>
        <w:tc>
          <w:tcPr>
            <w:tcW w:w="1350" w:type="dxa"/>
            <w:vAlign w:val="center"/>
          </w:tcPr>
          <w:p w:rsidR="008A0D12" w:rsidRDefault="008A0D12" w:rsidP="00197B74">
            <w:pPr>
              <w:jc w:val="center"/>
            </w:pPr>
          </w:p>
        </w:tc>
        <w:tc>
          <w:tcPr>
            <w:tcW w:w="270" w:type="dxa"/>
            <w:vAlign w:val="center"/>
          </w:tcPr>
          <w:p w:rsidR="008A0D12" w:rsidRPr="00772F22" w:rsidRDefault="008A0D12" w:rsidP="00197B74">
            <w:pPr>
              <w:jc w:val="center"/>
            </w:pPr>
          </w:p>
        </w:tc>
        <w:tc>
          <w:tcPr>
            <w:tcW w:w="1620" w:type="dxa"/>
            <w:vAlign w:val="center"/>
          </w:tcPr>
          <w:p w:rsidR="008A0D12" w:rsidRDefault="008A0D12" w:rsidP="00197B74">
            <w:pPr>
              <w:jc w:val="center"/>
            </w:pPr>
          </w:p>
        </w:tc>
        <w:tc>
          <w:tcPr>
            <w:tcW w:w="270" w:type="dxa"/>
            <w:vAlign w:val="center"/>
          </w:tcPr>
          <w:p w:rsidR="008A0D12" w:rsidRPr="00772F22" w:rsidRDefault="008A0D12" w:rsidP="00197B74">
            <w:pPr>
              <w:jc w:val="center"/>
            </w:pPr>
          </w:p>
        </w:tc>
        <w:tc>
          <w:tcPr>
            <w:tcW w:w="1530" w:type="dxa"/>
            <w:vAlign w:val="center"/>
          </w:tcPr>
          <w:p w:rsidR="008A0D12" w:rsidRDefault="008A0D12" w:rsidP="00197B74">
            <w:pPr>
              <w:jc w:val="center"/>
            </w:pPr>
          </w:p>
        </w:tc>
        <w:tc>
          <w:tcPr>
            <w:tcW w:w="360" w:type="dxa"/>
            <w:vAlign w:val="center"/>
          </w:tcPr>
          <w:p w:rsidR="008A0D12" w:rsidRPr="00772F22" w:rsidRDefault="008A0D12" w:rsidP="00197B74">
            <w:pPr>
              <w:jc w:val="center"/>
            </w:pPr>
          </w:p>
        </w:tc>
        <w:tc>
          <w:tcPr>
            <w:tcW w:w="900" w:type="dxa"/>
            <w:vAlign w:val="center"/>
          </w:tcPr>
          <w:p w:rsidR="008A0D12" w:rsidRDefault="008A0D12" w:rsidP="00197B74">
            <w:pPr>
              <w:jc w:val="center"/>
            </w:pPr>
            <w:r>
              <w:t>19%</w:t>
            </w:r>
          </w:p>
        </w:tc>
      </w:tr>
    </w:tbl>
    <w:p w:rsidR="00455C1E" w:rsidRDefault="007A6B49" w:rsidP="00455C1E">
      <w:pPr>
        <w:spacing w:after="180"/>
        <w:rPr>
          <w:color w:val="000000"/>
        </w:rPr>
      </w:pPr>
      <w:r>
        <w:rPr>
          <w:color w:val="000000"/>
        </w:rPr>
        <w:t>*Note – Credits are rounded</w:t>
      </w:r>
      <w:r w:rsidR="00455C1E">
        <w:rPr>
          <w:color w:val="000000"/>
        </w:rPr>
        <w:t xml:space="preserve"> to the nearest percentage. </w:t>
      </w:r>
    </w:p>
    <w:p w:rsidR="00C9282B" w:rsidRDefault="00C9282B" w:rsidP="00455C1E">
      <w:pPr>
        <w:spacing w:after="180"/>
        <w:rPr>
          <w:color w:val="000000"/>
        </w:rPr>
      </w:pPr>
    </w:p>
    <w:p w:rsidR="00E512C4" w:rsidRDefault="00E512C4" w:rsidP="00455C1E">
      <w:pPr>
        <w:spacing w:after="180"/>
        <w:rPr>
          <w:color w:val="000000"/>
        </w:rPr>
      </w:pPr>
    </w:p>
    <w:p w:rsidR="00E20704" w:rsidRDefault="00E20704" w:rsidP="004A1DF2">
      <w:pPr>
        <w:pStyle w:val="ListParagraph"/>
        <w:tabs>
          <w:tab w:val="left" w:pos="360"/>
        </w:tabs>
        <w:ind w:left="0"/>
        <w:rPr>
          <w:color w:val="000000"/>
        </w:rPr>
      </w:pPr>
    </w:p>
    <w:p w:rsidR="007A6B49" w:rsidRPr="007A6B49" w:rsidRDefault="007A6B49" w:rsidP="004A1DF2">
      <w:pPr>
        <w:pStyle w:val="ListParagraph"/>
        <w:tabs>
          <w:tab w:val="left" w:pos="360"/>
        </w:tabs>
        <w:ind w:left="0"/>
        <w:rPr>
          <w:b/>
          <w:color w:val="000000"/>
        </w:rPr>
      </w:pPr>
      <w:r w:rsidRPr="007A6B49">
        <w:rPr>
          <w:b/>
          <w:color w:val="000000"/>
        </w:rPr>
        <w:t>B) Credit Breakdown</w:t>
      </w:r>
      <w:r w:rsidR="001A21EA" w:rsidRPr="007A6B49">
        <w:rPr>
          <w:b/>
          <w:color w:val="000000"/>
        </w:rPr>
        <w:t>:</w:t>
      </w:r>
      <w:r w:rsidRPr="007A6B49">
        <w:rPr>
          <w:b/>
          <w:color w:val="000000"/>
        </w:rPr>
        <w:t xml:space="preserve"> </w:t>
      </w:r>
    </w:p>
    <w:p w:rsidR="001A21EA" w:rsidRDefault="007A6B49" w:rsidP="004A1DF2">
      <w:pPr>
        <w:pStyle w:val="ListParagraph"/>
        <w:tabs>
          <w:tab w:val="left" w:pos="360"/>
        </w:tabs>
        <w:ind w:left="0"/>
        <w:rPr>
          <w:color w:val="000000"/>
        </w:rPr>
      </w:pPr>
      <w:r>
        <w:rPr>
          <w:color w:val="000000"/>
        </w:rPr>
        <w:t>The credit is comprised</w:t>
      </w:r>
      <w:r w:rsidR="00566BAD">
        <w:rPr>
          <w:color w:val="000000"/>
        </w:rPr>
        <w:t xml:space="preserve"> of three</w:t>
      </w:r>
      <w:r>
        <w:rPr>
          <w:color w:val="000000"/>
        </w:rPr>
        <w:t xml:space="preserve"> separate components as described below. </w:t>
      </w:r>
    </w:p>
    <w:p w:rsidR="007A6B49" w:rsidRPr="00AA32FF" w:rsidRDefault="007A6B49" w:rsidP="004A1DF2">
      <w:pPr>
        <w:pStyle w:val="ListParagraph"/>
        <w:tabs>
          <w:tab w:val="left" w:pos="360"/>
        </w:tabs>
        <w:ind w:left="0"/>
        <w:rPr>
          <w:color w:val="000000"/>
        </w:rPr>
      </w:pPr>
    </w:p>
    <w:p w:rsidR="001A21EA" w:rsidRDefault="001A21EA" w:rsidP="006870D8">
      <w:pPr>
        <w:pStyle w:val="CommentText"/>
        <w:numPr>
          <w:ilvl w:val="0"/>
          <w:numId w:val="6"/>
        </w:numPr>
        <w:spacing w:line="276" w:lineRule="auto"/>
        <w:rPr>
          <w:rFonts w:cstheme="minorHAnsi"/>
          <w:szCs w:val="22"/>
        </w:rPr>
      </w:pPr>
      <w:r w:rsidRPr="001A27A2">
        <w:rPr>
          <w:rFonts w:cstheme="minorHAnsi"/>
          <w:b/>
          <w:szCs w:val="22"/>
        </w:rPr>
        <w:t>Facility Credit.</w:t>
      </w:r>
      <w:r w:rsidRPr="001A27A2">
        <w:rPr>
          <w:rFonts w:cstheme="minorHAnsi"/>
          <w:szCs w:val="22"/>
        </w:rPr>
        <w:t xml:space="preserve"> Credits for each </w:t>
      </w:r>
      <w:r>
        <w:rPr>
          <w:rFonts w:cstheme="minorHAnsi"/>
          <w:szCs w:val="22"/>
        </w:rPr>
        <w:t xml:space="preserve">approved </w:t>
      </w:r>
      <w:r w:rsidRPr="001A27A2">
        <w:rPr>
          <w:rFonts w:cstheme="minorHAnsi"/>
          <w:szCs w:val="22"/>
        </w:rPr>
        <w:t>facility type</w:t>
      </w:r>
      <w:r>
        <w:rPr>
          <w:rFonts w:cstheme="minorHAnsi"/>
          <w:szCs w:val="22"/>
        </w:rPr>
        <w:t xml:space="preserve"> are</w:t>
      </w:r>
      <w:r w:rsidRPr="001A27A2">
        <w:rPr>
          <w:rFonts w:cstheme="minorHAnsi"/>
          <w:szCs w:val="22"/>
        </w:rPr>
        <w:t xml:space="preserve"> based on </w:t>
      </w:r>
      <w:r>
        <w:rPr>
          <w:rFonts w:cstheme="minorHAnsi"/>
          <w:szCs w:val="22"/>
        </w:rPr>
        <w:t>modeled</w:t>
      </w:r>
      <w:r w:rsidRPr="001A27A2">
        <w:rPr>
          <w:rFonts w:cstheme="minorHAnsi"/>
          <w:szCs w:val="22"/>
        </w:rPr>
        <w:t xml:space="preserve"> performance in meeting applicable standards. The type of mitigation required by the City depends on the water quality treatment or flow control requirements for the drainage basin where the facility is installed. </w:t>
      </w:r>
      <w:r>
        <w:rPr>
          <w:rFonts w:cstheme="minorHAnsi"/>
          <w:szCs w:val="22"/>
        </w:rPr>
        <w:t>Individual facilities may meet more than one standard.</w:t>
      </w:r>
    </w:p>
    <w:p w:rsidR="00602259" w:rsidRDefault="00602259" w:rsidP="006870D8">
      <w:pPr>
        <w:pStyle w:val="CommentText"/>
        <w:spacing w:line="276" w:lineRule="auto"/>
        <w:ind w:left="360"/>
        <w:rPr>
          <w:rFonts w:cstheme="minorHAnsi"/>
          <w:b/>
          <w:szCs w:val="22"/>
        </w:rPr>
      </w:pPr>
    </w:p>
    <w:p w:rsidR="00602259" w:rsidRPr="00602259" w:rsidRDefault="00B23C9D" w:rsidP="006870D8">
      <w:pPr>
        <w:pStyle w:val="CommentText"/>
        <w:spacing w:line="276" w:lineRule="auto"/>
        <w:ind w:left="360"/>
        <w:rPr>
          <w:rFonts w:cstheme="minorHAnsi"/>
          <w:szCs w:val="22"/>
        </w:rPr>
      </w:pPr>
      <w:r>
        <w:rPr>
          <w:rFonts w:cstheme="minorHAnsi"/>
          <w:szCs w:val="22"/>
        </w:rPr>
        <w:t>I</w:t>
      </w:r>
      <w:r w:rsidR="00602259">
        <w:rPr>
          <w:rFonts w:cstheme="minorHAnsi"/>
          <w:szCs w:val="22"/>
        </w:rPr>
        <w:t xml:space="preserve">ncorrect </w:t>
      </w:r>
      <w:r w:rsidR="00E055C5">
        <w:rPr>
          <w:rFonts w:cstheme="minorHAnsi"/>
          <w:szCs w:val="22"/>
        </w:rPr>
        <w:t xml:space="preserve">facility </w:t>
      </w:r>
      <w:r w:rsidR="00455C1E">
        <w:rPr>
          <w:rFonts w:cstheme="minorHAnsi"/>
          <w:szCs w:val="22"/>
        </w:rPr>
        <w:t>type</w:t>
      </w:r>
      <w:r w:rsidR="007A6B49">
        <w:rPr>
          <w:rFonts w:cstheme="minorHAnsi"/>
          <w:szCs w:val="22"/>
        </w:rPr>
        <w:t>s</w:t>
      </w:r>
      <w:r w:rsidR="00E055C5">
        <w:rPr>
          <w:rFonts w:cstheme="minorHAnsi"/>
          <w:szCs w:val="22"/>
        </w:rPr>
        <w:t xml:space="preserve"> </w:t>
      </w:r>
      <w:r>
        <w:rPr>
          <w:rFonts w:cstheme="minorHAnsi"/>
          <w:szCs w:val="22"/>
        </w:rPr>
        <w:t>were</w:t>
      </w:r>
      <w:r w:rsidR="00602259">
        <w:rPr>
          <w:rFonts w:cstheme="minorHAnsi"/>
          <w:szCs w:val="22"/>
        </w:rPr>
        <w:t xml:space="preserve"> assigned </w:t>
      </w:r>
      <w:r w:rsidR="00065B0D">
        <w:rPr>
          <w:rFonts w:cstheme="minorHAnsi"/>
          <w:szCs w:val="22"/>
        </w:rPr>
        <w:t xml:space="preserve">in </w:t>
      </w:r>
      <w:r w:rsidR="00602259">
        <w:rPr>
          <w:rFonts w:cstheme="minorHAnsi"/>
          <w:szCs w:val="22"/>
        </w:rPr>
        <w:t>the 2012 credit analysis for the property.</w:t>
      </w:r>
      <w:r>
        <w:rPr>
          <w:rFonts w:cstheme="minorHAnsi"/>
          <w:szCs w:val="22"/>
        </w:rPr>
        <w:t xml:space="preserve"> </w:t>
      </w:r>
      <w:r w:rsidR="00602259">
        <w:rPr>
          <w:rFonts w:cstheme="minorHAnsi"/>
          <w:szCs w:val="22"/>
        </w:rPr>
        <w:t xml:space="preserve">The table below shows </w:t>
      </w:r>
      <w:r w:rsidR="00E055C5">
        <w:rPr>
          <w:rFonts w:cstheme="minorHAnsi"/>
          <w:szCs w:val="22"/>
        </w:rPr>
        <w:t xml:space="preserve">“Facility Credit” </w:t>
      </w:r>
      <w:r w:rsidR="00ED5300">
        <w:rPr>
          <w:rFonts w:cstheme="minorHAnsi"/>
          <w:szCs w:val="22"/>
        </w:rPr>
        <w:t xml:space="preserve">difference </w:t>
      </w:r>
      <w:r w:rsidR="00E055C5">
        <w:rPr>
          <w:rFonts w:cstheme="minorHAnsi"/>
          <w:szCs w:val="22"/>
        </w:rPr>
        <w:t xml:space="preserve">between the </w:t>
      </w:r>
      <w:r w:rsidR="00065B0D">
        <w:rPr>
          <w:rFonts w:cstheme="minorHAnsi"/>
          <w:szCs w:val="22"/>
        </w:rPr>
        <w:t xml:space="preserve">2012 credit analysis and current credit analysis. </w:t>
      </w:r>
    </w:p>
    <w:p w:rsidR="00D513E4" w:rsidRDefault="00D513E4" w:rsidP="004A1DF2">
      <w:pPr>
        <w:keepNext/>
        <w:keepLines/>
        <w:tabs>
          <w:tab w:val="left" w:pos="360"/>
        </w:tabs>
        <w:jc w:val="center"/>
        <w:rPr>
          <w:rFonts w:cstheme="minorHAnsi"/>
          <w:b/>
        </w:rPr>
      </w:pPr>
    </w:p>
    <w:p w:rsidR="000B2721" w:rsidRPr="000B2721" w:rsidRDefault="000B2721" w:rsidP="004A1DF2">
      <w:pPr>
        <w:keepNext/>
        <w:keepLines/>
        <w:tabs>
          <w:tab w:val="left" w:pos="360"/>
        </w:tabs>
        <w:jc w:val="center"/>
        <w:rPr>
          <w:rFonts w:cstheme="minorHAnsi"/>
          <w:b/>
        </w:rPr>
      </w:pPr>
      <w:r w:rsidRPr="000B2721">
        <w:rPr>
          <w:rFonts w:cstheme="minorHAnsi"/>
          <w:b/>
        </w:rPr>
        <w:t>Table 1 – Facility Credit</w:t>
      </w:r>
    </w:p>
    <w:p w:rsidR="000B2721" w:rsidRPr="000B2721" w:rsidRDefault="000B2721" w:rsidP="004A1DF2">
      <w:pPr>
        <w:keepNext/>
        <w:keepLines/>
        <w:tabs>
          <w:tab w:val="left" w:pos="360"/>
        </w:tabs>
        <w:rPr>
          <w:rFonts w:cstheme="minorHAnsi"/>
          <w:b/>
        </w:rPr>
      </w:pPr>
    </w:p>
    <w:tbl>
      <w:tblPr>
        <w:tblStyle w:val="TableGrid"/>
        <w:tblW w:w="0" w:type="auto"/>
        <w:tblInd w:w="607" w:type="dxa"/>
        <w:tblLook w:val="04A0" w:firstRow="1" w:lastRow="0" w:firstColumn="1" w:lastColumn="0" w:noHBand="0" w:noVBand="1"/>
      </w:tblPr>
      <w:tblGrid>
        <w:gridCol w:w="951"/>
        <w:gridCol w:w="1497"/>
        <w:gridCol w:w="2160"/>
        <w:gridCol w:w="3168"/>
        <w:gridCol w:w="1255"/>
      </w:tblGrid>
      <w:tr w:rsidR="00E512C4" w:rsidRPr="009D3C93" w:rsidTr="00566BAD">
        <w:tc>
          <w:tcPr>
            <w:tcW w:w="951" w:type="dxa"/>
            <w:vAlign w:val="center"/>
          </w:tcPr>
          <w:p w:rsidR="00E512C4" w:rsidRPr="006870D8" w:rsidRDefault="00E512C4" w:rsidP="00E512C4">
            <w:pPr>
              <w:keepNext/>
              <w:keepLines/>
              <w:spacing w:after="180"/>
              <w:jc w:val="center"/>
              <w:rPr>
                <w:b/>
                <w:color w:val="000000"/>
              </w:rPr>
            </w:pPr>
            <w:r w:rsidRPr="006870D8">
              <w:rPr>
                <w:b/>
                <w:color w:val="000000"/>
              </w:rPr>
              <w:t>Year</w:t>
            </w:r>
          </w:p>
        </w:tc>
        <w:tc>
          <w:tcPr>
            <w:tcW w:w="1497" w:type="dxa"/>
            <w:vAlign w:val="center"/>
          </w:tcPr>
          <w:p w:rsidR="00E512C4" w:rsidRPr="009D3C93" w:rsidRDefault="00E512C4" w:rsidP="00E512C4">
            <w:pPr>
              <w:keepNext/>
              <w:keepLines/>
              <w:spacing w:after="180"/>
              <w:jc w:val="center"/>
              <w:rPr>
                <w:color w:val="000000"/>
              </w:rPr>
            </w:pPr>
            <w:r>
              <w:rPr>
                <w:color w:val="000000"/>
              </w:rPr>
              <w:t>System Type</w:t>
            </w:r>
          </w:p>
        </w:tc>
        <w:tc>
          <w:tcPr>
            <w:tcW w:w="2160" w:type="dxa"/>
            <w:vAlign w:val="center"/>
          </w:tcPr>
          <w:p w:rsidR="00E512C4" w:rsidRPr="009D3C93" w:rsidRDefault="00E512C4" w:rsidP="00E512C4">
            <w:pPr>
              <w:keepNext/>
              <w:keepLines/>
              <w:spacing w:after="180"/>
              <w:jc w:val="center"/>
              <w:rPr>
                <w:color w:val="000000"/>
              </w:rPr>
            </w:pPr>
            <w:r>
              <w:rPr>
                <w:color w:val="000000"/>
              </w:rPr>
              <w:t>BMP Classification</w:t>
            </w:r>
          </w:p>
        </w:tc>
        <w:tc>
          <w:tcPr>
            <w:tcW w:w="3168" w:type="dxa"/>
            <w:vAlign w:val="center"/>
          </w:tcPr>
          <w:p w:rsidR="00E512C4" w:rsidRPr="009D3C93" w:rsidRDefault="00E512C4" w:rsidP="00E512C4">
            <w:pPr>
              <w:keepNext/>
              <w:keepLines/>
              <w:spacing w:after="180"/>
              <w:jc w:val="center"/>
              <w:rPr>
                <w:color w:val="000000"/>
              </w:rPr>
            </w:pPr>
            <w:r w:rsidRPr="009D3C93">
              <w:rPr>
                <w:color w:val="000000"/>
              </w:rPr>
              <w:t>Facility Type</w:t>
            </w:r>
          </w:p>
        </w:tc>
        <w:tc>
          <w:tcPr>
            <w:tcW w:w="1255" w:type="dxa"/>
            <w:vAlign w:val="center"/>
          </w:tcPr>
          <w:p w:rsidR="00E512C4" w:rsidRPr="009D3C93" w:rsidRDefault="00E512C4" w:rsidP="00E512C4">
            <w:pPr>
              <w:keepNext/>
              <w:keepLines/>
              <w:spacing w:after="180"/>
              <w:jc w:val="center"/>
              <w:rPr>
                <w:color w:val="000000"/>
              </w:rPr>
            </w:pPr>
            <w:r w:rsidRPr="009D3C93">
              <w:rPr>
                <w:color w:val="000000"/>
              </w:rPr>
              <w:t>Facility Credit</w:t>
            </w:r>
          </w:p>
        </w:tc>
      </w:tr>
      <w:tr w:rsidR="00E512C4" w:rsidRPr="00593766" w:rsidTr="00566BAD">
        <w:tc>
          <w:tcPr>
            <w:tcW w:w="951" w:type="dxa"/>
            <w:vMerge w:val="restart"/>
            <w:vAlign w:val="center"/>
          </w:tcPr>
          <w:p w:rsidR="00E512C4" w:rsidRPr="006870D8" w:rsidRDefault="00E512C4" w:rsidP="00E512C4">
            <w:pPr>
              <w:keepNext/>
              <w:keepLines/>
              <w:spacing w:after="180"/>
              <w:jc w:val="center"/>
              <w:rPr>
                <w:b/>
                <w:color w:val="000000"/>
              </w:rPr>
            </w:pPr>
            <w:r w:rsidRPr="006870D8">
              <w:rPr>
                <w:b/>
                <w:color w:val="000000"/>
              </w:rPr>
              <w:t>2012</w:t>
            </w:r>
          </w:p>
        </w:tc>
        <w:tc>
          <w:tcPr>
            <w:tcW w:w="1497" w:type="dxa"/>
            <w:vAlign w:val="center"/>
          </w:tcPr>
          <w:p w:rsidR="00E512C4" w:rsidRDefault="00E512C4" w:rsidP="00E512C4">
            <w:pPr>
              <w:keepNext/>
              <w:keepLines/>
              <w:spacing w:after="180"/>
              <w:jc w:val="center"/>
              <w:rPr>
                <w:color w:val="000000"/>
              </w:rPr>
            </w:pPr>
            <w:r>
              <w:rPr>
                <w:color w:val="000000"/>
              </w:rPr>
              <w:t>Water Quality</w:t>
            </w:r>
          </w:p>
        </w:tc>
        <w:tc>
          <w:tcPr>
            <w:tcW w:w="2160" w:type="dxa"/>
            <w:vAlign w:val="center"/>
          </w:tcPr>
          <w:p w:rsidR="00E512C4" w:rsidRDefault="00566BAD" w:rsidP="00E512C4">
            <w:pPr>
              <w:keepNext/>
              <w:keepLines/>
              <w:spacing w:after="180"/>
              <w:jc w:val="center"/>
              <w:rPr>
                <w:color w:val="000000"/>
              </w:rPr>
            </w:pPr>
            <w:r>
              <w:rPr>
                <w:color w:val="000000"/>
              </w:rPr>
              <w:t xml:space="preserve">Water Quality - </w:t>
            </w:r>
            <w:r w:rsidR="00E512C4">
              <w:rPr>
                <w:color w:val="000000"/>
              </w:rPr>
              <w:t>Level 2</w:t>
            </w:r>
          </w:p>
        </w:tc>
        <w:tc>
          <w:tcPr>
            <w:tcW w:w="3168" w:type="dxa"/>
            <w:vAlign w:val="center"/>
          </w:tcPr>
          <w:p w:rsidR="00E512C4" w:rsidRPr="00593766" w:rsidRDefault="00E512C4" w:rsidP="00E512C4">
            <w:pPr>
              <w:keepNext/>
              <w:keepLines/>
              <w:spacing w:after="180"/>
              <w:jc w:val="center"/>
              <w:rPr>
                <w:color w:val="000000"/>
              </w:rPr>
            </w:pPr>
            <w:proofErr w:type="spellStart"/>
            <w:r>
              <w:rPr>
                <w:color w:val="000000"/>
              </w:rPr>
              <w:t>Wetponds</w:t>
            </w:r>
            <w:proofErr w:type="spellEnd"/>
            <w:r>
              <w:rPr>
                <w:color w:val="000000"/>
              </w:rPr>
              <w:t xml:space="preserve">, </w:t>
            </w:r>
            <w:proofErr w:type="spellStart"/>
            <w:r>
              <w:rPr>
                <w:color w:val="000000"/>
              </w:rPr>
              <w:t>Bioswales</w:t>
            </w:r>
            <w:proofErr w:type="spellEnd"/>
            <w:r>
              <w:rPr>
                <w:color w:val="000000"/>
              </w:rPr>
              <w:t>, Filter Strips</w:t>
            </w:r>
          </w:p>
        </w:tc>
        <w:tc>
          <w:tcPr>
            <w:tcW w:w="1255" w:type="dxa"/>
            <w:vAlign w:val="center"/>
          </w:tcPr>
          <w:p w:rsidR="00E512C4" w:rsidRPr="00593766" w:rsidRDefault="00E512C4" w:rsidP="00E512C4">
            <w:pPr>
              <w:keepNext/>
              <w:keepLines/>
              <w:spacing w:after="180"/>
              <w:jc w:val="center"/>
              <w:rPr>
                <w:color w:val="000000"/>
              </w:rPr>
            </w:pPr>
            <w:r>
              <w:rPr>
                <w:color w:val="000000"/>
              </w:rPr>
              <w:t>27%</w:t>
            </w:r>
          </w:p>
        </w:tc>
      </w:tr>
      <w:tr w:rsidR="00E512C4" w:rsidRPr="00593766" w:rsidTr="00566BAD">
        <w:tc>
          <w:tcPr>
            <w:tcW w:w="951" w:type="dxa"/>
            <w:vMerge/>
            <w:vAlign w:val="center"/>
          </w:tcPr>
          <w:p w:rsidR="00E512C4" w:rsidRPr="006870D8" w:rsidRDefault="00E512C4" w:rsidP="00E512C4">
            <w:pPr>
              <w:keepNext/>
              <w:keepLines/>
              <w:spacing w:after="180"/>
              <w:jc w:val="center"/>
              <w:rPr>
                <w:b/>
                <w:color w:val="000000"/>
              </w:rPr>
            </w:pPr>
          </w:p>
        </w:tc>
        <w:tc>
          <w:tcPr>
            <w:tcW w:w="1497" w:type="dxa"/>
            <w:vAlign w:val="center"/>
          </w:tcPr>
          <w:p w:rsidR="00E512C4" w:rsidRDefault="00E512C4" w:rsidP="00E512C4">
            <w:pPr>
              <w:keepNext/>
              <w:keepLines/>
              <w:spacing w:after="180"/>
              <w:jc w:val="center"/>
              <w:rPr>
                <w:color w:val="000000"/>
              </w:rPr>
            </w:pPr>
            <w:r>
              <w:rPr>
                <w:color w:val="000000"/>
              </w:rPr>
              <w:t>Flow Control</w:t>
            </w:r>
          </w:p>
        </w:tc>
        <w:tc>
          <w:tcPr>
            <w:tcW w:w="2160" w:type="dxa"/>
            <w:vAlign w:val="center"/>
          </w:tcPr>
          <w:p w:rsidR="00E512C4" w:rsidRDefault="00566BAD" w:rsidP="00E512C4">
            <w:pPr>
              <w:keepNext/>
              <w:keepLines/>
              <w:spacing w:after="180"/>
              <w:jc w:val="center"/>
              <w:rPr>
                <w:color w:val="000000"/>
              </w:rPr>
            </w:pPr>
            <w:r>
              <w:rPr>
                <w:color w:val="000000"/>
              </w:rPr>
              <w:t xml:space="preserve">Flow Control - </w:t>
            </w:r>
            <w:r w:rsidR="00E512C4">
              <w:rPr>
                <w:color w:val="000000"/>
              </w:rPr>
              <w:t>Level 2</w:t>
            </w:r>
          </w:p>
        </w:tc>
        <w:tc>
          <w:tcPr>
            <w:tcW w:w="3168" w:type="dxa"/>
            <w:vAlign w:val="center"/>
          </w:tcPr>
          <w:p w:rsidR="00E512C4" w:rsidRDefault="00E512C4" w:rsidP="00E512C4">
            <w:pPr>
              <w:keepNext/>
              <w:keepLines/>
              <w:spacing w:after="180"/>
              <w:jc w:val="center"/>
              <w:rPr>
                <w:color w:val="000000"/>
              </w:rPr>
            </w:pPr>
            <w:r>
              <w:rPr>
                <w:color w:val="000000"/>
              </w:rPr>
              <w:t>Cistern, Vaults, Detention pope or surface, Detention with impermeable liner</w:t>
            </w:r>
          </w:p>
        </w:tc>
        <w:tc>
          <w:tcPr>
            <w:tcW w:w="1255" w:type="dxa"/>
            <w:vAlign w:val="center"/>
          </w:tcPr>
          <w:p w:rsidR="00E512C4" w:rsidRDefault="00E512C4" w:rsidP="00E512C4">
            <w:pPr>
              <w:keepNext/>
              <w:keepLines/>
              <w:spacing w:after="180"/>
              <w:jc w:val="center"/>
              <w:rPr>
                <w:color w:val="000000"/>
              </w:rPr>
            </w:pPr>
            <w:r>
              <w:rPr>
                <w:color w:val="000000"/>
              </w:rPr>
              <w:t>20%</w:t>
            </w:r>
          </w:p>
        </w:tc>
      </w:tr>
    </w:tbl>
    <w:p w:rsidR="00600E9E" w:rsidRDefault="00600E9E"/>
    <w:tbl>
      <w:tblPr>
        <w:tblStyle w:val="TableGrid"/>
        <w:tblW w:w="0" w:type="auto"/>
        <w:tblInd w:w="607" w:type="dxa"/>
        <w:tblLook w:val="04A0" w:firstRow="1" w:lastRow="0" w:firstColumn="1" w:lastColumn="0" w:noHBand="0" w:noVBand="1"/>
      </w:tblPr>
      <w:tblGrid>
        <w:gridCol w:w="951"/>
        <w:gridCol w:w="1497"/>
        <w:gridCol w:w="2160"/>
        <w:gridCol w:w="3168"/>
        <w:gridCol w:w="1255"/>
      </w:tblGrid>
      <w:tr w:rsidR="00E512C4" w:rsidRPr="00593766" w:rsidTr="00566BAD">
        <w:tc>
          <w:tcPr>
            <w:tcW w:w="951" w:type="dxa"/>
            <w:vMerge w:val="restart"/>
            <w:vAlign w:val="center"/>
          </w:tcPr>
          <w:p w:rsidR="00E512C4" w:rsidRPr="006870D8" w:rsidRDefault="00E512C4" w:rsidP="00E512C4">
            <w:pPr>
              <w:keepNext/>
              <w:keepLines/>
              <w:spacing w:after="180"/>
              <w:jc w:val="center"/>
              <w:rPr>
                <w:b/>
                <w:color w:val="000000"/>
              </w:rPr>
            </w:pPr>
            <w:r w:rsidRPr="006870D8">
              <w:rPr>
                <w:b/>
                <w:color w:val="000000"/>
              </w:rPr>
              <w:t>2015</w:t>
            </w:r>
          </w:p>
        </w:tc>
        <w:tc>
          <w:tcPr>
            <w:tcW w:w="1497" w:type="dxa"/>
            <w:vAlign w:val="center"/>
          </w:tcPr>
          <w:p w:rsidR="00E512C4" w:rsidRDefault="00E512C4" w:rsidP="00E512C4">
            <w:pPr>
              <w:keepNext/>
              <w:keepLines/>
              <w:spacing w:after="180"/>
              <w:jc w:val="center"/>
              <w:rPr>
                <w:color w:val="000000"/>
              </w:rPr>
            </w:pPr>
            <w:r>
              <w:rPr>
                <w:color w:val="000000"/>
              </w:rPr>
              <w:t>Water Quality</w:t>
            </w:r>
          </w:p>
        </w:tc>
        <w:tc>
          <w:tcPr>
            <w:tcW w:w="2160" w:type="dxa"/>
            <w:vAlign w:val="center"/>
          </w:tcPr>
          <w:p w:rsidR="00E512C4" w:rsidRDefault="00566BAD" w:rsidP="00E512C4">
            <w:pPr>
              <w:keepNext/>
              <w:keepLines/>
              <w:spacing w:after="180"/>
              <w:jc w:val="center"/>
              <w:rPr>
                <w:color w:val="000000"/>
              </w:rPr>
            </w:pPr>
            <w:r>
              <w:rPr>
                <w:color w:val="000000"/>
              </w:rPr>
              <w:t xml:space="preserve">Water Quality - </w:t>
            </w:r>
            <w:r w:rsidR="00E512C4">
              <w:rPr>
                <w:color w:val="000000"/>
              </w:rPr>
              <w:t>Level 2</w:t>
            </w:r>
          </w:p>
        </w:tc>
        <w:tc>
          <w:tcPr>
            <w:tcW w:w="3168" w:type="dxa"/>
            <w:vAlign w:val="center"/>
          </w:tcPr>
          <w:p w:rsidR="00E512C4" w:rsidRDefault="00E512C4" w:rsidP="00E512C4">
            <w:pPr>
              <w:keepNext/>
              <w:keepLines/>
              <w:spacing w:after="180"/>
              <w:jc w:val="center"/>
              <w:rPr>
                <w:color w:val="000000"/>
              </w:rPr>
            </w:pPr>
            <w:proofErr w:type="spellStart"/>
            <w:r>
              <w:rPr>
                <w:color w:val="000000"/>
              </w:rPr>
              <w:t>Wetpond</w:t>
            </w:r>
            <w:proofErr w:type="spellEnd"/>
            <w:r>
              <w:rPr>
                <w:color w:val="000000"/>
              </w:rPr>
              <w:t xml:space="preserve">, </w:t>
            </w:r>
            <w:proofErr w:type="spellStart"/>
            <w:r>
              <w:rPr>
                <w:color w:val="000000"/>
              </w:rPr>
              <w:t>Bioswales</w:t>
            </w:r>
            <w:proofErr w:type="spellEnd"/>
            <w:r>
              <w:rPr>
                <w:color w:val="000000"/>
              </w:rPr>
              <w:t>, Filter strips</w:t>
            </w:r>
          </w:p>
        </w:tc>
        <w:tc>
          <w:tcPr>
            <w:tcW w:w="1255" w:type="dxa"/>
            <w:vAlign w:val="center"/>
          </w:tcPr>
          <w:p w:rsidR="00E512C4" w:rsidRDefault="00E512C4" w:rsidP="00E512C4">
            <w:pPr>
              <w:keepNext/>
              <w:keepLines/>
              <w:spacing w:after="180"/>
              <w:jc w:val="center"/>
              <w:rPr>
                <w:color w:val="000000"/>
              </w:rPr>
            </w:pPr>
            <w:r>
              <w:rPr>
                <w:color w:val="000000"/>
              </w:rPr>
              <w:t>27%</w:t>
            </w:r>
          </w:p>
        </w:tc>
      </w:tr>
      <w:tr w:rsidR="00E512C4" w:rsidRPr="00593766" w:rsidTr="00566BAD">
        <w:tc>
          <w:tcPr>
            <w:tcW w:w="951" w:type="dxa"/>
            <w:vMerge/>
            <w:vAlign w:val="center"/>
          </w:tcPr>
          <w:p w:rsidR="00E512C4" w:rsidRPr="006870D8" w:rsidRDefault="00E512C4" w:rsidP="00E512C4">
            <w:pPr>
              <w:keepNext/>
              <w:keepLines/>
              <w:spacing w:after="180"/>
              <w:jc w:val="center"/>
              <w:rPr>
                <w:b/>
                <w:color w:val="000000"/>
              </w:rPr>
            </w:pPr>
          </w:p>
        </w:tc>
        <w:tc>
          <w:tcPr>
            <w:tcW w:w="1497" w:type="dxa"/>
            <w:vAlign w:val="center"/>
          </w:tcPr>
          <w:p w:rsidR="00E512C4" w:rsidRDefault="00E512C4" w:rsidP="00E512C4">
            <w:pPr>
              <w:keepNext/>
              <w:keepLines/>
              <w:spacing w:after="180"/>
              <w:jc w:val="center"/>
              <w:rPr>
                <w:color w:val="000000"/>
              </w:rPr>
            </w:pPr>
            <w:r>
              <w:rPr>
                <w:color w:val="000000"/>
              </w:rPr>
              <w:t>Water Quality</w:t>
            </w:r>
          </w:p>
        </w:tc>
        <w:tc>
          <w:tcPr>
            <w:tcW w:w="2160" w:type="dxa"/>
            <w:vAlign w:val="center"/>
          </w:tcPr>
          <w:p w:rsidR="00E512C4" w:rsidRDefault="00566BAD" w:rsidP="00E512C4">
            <w:pPr>
              <w:keepNext/>
              <w:keepLines/>
              <w:spacing w:after="180"/>
              <w:jc w:val="center"/>
              <w:rPr>
                <w:color w:val="000000"/>
              </w:rPr>
            </w:pPr>
            <w:r>
              <w:rPr>
                <w:color w:val="000000"/>
              </w:rPr>
              <w:t xml:space="preserve">Water Quality - </w:t>
            </w:r>
            <w:r w:rsidR="00E512C4">
              <w:rPr>
                <w:color w:val="000000"/>
              </w:rPr>
              <w:t>Level 3</w:t>
            </w:r>
          </w:p>
        </w:tc>
        <w:tc>
          <w:tcPr>
            <w:tcW w:w="3168" w:type="dxa"/>
            <w:vAlign w:val="center"/>
          </w:tcPr>
          <w:p w:rsidR="00E512C4" w:rsidRDefault="00E512C4" w:rsidP="00E512C4">
            <w:pPr>
              <w:keepNext/>
              <w:keepLines/>
              <w:spacing w:after="180"/>
              <w:jc w:val="center"/>
              <w:rPr>
                <w:color w:val="000000"/>
              </w:rPr>
            </w:pPr>
            <w:r>
              <w:rPr>
                <w:color w:val="000000"/>
              </w:rPr>
              <w:t xml:space="preserve">Sand Filter, </w:t>
            </w:r>
            <w:proofErr w:type="spellStart"/>
            <w:r>
              <w:rPr>
                <w:color w:val="000000"/>
              </w:rPr>
              <w:t>Bioretention</w:t>
            </w:r>
            <w:proofErr w:type="spellEnd"/>
            <w:r>
              <w:rPr>
                <w:color w:val="000000"/>
              </w:rPr>
              <w:t xml:space="preserve"> or Pervious Pavement without underdrain, </w:t>
            </w:r>
            <w:proofErr w:type="spellStart"/>
            <w:r>
              <w:rPr>
                <w:color w:val="000000"/>
              </w:rPr>
              <w:t>Bioretention</w:t>
            </w:r>
            <w:proofErr w:type="spellEnd"/>
            <w:r>
              <w:rPr>
                <w:color w:val="000000"/>
              </w:rPr>
              <w:t xml:space="preserve"> with underdrain</w:t>
            </w:r>
          </w:p>
        </w:tc>
        <w:tc>
          <w:tcPr>
            <w:tcW w:w="1255" w:type="dxa"/>
            <w:vAlign w:val="center"/>
          </w:tcPr>
          <w:p w:rsidR="00E512C4" w:rsidRDefault="00E512C4" w:rsidP="00E512C4">
            <w:pPr>
              <w:keepNext/>
              <w:keepLines/>
              <w:spacing w:after="180"/>
              <w:jc w:val="center"/>
              <w:rPr>
                <w:color w:val="000000"/>
              </w:rPr>
            </w:pPr>
            <w:r>
              <w:rPr>
                <w:color w:val="000000"/>
              </w:rPr>
              <w:t>48%</w:t>
            </w:r>
          </w:p>
        </w:tc>
      </w:tr>
      <w:tr w:rsidR="00E512C4" w:rsidRPr="00593766" w:rsidTr="00566BAD">
        <w:tc>
          <w:tcPr>
            <w:tcW w:w="951" w:type="dxa"/>
            <w:vMerge/>
            <w:vAlign w:val="center"/>
          </w:tcPr>
          <w:p w:rsidR="00E512C4" w:rsidRPr="006870D8" w:rsidRDefault="00E512C4" w:rsidP="00E512C4">
            <w:pPr>
              <w:keepNext/>
              <w:keepLines/>
              <w:spacing w:after="180"/>
              <w:jc w:val="center"/>
              <w:rPr>
                <w:b/>
                <w:color w:val="000000"/>
              </w:rPr>
            </w:pPr>
          </w:p>
        </w:tc>
        <w:tc>
          <w:tcPr>
            <w:tcW w:w="1497" w:type="dxa"/>
            <w:vAlign w:val="center"/>
          </w:tcPr>
          <w:p w:rsidR="00E512C4" w:rsidRDefault="00E512C4" w:rsidP="00E512C4">
            <w:pPr>
              <w:keepNext/>
              <w:keepLines/>
              <w:spacing w:after="180"/>
              <w:jc w:val="center"/>
              <w:rPr>
                <w:color w:val="000000"/>
              </w:rPr>
            </w:pPr>
            <w:r>
              <w:rPr>
                <w:color w:val="000000"/>
              </w:rPr>
              <w:t>Flow Control</w:t>
            </w:r>
          </w:p>
        </w:tc>
        <w:tc>
          <w:tcPr>
            <w:tcW w:w="2160" w:type="dxa"/>
            <w:vAlign w:val="center"/>
          </w:tcPr>
          <w:p w:rsidR="00E512C4" w:rsidRDefault="00566BAD" w:rsidP="00E512C4">
            <w:pPr>
              <w:keepNext/>
              <w:keepLines/>
              <w:spacing w:after="180"/>
              <w:jc w:val="center"/>
              <w:rPr>
                <w:color w:val="000000"/>
              </w:rPr>
            </w:pPr>
            <w:r>
              <w:rPr>
                <w:color w:val="000000"/>
              </w:rPr>
              <w:t xml:space="preserve">Flow Control - </w:t>
            </w:r>
            <w:r w:rsidR="00E512C4">
              <w:rPr>
                <w:color w:val="000000"/>
              </w:rPr>
              <w:t>Level 2</w:t>
            </w:r>
          </w:p>
        </w:tc>
        <w:tc>
          <w:tcPr>
            <w:tcW w:w="3168" w:type="dxa"/>
            <w:vAlign w:val="center"/>
          </w:tcPr>
          <w:p w:rsidR="00E512C4" w:rsidRDefault="00E512C4" w:rsidP="00E512C4">
            <w:pPr>
              <w:keepNext/>
              <w:keepLines/>
              <w:spacing w:after="180"/>
              <w:jc w:val="center"/>
              <w:rPr>
                <w:color w:val="000000"/>
              </w:rPr>
            </w:pPr>
            <w:r>
              <w:rPr>
                <w:color w:val="000000"/>
              </w:rPr>
              <w:t>Cistern, Vaults, Detention pope or surface, Detention with impermeable liner</w:t>
            </w:r>
          </w:p>
        </w:tc>
        <w:tc>
          <w:tcPr>
            <w:tcW w:w="1255" w:type="dxa"/>
            <w:vAlign w:val="center"/>
          </w:tcPr>
          <w:p w:rsidR="00E512C4" w:rsidRDefault="00E512C4" w:rsidP="00E512C4">
            <w:pPr>
              <w:keepNext/>
              <w:keepLines/>
              <w:spacing w:after="180"/>
              <w:jc w:val="center"/>
              <w:rPr>
                <w:color w:val="000000"/>
              </w:rPr>
            </w:pPr>
            <w:r>
              <w:rPr>
                <w:color w:val="000000"/>
              </w:rPr>
              <w:t>20%</w:t>
            </w:r>
          </w:p>
        </w:tc>
      </w:tr>
      <w:tr w:rsidR="00E512C4" w:rsidRPr="00593766" w:rsidTr="00566BAD">
        <w:tc>
          <w:tcPr>
            <w:tcW w:w="951" w:type="dxa"/>
            <w:vMerge/>
            <w:vAlign w:val="center"/>
          </w:tcPr>
          <w:p w:rsidR="00E512C4" w:rsidRPr="006870D8" w:rsidRDefault="00E512C4" w:rsidP="00E512C4">
            <w:pPr>
              <w:keepNext/>
              <w:keepLines/>
              <w:spacing w:after="180"/>
              <w:jc w:val="center"/>
              <w:rPr>
                <w:b/>
                <w:color w:val="000000"/>
              </w:rPr>
            </w:pPr>
          </w:p>
        </w:tc>
        <w:tc>
          <w:tcPr>
            <w:tcW w:w="1497" w:type="dxa"/>
            <w:vAlign w:val="center"/>
          </w:tcPr>
          <w:p w:rsidR="00E512C4" w:rsidRDefault="00E512C4" w:rsidP="00E512C4">
            <w:pPr>
              <w:keepNext/>
              <w:keepLines/>
              <w:spacing w:after="180"/>
              <w:jc w:val="center"/>
              <w:rPr>
                <w:color w:val="000000"/>
              </w:rPr>
            </w:pPr>
            <w:r>
              <w:rPr>
                <w:color w:val="000000"/>
              </w:rPr>
              <w:t>Flow Control</w:t>
            </w:r>
          </w:p>
        </w:tc>
        <w:tc>
          <w:tcPr>
            <w:tcW w:w="2160" w:type="dxa"/>
            <w:vAlign w:val="center"/>
          </w:tcPr>
          <w:p w:rsidR="00E512C4" w:rsidRDefault="00566BAD" w:rsidP="00E512C4">
            <w:pPr>
              <w:keepNext/>
              <w:keepLines/>
              <w:spacing w:after="180"/>
              <w:jc w:val="center"/>
              <w:rPr>
                <w:color w:val="000000"/>
              </w:rPr>
            </w:pPr>
            <w:r>
              <w:rPr>
                <w:color w:val="000000"/>
              </w:rPr>
              <w:t xml:space="preserve">Flow Control - </w:t>
            </w:r>
            <w:r w:rsidR="00E512C4">
              <w:rPr>
                <w:color w:val="000000"/>
              </w:rPr>
              <w:t>Level 3</w:t>
            </w:r>
          </w:p>
        </w:tc>
        <w:tc>
          <w:tcPr>
            <w:tcW w:w="3168" w:type="dxa"/>
            <w:vAlign w:val="center"/>
          </w:tcPr>
          <w:p w:rsidR="00E512C4" w:rsidRDefault="00E512C4" w:rsidP="00E512C4">
            <w:pPr>
              <w:keepNext/>
              <w:keepLines/>
              <w:spacing w:after="180"/>
              <w:jc w:val="center"/>
              <w:rPr>
                <w:color w:val="000000"/>
              </w:rPr>
            </w:pPr>
            <w:r>
              <w:rPr>
                <w:color w:val="000000"/>
              </w:rPr>
              <w:t>Surface Detention</w:t>
            </w:r>
          </w:p>
        </w:tc>
        <w:tc>
          <w:tcPr>
            <w:tcW w:w="1255" w:type="dxa"/>
            <w:vAlign w:val="center"/>
          </w:tcPr>
          <w:p w:rsidR="00E512C4" w:rsidRDefault="00E512C4" w:rsidP="00E512C4">
            <w:pPr>
              <w:keepNext/>
              <w:keepLines/>
              <w:spacing w:after="180"/>
              <w:jc w:val="center"/>
              <w:rPr>
                <w:color w:val="000000"/>
              </w:rPr>
            </w:pPr>
            <w:r>
              <w:rPr>
                <w:color w:val="000000"/>
              </w:rPr>
              <w:t>22%</w:t>
            </w:r>
          </w:p>
        </w:tc>
      </w:tr>
      <w:tr w:rsidR="00E512C4" w:rsidRPr="00593766" w:rsidTr="00566BAD">
        <w:tc>
          <w:tcPr>
            <w:tcW w:w="951" w:type="dxa"/>
            <w:vMerge/>
            <w:vAlign w:val="center"/>
          </w:tcPr>
          <w:p w:rsidR="00E512C4" w:rsidRPr="006870D8" w:rsidRDefault="00E512C4" w:rsidP="00E512C4">
            <w:pPr>
              <w:keepNext/>
              <w:keepLines/>
              <w:spacing w:after="180"/>
              <w:jc w:val="center"/>
              <w:rPr>
                <w:b/>
                <w:color w:val="000000"/>
              </w:rPr>
            </w:pPr>
          </w:p>
        </w:tc>
        <w:tc>
          <w:tcPr>
            <w:tcW w:w="1497" w:type="dxa"/>
            <w:vAlign w:val="center"/>
          </w:tcPr>
          <w:p w:rsidR="00E512C4" w:rsidRDefault="00E512C4" w:rsidP="00E512C4">
            <w:pPr>
              <w:keepNext/>
              <w:keepLines/>
              <w:spacing w:after="180"/>
              <w:jc w:val="center"/>
              <w:rPr>
                <w:color w:val="000000"/>
              </w:rPr>
            </w:pPr>
            <w:r>
              <w:rPr>
                <w:color w:val="000000"/>
              </w:rPr>
              <w:t>Flow Control</w:t>
            </w:r>
          </w:p>
        </w:tc>
        <w:tc>
          <w:tcPr>
            <w:tcW w:w="2160" w:type="dxa"/>
            <w:vAlign w:val="center"/>
          </w:tcPr>
          <w:p w:rsidR="00E512C4" w:rsidRDefault="00566BAD" w:rsidP="00E512C4">
            <w:pPr>
              <w:keepNext/>
              <w:keepLines/>
              <w:spacing w:after="180"/>
              <w:jc w:val="center"/>
              <w:rPr>
                <w:color w:val="000000"/>
              </w:rPr>
            </w:pPr>
            <w:r>
              <w:rPr>
                <w:color w:val="000000"/>
              </w:rPr>
              <w:t xml:space="preserve">Flow Control - </w:t>
            </w:r>
            <w:r w:rsidR="00E512C4">
              <w:rPr>
                <w:color w:val="000000"/>
              </w:rPr>
              <w:t>Level 5</w:t>
            </w:r>
          </w:p>
        </w:tc>
        <w:tc>
          <w:tcPr>
            <w:tcW w:w="3168" w:type="dxa"/>
            <w:vAlign w:val="center"/>
          </w:tcPr>
          <w:p w:rsidR="00E512C4" w:rsidRDefault="00E512C4" w:rsidP="00E512C4">
            <w:pPr>
              <w:keepNext/>
              <w:keepLines/>
              <w:spacing w:after="180"/>
              <w:jc w:val="center"/>
              <w:rPr>
                <w:color w:val="000000"/>
              </w:rPr>
            </w:pPr>
            <w:r>
              <w:rPr>
                <w:color w:val="000000"/>
              </w:rPr>
              <w:t xml:space="preserve">Infiltration trench, Dry Well, </w:t>
            </w:r>
            <w:proofErr w:type="spellStart"/>
            <w:r>
              <w:rPr>
                <w:color w:val="000000"/>
              </w:rPr>
              <w:t>Bioretention</w:t>
            </w:r>
            <w:proofErr w:type="spellEnd"/>
            <w:r>
              <w:rPr>
                <w:color w:val="000000"/>
              </w:rPr>
              <w:t xml:space="preserve"> (cell or planter) or Pervious Pavement facility all without underdrains</w:t>
            </w:r>
          </w:p>
        </w:tc>
        <w:tc>
          <w:tcPr>
            <w:tcW w:w="1255" w:type="dxa"/>
            <w:vAlign w:val="center"/>
          </w:tcPr>
          <w:p w:rsidR="00E512C4" w:rsidRDefault="00E512C4" w:rsidP="00E512C4">
            <w:pPr>
              <w:keepNext/>
              <w:keepLines/>
              <w:spacing w:after="180"/>
              <w:jc w:val="center"/>
              <w:rPr>
                <w:color w:val="000000"/>
              </w:rPr>
            </w:pPr>
            <w:r>
              <w:rPr>
                <w:color w:val="000000"/>
              </w:rPr>
              <w:t>46%</w:t>
            </w:r>
          </w:p>
        </w:tc>
      </w:tr>
    </w:tbl>
    <w:p w:rsidR="00E20704" w:rsidRDefault="00E20704" w:rsidP="001A21EA">
      <w:pPr>
        <w:pStyle w:val="CommentText"/>
      </w:pPr>
    </w:p>
    <w:p w:rsidR="00E20704" w:rsidRDefault="00E20704" w:rsidP="001A21EA">
      <w:pPr>
        <w:pStyle w:val="CommentText"/>
      </w:pPr>
    </w:p>
    <w:p w:rsidR="001A21EA" w:rsidRDefault="001A21EA" w:rsidP="006870D8">
      <w:pPr>
        <w:pStyle w:val="ListParagraph"/>
        <w:numPr>
          <w:ilvl w:val="0"/>
          <w:numId w:val="6"/>
        </w:numPr>
        <w:spacing w:after="180" w:line="276" w:lineRule="auto"/>
        <w:rPr>
          <w:rFonts w:cstheme="minorHAnsi"/>
          <w:szCs w:val="22"/>
        </w:rPr>
      </w:pPr>
      <w:r w:rsidRPr="00602259">
        <w:rPr>
          <w:rFonts w:cstheme="minorHAnsi"/>
          <w:b/>
          <w:szCs w:val="22"/>
        </w:rPr>
        <w:t>Percentage of impervious surface managed:</w:t>
      </w:r>
      <w:r w:rsidRPr="00602259">
        <w:rPr>
          <w:rFonts w:cstheme="minorHAnsi"/>
          <w:szCs w:val="22"/>
        </w:rPr>
        <w:t xml:space="preserve"> Facilities do not always manage all of the runoff from a particular property. The </w:t>
      </w:r>
      <w:proofErr w:type="spellStart"/>
      <w:r w:rsidRPr="00602259">
        <w:rPr>
          <w:rFonts w:cstheme="minorHAnsi"/>
          <w:szCs w:val="22"/>
        </w:rPr>
        <w:t>stormwater</w:t>
      </w:r>
      <w:proofErr w:type="spellEnd"/>
      <w:r w:rsidRPr="00602259">
        <w:rPr>
          <w:rFonts w:cstheme="minorHAnsi"/>
          <w:szCs w:val="22"/>
        </w:rPr>
        <w:t xml:space="preserve"> facility credit therefore </w:t>
      </w:r>
      <w:r w:rsidR="00ED5300">
        <w:rPr>
          <w:rFonts w:cstheme="minorHAnsi"/>
          <w:szCs w:val="22"/>
        </w:rPr>
        <w:t xml:space="preserve">is </w:t>
      </w:r>
      <w:r w:rsidRPr="00602259">
        <w:rPr>
          <w:rFonts w:cstheme="minorHAnsi"/>
          <w:szCs w:val="22"/>
        </w:rPr>
        <w:t xml:space="preserve">adjusted to reflect the percentage of total impervious surface managed.  </w:t>
      </w:r>
    </w:p>
    <w:p w:rsidR="00602259" w:rsidRDefault="00602259" w:rsidP="006870D8">
      <w:pPr>
        <w:pStyle w:val="ListParagraph"/>
        <w:spacing w:after="180" w:line="276" w:lineRule="auto"/>
        <w:ind w:left="360"/>
        <w:rPr>
          <w:rFonts w:cstheme="minorHAnsi"/>
          <w:b/>
          <w:szCs w:val="22"/>
        </w:rPr>
      </w:pPr>
    </w:p>
    <w:p w:rsidR="00ED5300" w:rsidRDefault="00782C43" w:rsidP="006870D8">
      <w:pPr>
        <w:pStyle w:val="ListParagraph"/>
        <w:spacing w:after="180" w:line="276" w:lineRule="auto"/>
        <w:ind w:left="360"/>
        <w:rPr>
          <w:rFonts w:cstheme="minorHAnsi"/>
          <w:szCs w:val="22"/>
        </w:rPr>
      </w:pPr>
      <w:r>
        <w:rPr>
          <w:rFonts w:cstheme="minorHAnsi"/>
          <w:szCs w:val="22"/>
        </w:rPr>
        <w:t>Depending o</w:t>
      </w:r>
      <w:r w:rsidR="007A6B49">
        <w:rPr>
          <w:rFonts w:cstheme="minorHAnsi"/>
          <w:szCs w:val="22"/>
        </w:rPr>
        <w:t xml:space="preserve">n the type of </w:t>
      </w:r>
      <w:proofErr w:type="spellStart"/>
      <w:r w:rsidR="007A6B49">
        <w:rPr>
          <w:rFonts w:cstheme="minorHAnsi"/>
          <w:szCs w:val="22"/>
        </w:rPr>
        <w:t>stormwater</w:t>
      </w:r>
      <w:proofErr w:type="spellEnd"/>
      <w:r w:rsidR="007A6B49">
        <w:rPr>
          <w:rFonts w:cstheme="minorHAnsi"/>
          <w:szCs w:val="22"/>
        </w:rPr>
        <w:t xml:space="preserve"> system</w:t>
      </w:r>
      <w:r w:rsidR="00ED5300">
        <w:rPr>
          <w:rFonts w:cstheme="minorHAnsi"/>
          <w:szCs w:val="22"/>
        </w:rPr>
        <w:t>,</w:t>
      </w:r>
      <w:r>
        <w:rPr>
          <w:rFonts w:cstheme="minorHAnsi"/>
          <w:szCs w:val="22"/>
        </w:rPr>
        <w:t xml:space="preserve"> different systems manage the rainwater differently. Some systems are designed to slow down the flow of </w:t>
      </w:r>
      <w:r w:rsidR="00347D96">
        <w:rPr>
          <w:rFonts w:cstheme="minorHAnsi"/>
          <w:szCs w:val="22"/>
        </w:rPr>
        <w:t>rainwater</w:t>
      </w:r>
      <w:r>
        <w:rPr>
          <w:rFonts w:cstheme="minorHAnsi"/>
          <w:szCs w:val="22"/>
        </w:rPr>
        <w:t xml:space="preserve"> </w:t>
      </w:r>
      <w:r w:rsidR="00347D96">
        <w:rPr>
          <w:rFonts w:cstheme="minorHAnsi"/>
          <w:szCs w:val="22"/>
        </w:rPr>
        <w:t>from impervious surfaces on the site and o</w:t>
      </w:r>
      <w:r>
        <w:rPr>
          <w:rFonts w:cstheme="minorHAnsi"/>
          <w:szCs w:val="22"/>
        </w:rPr>
        <w:t xml:space="preserve">ther systems are designed to treat the </w:t>
      </w:r>
      <w:r w:rsidR="00347D96">
        <w:rPr>
          <w:rFonts w:cstheme="minorHAnsi"/>
          <w:szCs w:val="22"/>
        </w:rPr>
        <w:t>rain</w:t>
      </w:r>
      <w:r>
        <w:rPr>
          <w:rFonts w:cstheme="minorHAnsi"/>
          <w:szCs w:val="22"/>
        </w:rPr>
        <w:t xml:space="preserve">water. </w:t>
      </w:r>
    </w:p>
    <w:p w:rsidR="00ED5300" w:rsidRDefault="00ED5300" w:rsidP="006870D8">
      <w:pPr>
        <w:pStyle w:val="ListParagraph"/>
        <w:spacing w:after="180" w:line="276" w:lineRule="auto"/>
        <w:ind w:left="360"/>
        <w:rPr>
          <w:rFonts w:cstheme="minorHAnsi"/>
          <w:szCs w:val="22"/>
        </w:rPr>
      </w:pPr>
    </w:p>
    <w:p w:rsidR="00F746DA" w:rsidRDefault="00F746DA" w:rsidP="005D11B8">
      <w:pPr>
        <w:pStyle w:val="ListParagraph"/>
        <w:tabs>
          <w:tab w:val="left" w:pos="360"/>
        </w:tabs>
        <w:spacing w:line="276" w:lineRule="auto"/>
        <w:ind w:left="360"/>
        <w:rPr>
          <w:rFonts w:cstheme="minorHAnsi"/>
          <w:szCs w:val="22"/>
        </w:rPr>
      </w:pPr>
      <w:r>
        <w:rPr>
          <w:rFonts w:cstheme="minorHAnsi"/>
          <w:szCs w:val="22"/>
        </w:rPr>
        <w:t xml:space="preserve">SPU has updated its drainage billing information since the 2012 credit calculation analysis was done on the parcel. The change in impervious percentage of the bill directly effects the amount of impervious surface that could be managed by the sites different </w:t>
      </w:r>
      <w:proofErr w:type="spellStart"/>
      <w:r>
        <w:rPr>
          <w:rFonts w:cstheme="minorHAnsi"/>
          <w:szCs w:val="22"/>
        </w:rPr>
        <w:t>stormwater</w:t>
      </w:r>
      <w:proofErr w:type="spellEnd"/>
      <w:r>
        <w:rPr>
          <w:rFonts w:cstheme="minorHAnsi"/>
          <w:szCs w:val="22"/>
        </w:rPr>
        <w:t xml:space="preserve"> systems. The previous impervious </w:t>
      </w:r>
      <w:r w:rsidRPr="004A1DF2">
        <w:rPr>
          <w:rFonts w:cstheme="minorHAnsi"/>
          <w:szCs w:val="22"/>
        </w:rPr>
        <w:t>percentage</w:t>
      </w:r>
      <w:r>
        <w:rPr>
          <w:rFonts w:cstheme="minorHAnsi"/>
          <w:szCs w:val="22"/>
        </w:rPr>
        <w:t xml:space="preserve"> was </w:t>
      </w:r>
      <w:r>
        <w:rPr>
          <w:rFonts w:cstheme="minorHAnsi"/>
          <w:b/>
          <w:szCs w:val="22"/>
        </w:rPr>
        <w:t>39%</w:t>
      </w:r>
      <w:r>
        <w:rPr>
          <w:rFonts w:cstheme="minorHAnsi"/>
          <w:szCs w:val="22"/>
        </w:rPr>
        <w:t>,</w:t>
      </w:r>
      <w:r w:rsidR="00F955CE">
        <w:rPr>
          <w:rFonts w:cstheme="minorHAnsi"/>
          <w:szCs w:val="22"/>
        </w:rPr>
        <w:t xml:space="preserve"> (1,070,270 </w:t>
      </w:r>
      <w:proofErr w:type="spellStart"/>
      <w:r w:rsidR="00F955CE">
        <w:rPr>
          <w:rFonts w:cstheme="minorHAnsi"/>
          <w:szCs w:val="22"/>
        </w:rPr>
        <w:t>sq</w:t>
      </w:r>
      <w:proofErr w:type="spellEnd"/>
      <w:r w:rsidR="00F955CE">
        <w:rPr>
          <w:rFonts w:cstheme="minorHAnsi"/>
          <w:szCs w:val="22"/>
        </w:rPr>
        <w:t xml:space="preserve"> </w:t>
      </w:r>
      <w:proofErr w:type="spellStart"/>
      <w:r w:rsidR="00F955CE">
        <w:rPr>
          <w:rFonts w:cstheme="minorHAnsi"/>
          <w:szCs w:val="22"/>
        </w:rPr>
        <w:t>ft</w:t>
      </w:r>
      <w:proofErr w:type="spellEnd"/>
      <w:r w:rsidR="00F955CE">
        <w:rPr>
          <w:rFonts w:cstheme="minorHAnsi"/>
          <w:szCs w:val="22"/>
        </w:rPr>
        <w:t xml:space="preserve"> / 2,735,328 </w:t>
      </w:r>
      <w:proofErr w:type="spellStart"/>
      <w:r w:rsidR="00F955CE">
        <w:rPr>
          <w:rFonts w:cstheme="minorHAnsi"/>
          <w:szCs w:val="22"/>
        </w:rPr>
        <w:t>sq</w:t>
      </w:r>
      <w:proofErr w:type="spellEnd"/>
      <w:r w:rsidR="00F955CE">
        <w:rPr>
          <w:rFonts w:cstheme="minorHAnsi"/>
          <w:szCs w:val="22"/>
        </w:rPr>
        <w:t xml:space="preserve"> </w:t>
      </w:r>
      <w:proofErr w:type="spellStart"/>
      <w:r w:rsidR="00F955CE">
        <w:rPr>
          <w:rFonts w:cstheme="minorHAnsi"/>
          <w:szCs w:val="22"/>
        </w:rPr>
        <w:t>ft</w:t>
      </w:r>
      <w:proofErr w:type="spellEnd"/>
      <w:r w:rsidR="00F955CE">
        <w:rPr>
          <w:rFonts w:cstheme="minorHAnsi"/>
          <w:szCs w:val="22"/>
        </w:rPr>
        <w:t>)</w:t>
      </w:r>
      <w:r>
        <w:rPr>
          <w:rFonts w:cstheme="minorHAnsi"/>
          <w:szCs w:val="22"/>
        </w:rPr>
        <w:t xml:space="preserve"> the current calculated impervious </w:t>
      </w:r>
      <w:r w:rsidRPr="004A1DF2">
        <w:rPr>
          <w:rFonts w:cstheme="minorHAnsi"/>
          <w:szCs w:val="22"/>
        </w:rPr>
        <w:t>percentage</w:t>
      </w:r>
      <w:r>
        <w:rPr>
          <w:rFonts w:cstheme="minorHAnsi"/>
          <w:szCs w:val="22"/>
        </w:rPr>
        <w:t xml:space="preserve"> is </w:t>
      </w:r>
      <w:r>
        <w:rPr>
          <w:rFonts w:cstheme="minorHAnsi"/>
          <w:b/>
          <w:szCs w:val="22"/>
        </w:rPr>
        <w:t>51%</w:t>
      </w:r>
      <w:r w:rsidR="00F955CE">
        <w:rPr>
          <w:rFonts w:cstheme="minorHAnsi"/>
          <w:b/>
          <w:szCs w:val="22"/>
        </w:rPr>
        <w:t xml:space="preserve">, </w:t>
      </w:r>
      <w:r w:rsidR="00F955CE">
        <w:rPr>
          <w:rFonts w:cstheme="minorHAnsi"/>
          <w:szCs w:val="22"/>
        </w:rPr>
        <w:t xml:space="preserve">(1,400,905 </w:t>
      </w:r>
      <w:proofErr w:type="spellStart"/>
      <w:r w:rsidR="00F955CE">
        <w:rPr>
          <w:rFonts w:cstheme="minorHAnsi"/>
          <w:szCs w:val="22"/>
        </w:rPr>
        <w:t>sq</w:t>
      </w:r>
      <w:proofErr w:type="spellEnd"/>
      <w:r w:rsidR="00F955CE">
        <w:rPr>
          <w:rFonts w:cstheme="minorHAnsi"/>
          <w:szCs w:val="22"/>
        </w:rPr>
        <w:t xml:space="preserve"> </w:t>
      </w:r>
      <w:proofErr w:type="spellStart"/>
      <w:r w:rsidR="00F955CE">
        <w:rPr>
          <w:rFonts w:cstheme="minorHAnsi"/>
          <w:szCs w:val="22"/>
        </w:rPr>
        <w:t>ft</w:t>
      </w:r>
      <w:proofErr w:type="spellEnd"/>
      <w:r w:rsidR="00F955CE">
        <w:rPr>
          <w:rFonts w:cstheme="minorHAnsi"/>
          <w:szCs w:val="22"/>
        </w:rPr>
        <w:t xml:space="preserve"> / 2,735,328 </w:t>
      </w:r>
      <w:proofErr w:type="spellStart"/>
      <w:r w:rsidR="00F955CE">
        <w:rPr>
          <w:rFonts w:cstheme="minorHAnsi"/>
          <w:szCs w:val="22"/>
        </w:rPr>
        <w:t>sq</w:t>
      </w:r>
      <w:proofErr w:type="spellEnd"/>
      <w:r w:rsidR="00F955CE">
        <w:rPr>
          <w:rFonts w:cstheme="minorHAnsi"/>
          <w:szCs w:val="22"/>
        </w:rPr>
        <w:t xml:space="preserve"> </w:t>
      </w:r>
      <w:proofErr w:type="spellStart"/>
      <w:r w:rsidR="00F955CE">
        <w:rPr>
          <w:rFonts w:cstheme="minorHAnsi"/>
          <w:szCs w:val="22"/>
        </w:rPr>
        <w:t>ft</w:t>
      </w:r>
      <w:proofErr w:type="spellEnd"/>
      <w:r w:rsidR="00F955CE">
        <w:rPr>
          <w:rFonts w:cstheme="minorHAnsi"/>
          <w:szCs w:val="22"/>
        </w:rPr>
        <w:t>)</w:t>
      </w:r>
      <w:r w:rsidR="005D11B8">
        <w:rPr>
          <w:rFonts w:cstheme="minorHAnsi"/>
          <w:szCs w:val="22"/>
        </w:rPr>
        <w:t xml:space="preserve">. See </w:t>
      </w:r>
      <w:r>
        <w:rPr>
          <w:rFonts w:cstheme="minorHAnsi"/>
          <w:szCs w:val="22"/>
        </w:rPr>
        <w:t xml:space="preserve">table 2 that shows the difference in total impervious area and attached GIS ArcMap.  </w:t>
      </w:r>
    </w:p>
    <w:p w:rsidR="00F746DA" w:rsidRPr="00F746DA" w:rsidRDefault="00F746DA" w:rsidP="00F746DA">
      <w:pPr>
        <w:pStyle w:val="ListParagraph"/>
        <w:tabs>
          <w:tab w:val="left" w:pos="360"/>
        </w:tabs>
        <w:ind w:left="360"/>
        <w:rPr>
          <w:rFonts w:cstheme="minorHAnsi"/>
          <w:szCs w:val="22"/>
        </w:rPr>
      </w:pPr>
    </w:p>
    <w:p w:rsidR="00602259" w:rsidRDefault="007A6B49" w:rsidP="006870D8">
      <w:pPr>
        <w:pStyle w:val="ListParagraph"/>
        <w:spacing w:after="180" w:line="276" w:lineRule="auto"/>
        <w:ind w:left="360"/>
        <w:rPr>
          <w:rFonts w:cstheme="minorHAnsi"/>
          <w:szCs w:val="22"/>
        </w:rPr>
      </w:pPr>
      <w:r>
        <w:rPr>
          <w:rFonts w:cstheme="minorHAnsi"/>
          <w:szCs w:val="22"/>
        </w:rPr>
        <w:t>I</w:t>
      </w:r>
      <w:r w:rsidR="00782C43">
        <w:rPr>
          <w:rFonts w:cstheme="minorHAnsi"/>
          <w:szCs w:val="22"/>
        </w:rPr>
        <w:t>ncorrect</w:t>
      </w:r>
      <w:r>
        <w:rPr>
          <w:rFonts w:cstheme="minorHAnsi"/>
          <w:szCs w:val="22"/>
        </w:rPr>
        <w:t xml:space="preserve"> areas of </w:t>
      </w:r>
      <w:r w:rsidR="00782C43">
        <w:rPr>
          <w:rFonts w:cstheme="minorHAnsi"/>
          <w:szCs w:val="22"/>
        </w:rPr>
        <w:t xml:space="preserve">“Percentage of Impervious Surface Managed” </w:t>
      </w:r>
      <w:r>
        <w:rPr>
          <w:rFonts w:cstheme="minorHAnsi"/>
          <w:szCs w:val="22"/>
        </w:rPr>
        <w:t>were</w:t>
      </w:r>
      <w:r w:rsidR="00782C43">
        <w:rPr>
          <w:rFonts w:cstheme="minorHAnsi"/>
          <w:szCs w:val="22"/>
        </w:rPr>
        <w:t xml:space="preserve"> used</w:t>
      </w:r>
      <w:r w:rsidR="00C9282B">
        <w:rPr>
          <w:rFonts w:cstheme="minorHAnsi"/>
          <w:szCs w:val="22"/>
        </w:rPr>
        <w:t xml:space="preserve"> to </w:t>
      </w:r>
      <w:r w:rsidR="00782C43">
        <w:rPr>
          <w:rFonts w:cstheme="minorHAnsi"/>
          <w:szCs w:val="22"/>
        </w:rPr>
        <w:t>calculate the 2012 drainage credit analysis. See the table below that shows</w:t>
      </w:r>
      <w:r w:rsidR="00C9282B">
        <w:rPr>
          <w:rFonts w:cstheme="minorHAnsi"/>
          <w:szCs w:val="22"/>
        </w:rPr>
        <w:t xml:space="preserve"> the discrepancy between the 2012 credit analysis and the correct credit analysis</w:t>
      </w:r>
      <w:r w:rsidR="00782C43">
        <w:rPr>
          <w:rFonts w:cstheme="minorHAnsi"/>
          <w:szCs w:val="22"/>
        </w:rPr>
        <w:t xml:space="preserve">. </w:t>
      </w:r>
    </w:p>
    <w:p w:rsidR="00782C43" w:rsidRDefault="00782C43" w:rsidP="00602259">
      <w:pPr>
        <w:pStyle w:val="ListParagraph"/>
        <w:spacing w:after="180"/>
        <w:ind w:left="360"/>
        <w:rPr>
          <w:rFonts w:cstheme="minorHAnsi"/>
          <w:szCs w:val="22"/>
        </w:rPr>
      </w:pPr>
    </w:p>
    <w:p w:rsidR="00782C43" w:rsidRPr="00782C43" w:rsidRDefault="00782C43" w:rsidP="006870D8">
      <w:pPr>
        <w:pStyle w:val="ListParagraph"/>
        <w:keepNext/>
        <w:keepLines/>
        <w:spacing w:after="120"/>
        <w:ind w:left="360"/>
        <w:jc w:val="center"/>
        <w:rPr>
          <w:rFonts w:cstheme="minorHAnsi"/>
          <w:b/>
          <w:szCs w:val="22"/>
        </w:rPr>
      </w:pPr>
      <w:r w:rsidRPr="00782C43">
        <w:rPr>
          <w:rFonts w:cstheme="minorHAnsi"/>
          <w:b/>
          <w:szCs w:val="22"/>
        </w:rPr>
        <w:t>Table 2 – Percentage of Impervious Surface Managed</w:t>
      </w:r>
    </w:p>
    <w:p w:rsidR="00602259" w:rsidRPr="00602259" w:rsidRDefault="00602259" w:rsidP="006870D8">
      <w:pPr>
        <w:pStyle w:val="ListParagraph"/>
        <w:keepNext/>
        <w:keepLines/>
        <w:spacing w:after="120"/>
        <w:ind w:left="360"/>
        <w:rPr>
          <w:rFonts w:cstheme="minorHAnsi"/>
          <w:szCs w:val="22"/>
        </w:rPr>
      </w:pPr>
    </w:p>
    <w:tbl>
      <w:tblPr>
        <w:tblStyle w:val="TableGrid"/>
        <w:tblW w:w="0" w:type="auto"/>
        <w:tblInd w:w="360" w:type="dxa"/>
        <w:tblLook w:val="04A0" w:firstRow="1" w:lastRow="0" w:firstColumn="1" w:lastColumn="0" w:noHBand="0" w:noVBand="1"/>
      </w:tblPr>
      <w:tblGrid>
        <w:gridCol w:w="1063"/>
        <w:gridCol w:w="1693"/>
        <w:gridCol w:w="1507"/>
        <w:gridCol w:w="1675"/>
        <w:gridCol w:w="3340"/>
      </w:tblGrid>
      <w:tr w:rsidR="00600E9E" w:rsidTr="00600E9E">
        <w:tc>
          <w:tcPr>
            <w:tcW w:w="1063" w:type="dxa"/>
            <w:vAlign w:val="center"/>
          </w:tcPr>
          <w:p w:rsidR="00600E9E" w:rsidRPr="006870D8" w:rsidRDefault="00600E9E" w:rsidP="00600E9E">
            <w:pPr>
              <w:pStyle w:val="ListParagraph"/>
              <w:keepNext/>
              <w:keepLines/>
              <w:spacing w:after="180"/>
              <w:ind w:left="0"/>
              <w:jc w:val="center"/>
              <w:rPr>
                <w:rFonts w:cstheme="minorHAnsi"/>
                <w:b/>
                <w:szCs w:val="22"/>
              </w:rPr>
            </w:pPr>
            <w:r w:rsidRPr="006870D8">
              <w:rPr>
                <w:rFonts w:cstheme="minorHAnsi"/>
                <w:b/>
                <w:szCs w:val="22"/>
              </w:rPr>
              <w:t>Year</w:t>
            </w:r>
          </w:p>
        </w:tc>
        <w:tc>
          <w:tcPr>
            <w:tcW w:w="1693" w:type="dxa"/>
            <w:vAlign w:val="center"/>
          </w:tcPr>
          <w:p w:rsidR="00600E9E" w:rsidRDefault="00600E9E" w:rsidP="00600E9E">
            <w:pPr>
              <w:pStyle w:val="ListParagraph"/>
              <w:keepNext/>
              <w:keepLines/>
              <w:spacing w:after="180"/>
              <w:ind w:left="0"/>
              <w:jc w:val="center"/>
              <w:rPr>
                <w:rFonts w:cstheme="minorHAnsi"/>
                <w:szCs w:val="22"/>
              </w:rPr>
            </w:pPr>
            <w:r>
              <w:t>System Type</w:t>
            </w:r>
          </w:p>
        </w:tc>
        <w:tc>
          <w:tcPr>
            <w:tcW w:w="1507"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BMP Classification</w:t>
            </w:r>
          </w:p>
        </w:tc>
        <w:tc>
          <w:tcPr>
            <w:tcW w:w="1675" w:type="dxa"/>
            <w:vAlign w:val="center"/>
          </w:tcPr>
          <w:p w:rsidR="00600E9E" w:rsidRPr="00347D96" w:rsidRDefault="00600E9E" w:rsidP="00600E9E">
            <w:pPr>
              <w:pStyle w:val="ListParagraph"/>
              <w:keepNext/>
              <w:keepLines/>
              <w:spacing w:after="180"/>
              <w:ind w:left="0"/>
              <w:jc w:val="center"/>
              <w:rPr>
                <w:rFonts w:cstheme="minorHAnsi"/>
                <w:b/>
                <w:szCs w:val="22"/>
              </w:rPr>
            </w:pPr>
            <w:r>
              <w:rPr>
                <w:rFonts w:cstheme="minorHAnsi"/>
                <w:szCs w:val="22"/>
              </w:rPr>
              <w:t>Impervious Percentage Managed</w:t>
            </w:r>
          </w:p>
        </w:tc>
        <w:tc>
          <w:tcPr>
            <w:tcW w:w="3340"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Area Managed / Total</w:t>
            </w:r>
            <w:r w:rsidR="00F955CE">
              <w:rPr>
                <w:rFonts w:cstheme="minorHAnsi"/>
                <w:szCs w:val="22"/>
              </w:rPr>
              <w:t xml:space="preserve"> Impervious</w:t>
            </w:r>
            <w:r>
              <w:rPr>
                <w:rFonts w:cstheme="minorHAnsi"/>
                <w:szCs w:val="22"/>
              </w:rPr>
              <w:t xml:space="preserve"> Area</w:t>
            </w:r>
          </w:p>
        </w:tc>
      </w:tr>
      <w:tr w:rsidR="00600E9E" w:rsidTr="00600E9E">
        <w:tc>
          <w:tcPr>
            <w:tcW w:w="1063" w:type="dxa"/>
            <w:vMerge w:val="restart"/>
            <w:vAlign w:val="center"/>
          </w:tcPr>
          <w:p w:rsidR="00600E9E" w:rsidRPr="006870D8" w:rsidRDefault="00600E9E" w:rsidP="00600E9E">
            <w:pPr>
              <w:pStyle w:val="ListParagraph"/>
              <w:keepNext/>
              <w:keepLines/>
              <w:spacing w:after="180"/>
              <w:ind w:left="0"/>
              <w:jc w:val="center"/>
              <w:rPr>
                <w:b/>
                <w:color w:val="000000"/>
              </w:rPr>
            </w:pPr>
            <w:r w:rsidRPr="006870D8">
              <w:rPr>
                <w:b/>
                <w:color w:val="000000"/>
              </w:rPr>
              <w:t>2012</w:t>
            </w:r>
          </w:p>
        </w:tc>
        <w:tc>
          <w:tcPr>
            <w:tcW w:w="1693"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Water Quality</w:t>
            </w:r>
          </w:p>
        </w:tc>
        <w:tc>
          <w:tcPr>
            <w:tcW w:w="1507" w:type="dxa"/>
            <w:vAlign w:val="center"/>
          </w:tcPr>
          <w:p w:rsidR="00600E9E" w:rsidRDefault="00600E9E" w:rsidP="00600E9E">
            <w:pPr>
              <w:pStyle w:val="ListParagraph"/>
              <w:keepNext/>
              <w:keepLines/>
              <w:spacing w:after="180"/>
              <w:ind w:left="0"/>
              <w:jc w:val="center"/>
            </w:pPr>
            <w:r>
              <w:t>Level 2</w:t>
            </w:r>
          </w:p>
        </w:tc>
        <w:tc>
          <w:tcPr>
            <w:tcW w:w="1675" w:type="dxa"/>
            <w:vAlign w:val="center"/>
          </w:tcPr>
          <w:p w:rsidR="00600E9E" w:rsidRDefault="00600E9E" w:rsidP="00600E9E">
            <w:pPr>
              <w:pStyle w:val="ListParagraph"/>
              <w:keepNext/>
              <w:keepLines/>
              <w:spacing w:after="180"/>
              <w:ind w:left="0"/>
              <w:jc w:val="center"/>
            </w:pPr>
            <w:r>
              <w:t>76%</w:t>
            </w:r>
          </w:p>
        </w:tc>
        <w:tc>
          <w:tcPr>
            <w:tcW w:w="3340"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 xml:space="preserve">810,000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r>
              <w:rPr>
                <w:rFonts w:cstheme="minorHAnsi"/>
                <w:szCs w:val="22"/>
              </w:rPr>
              <w:t xml:space="preserve"> / 1,070,270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p>
        </w:tc>
      </w:tr>
      <w:tr w:rsidR="00600E9E" w:rsidTr="00600E9E">
        <w:tc>
          <w:tcPr>
            <w:tcW w:w="1063" w:type="dxa"/>
            <w:vMerge/>
            <w:vAlign w:val="center"/>
          </w:tcPr>
          <w:p w:rsidR="00600E9E" w:rsidRPr="006870D8" w:rsidRDefault="00600E9E" w:rsidP="00600E9E">
            <w:pPr>
              <w:pStyle w:val="ListParagraph"/>
              <w:keepNext/>
              <w:keepLines/>
              <w:spacing w:after="180"/>
              <w:ind w:left="0"/>
              <w:jc w:val="center"/>
              <w:rPr>
                <w:rFonts w:cstheme="minorHAnsi"/>
                <w:b/>
                <w:szCs w:val="22"/>
              </w:rPr>
            </w:pPr>
          </w:p>
        </w:tc>
        <w:tc>
          <w:tcPr>
            <w:tcW w:w="1693"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Flow Control</w:t>
            </w:r>
          </w:p>
        </w:tc>
        <w:tc>
          <w:tcPr>
            <w:tcW w:w="1507" w:type="dxa"/>
            <w:vAlign w:val="center"/>
          </w:tcPr>
          <w:p w:rsidR="00600E9E" w:rsidRDefault="00600E9E" w:rsidP="00600E9E">
            <w:pPr>
              <w:pStyle w:val="ListParagraph"/>
              <w:keepNext/>
              <w:keepLines/>
              <w:spacing w:after="180"/>
              <w:ind w:left="0"/>
              <w:jc w:val="center"/>
            </w:pPr>
            <w:r>
              <w:t>Level 2</w:t>
            </w:r>
          </w:p>
        </w:tc>
        <w:tc>
          <w:tcPr>
            <w:tcW w:w="1675" w:type="dxa"/>
            <w:vAlign w:val="center"/>
          </w:tcPr>
          <w:p w:rsidR="00600E9E" w:rsidRDefault="00600E9E" w:rsidP="00600E9E">
            <w:pPr>
              <w:pStyle w:val="ListParagraph"/>
              <w:keepNext/>
              <w:keepLines/>
              <w:spacing w:after="180"/>
              <w:ind w:left="0"/>
              <w:jc w:val="center"/>
              <w:rPr>
                <w:rFonts w:cstheme="minorHAnsi"/>
                <w:szCs w:val="22"/>
              </w:rPr>
            </w:pPr>
            <w:r>
              <w:t>97</w:t>
            </w:r>
            <w:r w:rsidRPr="00772F22">
              <w:t>%</w:t>
            </w:r>
          </w:p>
        </w:tc>
        <w:tc>
          <w:tcPr>
            <w:tcW w:w="3340"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 xml:space="preserve">1,040,780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r>
              <w:rPr>
                <w:rFonts w:cstheme="minorHAnsi"/>
                <w:szCs w:val="22"/>
              </w:rPr>
              <w:t xml:space="preserve"> / 1,070,270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p>
        </w:tc>
      </w:tr>
    </w:tbl>
    <w:p w:rsidR="00600E9E" w:rsidRDefault="00600E9E"/>
    <w:tbl>
      <w:tblPr>
        <w:tblStyle w:val="TableGrid"/>
        <w:tblW w:w="0" w:type="auto"/>
        <w:tblInd w:w="360" w:type="dxa"/>
        <w:tblLook w:val="04A0" w:firstRow="1" w:lastRow="0" w:firstColumn="1" w:lastColumn="0" w:noHBand="0" w:noVBand="1"/>
      </w:tblPr>
      <w:tblGrid>
        <w:gridCol w:w="1063"/>
        <w:gridCol w:w="1693"/>
        <w:gridCol w:w="1507"/>
        <w:gridCol w:w="1675"/>
        <w:gridCol w:w="3340"/>
      </w:tblGrid>
      <w:tr w:rsidR="00600E9E" w:rsidTr="00600E9E">
        <w:tc>
          <w:tcPr>
            <w:tcW w:w="1063" w:type="dxa"/>
            <w:vMerge w:val="restart"/>
            <w:vAlign w:val="center"/>
          </w:tcPr>
          <w:p w:rsidR="00600E9E" w:rsidRPr="006870D8" w:rsidRDefault="00600E9E" w:rsidP="00600E9E">
            <w:pPr>
              <w:pStyle w:val="ListParagraph"/>
              <w:keepNext/>
              <w:keepLines/>
              <w:spacing w:after="180"/>
              <w:ind w:left="0"/>
              <w:jc w:val="center"/>
              <w:rPr>
                <w:b/>
                <w:color w:val="000000"/>
              </w:rPr>
            </w:pPr>
            <w:r w:rsidRPr="006870D8">
              <w:rPr>
                <w:b/>
                <w:color w:val="000000"/>
              </w:rPr>
              <w:t>2015</w:t>
            </w:r>
          </w:p>
        </w:tc>
        <w:tc>
          <w:tcPr>
            <w:tcW w:w="1693"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Water Quality</w:t>
            </w:r>
          </w:p>
        </w:tc>
        <w:tc>
          <w:tcPr>
            <w:tcW w:w="1507" w:type="dxa"/>
            <w:vAlign w:val="center"/>
          </w:tcPr>
          <w:p w:rsidR="00600E9E" w:rsidRDefault="00600E9E" w:rsidP="00600E9E">
            <w:pPr>
              <w:pStyle w:val="ListParagraph"/>
              <w:keepNext/>
              <w:keepLines/>
              <w:spacing w:after="180"/>
              <w:ind w:left="0"/>
              <w:jc w:val="center"/>
            </w:pPr>
            <w:r>
              <w:t>Level 2</w:t>
            </w:r>
          </w:p>
        </w:tc>
        <w:tc>
          <w:tcPr>
            <w:tcW w:w="1675" w:type="dxa"/>
            <w:vAlign w:val="center"/>
          </w:tcPr>
          <w:p w:rsidR="00600E9E" w:rsidRDefault="00600E9E" w:rsidP="00600E9E">
            <w:pPr>
              <w:pStyle w:val="ListParagraph"/>
              <w:keepNext/>
              <w:keepLines/>
              <w:spacing w:after="180"/>
              <w:ind w:left="0"/>
              <w:jc w:val="center"/>
            </w:pPr>
            <w:r>
              <w:t>22%</w:t>
            </w:r>
          </w:p>
        </w:tc>
        <w:tc>
          <w:tcPr>
            <w:tcW w:w="3340"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 xml:space="preserve">311,154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r>
              <w:rPr>
                <w:rFonts w:cstheme="minorHAnsi"/>
                <w:szCs w:val="22"/>
              </w:rPr>
              <w:t xml:space="preserve"> / 1,400,905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p>
        </w:tc>
      </w:tr>
      <w:tr w:rsidR="00600E9E" w:rsidTr="00600E9E">
        <w:tc>
          <w:tcPr>
            <w:tcW w:w="1063" w:type="dxa"/>
            <w:vMerge/>
            <w:vAlign w:val="center"/>
          </w:tcPr>
          <w:p w:rsidR="00600E9E" w:rsidRPr="006870D8" w:rsidRDefault="00600E9E" w:rsidP="00600E9E">
            <w:pPr>
              <w:pStyle w:val="ListParagraph"/>
              <w:keepNext/>
              <w:keepLines/>
              <w:spacing w:after="180"/>
              <w:ind w:left="0"/>
              <w:jc w:val="center"/>
              <w:rPr>
                <w:b/>
                <w:color w:val="000000"/>
              </w:rPr>
            </w:pPr>
          </w:p>
        </w:tc>
        <w:tc>
          <w:tcPr>
            <w:tcW w:w="1693"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Water Quality</w:t>
            </w:r>
          </w:p>
        </w:tc>
        <w:tc>
          <w:tcPr>
            <w:tcW w:w="1507" w:type="dxa"/>
            <w:vAlign w:val="center"/>
          </w:tcPr>
          <w:p w:rsidR="00600E9E" w:rsidRDefault="00600E9E" w:rsidP="00600E9E">
            <w:pPr>
              <w:pStyle w:val="ListParagraph"/>
              <w:keepNext/>
              <w:keepLines/>
              <w:spacing w:after="180"/>
              <w:ind w:left="0"/>
              <w:jc w:val="center"/>
            </w:pPr>
            <w:r>
              <w:t>Level 3</w:t>
            </w:r>
          </w:p>
        </w:tc>
        <w:tc>
          <w:tcPr>
            <w:tcW w:w="1675" w:type="dxa"/>
            <w:vAlign w:val="center"/>
          </w:tcPr>
          <w:p w:rsidR="00600E9E" w:rsidRDefault="00600E9E" w:rsidP="00600E9E">
            <w:pPr>
              <w:pStyle w:val="ListParagraph"/>
              <w:keepNext/>
              <w:keepLines/>
              <w:spacing w:after="180"/>
              <w:ind w:left="0"/>
              <w:jc w:val="center"/>
            </w:pPr>
            <w:r>
              <w:t>12%</w:t>
            </w:r>
          </w:p>
        </w:tc>
        <w:tc>
          <w:tcPr>
            <w:tcW w:w="3340"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 xml:space="preserve">168,898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r>
              <w:rPr>
                <w:rFonts w:cstheme="minorHAnsi"/>
                <w:szCs w:val="22"/>
              </w:rPr>
              <w:t xml:space="preserve"> / 1,400,905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p>
        </w:tc>
      </w:tr>
      <w:tr w:rsidR="00600E9E" w:rsidTr="00600E9E">
        <w:tc>
          <w:tcPr>
            <w:tcW w:w="1063" w:type="dxa"/>
            <w:vMerge/>
            <w:vAlign w:val="center"/>
          </w:tcPr>
          <w:p w:rsidR="00600E9E" w:rsidRPr="006870D8" w:rsidRDefault="00600E9E" w:rsidP="00600E9E">
            <w:pPr>
              <w:pStyle w:val="ListParagraph"/>
              <w:keepNext/>
              <w:keepLines/>
              <w:spacing w:after="180"/>
              <w:ind w:left="0"/>
              <w:jc w:val="center"/>
              <w:rPr>
                <w:rFonts w:cstheme="minorHAnsi"/>
                <w:b/>
                <w:szCs w:val="22"/>
              </w:rPr>
            </w:pPr>
          </w:p>
        </w:tc>
        <w:tc>
          <w:tcPr>
            <w:tcW w:w="1693"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Flow Control</w:t>
            </w:r>
          </w:p>
        </w:tc>
        <w:tc>
          <w:tcPr>
            <w:tcW w:w="1507" w:type="dxa"/>
            <w:vAlign w:val="center"/>
          </w:tcPr>
          <w:p w:rsidR="00600E9E" w:rsidRDefault="00600E9E" w:rsidP="00600E9E">
            <w:pPr>
              <w:pStyle w:val="ListParagraph"/>
              <w:keepNext/>
              <w:keepLines/>
              <w:spacing w:after="180"/>
              <w:ind w:left="0"/>
              <w:jc w:val="center"/>
            </w:pPr>
            <w:r>
              <w:t>Level 2</w:t>
            </w:r>
          </w:p>
        </w:tc>
        <w:tc>
          <w:tcPr>
            <w:tcW w:w="1675" w:type="dxa"/>
            <w:vAlign w:val="center"/>
          </w:tcPr>
          <w:p w:rsidR="00600E9E" w:rsidRDefault="00600E9E" w:rsidP="00600E9E">
            <w:pPr>
              <w:pStyle w:val="ListParagraph"/>
              <w:keepNext/>
              <w:keepLines/>
              <w:spacing w:after="180"/>
              <w:ind w:left="0"/>
              <w:jc w:val="center"/>
              <w:rPr>
                <w:rFonts w:cstheme="minorHAnsi"/>
                <w:szCs w:val="22"/>
              </w:rPr>
            </w:pPr>
            <w:r>
              <w:t>31%</w:t>
            </w:r>
          </w:p>
        </w:tc>
        <w:tc>
          <w:tcPr>
            <w:tcW w:w="3340"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 xml:space="preserve">440,674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r>
              <w:rPr>
                <w:rFonts w:cstheme="minorHAnsi"/>
                <w:szCs w:val="22"/>
              </w:rPr>
              <w:t xml:space="preserve"> / 1,400,905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p>
        </w:tc>
      </w:tr>
      <w:tr w:rsidR="00600E9E" w:rsidTr="00600E9E">
        <w:tc>
          <w:tcPr>
            <w:tcW w:w="1063" w:type="dxa"/>
            <w:vMerge/>
            <w:vAlign w:val="center"/>
          </w:tcPr>
          <w:p w:rsidR="00600E9E" w:rsidRPr="006870D8" w:rsidRDefault="00600E9E" w:rsidP="00600E9E">
            <w:pPr>
              <w:pStyle w:val="ListParagraph"/>
              <w:keepNext/>
              <w:keepLines/>
              <w:spacing w:after="180"/>
              <w:ind w:left="0"/>
              <w:jc w:val="center"/>
              <w:rPr>
                <w:b/>
                <w:color w:val="000000"/>
              </w:rPr>
            </w:pPr>
          </w:p>
        </w:tc>
        <w:tc>
          <w:tcPr>
            <w:tcW w:w="1693"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Flow Control</w:t>
            </w:r>
          </w:p>
        </w:tc>
        <w:tc>
          <w:tcPr>
            <w:tcW w:w="1507" w:type="dxa"/>
            <w:vAlign w:val="center"/>
          </w:tcPr>
          <w:p w:rsidR="00600E9E" w:rsidRDefault="00600E9E" w:rsidP="00600E9E">
            <w:pPr>
              <w:pStyle w:val="ListParagraph"/>
              <w:keepNext/>
              <w:keepLines/>
              <w:spacing w:after="180"/>
              <w:ind w:left="0"/>
              <w:jc w:val="center"/>
            </w:pPr>
            <w:r>
              <w:t>Level 3</w:t>
            </w:r>
          </w:p>
        </w:tc>
        <w:tc>
          <w:tcPr>
            <w:tcW w:w="1675" w:type="dxa"/>
            <w:vAlign w:val="center"/>
          </w:tcPr>
          <w:p w:rsidR="00600E9E" w:rsidRDefault="00600E9E" w:rsidP="00600E9E">
            <w:pPr>
              <w:pStyle w:val="ListParagraph"/>
              <w:keepNext/>
              <w:keepLines/>
              <w:spacing w:after="180"/>
              <w:ind w:left="0"/>
              <w:jc w:val="center"/>
            </w:pPr>
            <w:r>
              <w:t>6%</w:t>
            </w:r>
          </w:p>
        </w:tc>
        <w:tc>
          <w:tcPr>
            <w:tcW w:w="3340"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 xml:space="preserve">88,146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r>
              <w:rPr>
                <w:rFonts w:cstheme="minorHAnsi"/>
                <w:szCs w:val="22"/>
              </w:rPr>
              <w:t xml:space="preserve"> / 1,400,905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p>
        </w:tc>
      </w:tr>
      <w:tr w:rsidR="00600E9E" w:rsidTr="00600E9E">
        <w:tc>
          <w:tcPr>
            <w:tcW w:w="1063" w:type="dxa"/>
            <w:vMerge/>
            <w:vAlign w:val="center"/>
          </w:tcPr>
          <w:p w:rsidR="00600E9E" w:rsidRPr="006870D8" w:rsidRDefault="00600E9E" w:rsidP="00600E9E">
            <w:pPr>
              <w:pStyle w:val="ListParagraph"/>
              <w:keepNext/>
              <w:keepLines/>
              <w:spacing w:after="180"/>
              <w:ind w:left="0"/>
              <w:jc w:val="center"/>
              <w:rPr>
                <w:b/>
                <w:color w:val="000000"/>
              </w:rPr>
            </w:pPr>
          </w:p>
        </w:tc>
        <w:tc>
          <w:tcPr>
            <w:tcW w:w="1693"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Flow Control</w:t>
            </w:r>
          </w:p>
        </w:tc>
        <w:tc>
          <w:tcPr>
            <w:tcW w:w="1507" w:type="dxa"/>
            <w:vAlign w:val="center"/>
          </w:tcPr>
          <w:p w:rsidR="00600E9E" w:rsidRDefault="00600E9E" w:rsidP="00600E9E">
            <w:pPr>
              <w:pStyle w:val="ListParagraph"/>
              <w:keepNext/>
              <w:keepLines/>
              <w:spacing w:after="180"/>
              <w:ind w:left="0"/>
              <w:jc w:val="center"/>
            </w:pPr>
            <w:r>
              <w:t>Level 5</w:t>
            </w:r>
          </w:p>
        </w:tc>
        <w:tc>
          <w:tcPr>
            <w:tcW w:w="1675" w:type="dxa"/>
            <w:vAlign w:val="center"/>
          </w:tcPr>
          <w:p w:rsidR="00600E9E" w:rsidRDefault="00600E9E" w:rsidP="00600E9E">
            <w:pPr>
              <w:pStyle w:val="ListParagraph"/>
              <w:keepNext/>
              <w:keepLines/>
              <w:spacing w:after="180"/>
              <w:ind w:left="0"/>
              <w:jc w:val="center"/>
            </w:pPr>
            <w:r>
              <w:t>9%</w:t>
            </w:r>
          </w:p>
        </w:tc>
        <w:tc>
          <w:tcPr>
            <w:tcW w:w="3340" w:type="dxa"/>
            <w:vAlign w:val="center"/>
          </w:tcPr>
          <w:p w:rsidR="00600E9E" w:rsidRDefault="00600E9E" w:rsidP="00600E9E">
            <w:pPr>
              <w:pStyle w:val="ListParagraph"/>
              <w:keepNext/>
              <w:keepLines/>
              <w:spacing w:after="180"/>
              <w:ind w:left="0"/>
              <w:jc w:val="center"/>
              <w:rPr>
                <w:rFonts w:cstheme="minorHAnsi"/>
                <w:szCs w:val="22"/>
              </w:rPr>
            </w:pPr>
            <w:r>
              <w:rPr>
                <w:rFonts w:cstheme="minorHAnsi"/>
                <w:szCs w:val="22"/>
              </w:rPr>
              <w:t xml:space="preserve">131,933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r>
              <w:rPr>
                <w:rFonts w:cstheme="minorHAnsi"/>
                <w:szCs w:val="22"/>
              </w:rPr>
              <w:t xml:space="preserve"> / 1,400,905 </w:t>
            </w:r>
            <w:proofErr w:type="spellStart"/>
            <w:r>
              <w:rPr>
                <w:rFonts w:cstheme="minorHAnsi"/>
                <w:szCs w:val="22"/>
              </w:rPr>
              <w:t>sq</w:t>
            </w:r>
            <w:proofErr w:type="spellEnd"/>
            <w:r>
              <w:rPr>
                <w:rFonts w:cstheme="minorHAnsi"/>
                <w:szCs w:val="22"/>
              </w:rPr>
              <w:t xml:space="preserve"> </w:t>
            </w:r>
            <w:proofErr w:type="spellStart"/>
            <w:r>
              <w:rPr>
                <w:rFonts w:cstheme="minorHAnsi"/>
                <w:szCs w:val="22"/>
              </w:rPr>
              <w:t>ft</w:t>
            </w:r>
            <w:proofErr w:type="spellEnd"/>
          </w:p>
        </w:tc>
      </w:tr>
    </w:tbl>
    <w:p w:rsidR="00C9282B" w:rsidRDefault="00C9282B" w:rsidP="004A1DF2">
      <w:pPr>
        <w:pStyle w:val="ListParagraph"/>
        <w:keepNext/>
        <w:keepLines/>
        <w:spacing w:after="180"/>
        <w:ind w:left="360"/>
        <w:rPr>
          <w:rFonts w:cstheme="minorHAnsi"/>
          <w:szCs w:val="22"/>
        </w:rPr>
      </w:pPr>
    </w:p>
    <w:p w:rsidR="006870D8" w:rsidRPr="00602259" w:rsidRDefault="006870D8" w:rsidP="004A1DF2">
      <w:pPr>
        <w:pStyle w:val="ListParagraph"/>
        <w:keepNext/>
        <w:keepLines/>
        <w:spacing w:after="180"/>
        <w:ind w:left="360"/>
        <w:rPr>
          <w:rFonts w:cstheme="minorHAnsi"/>
          <w:szCs w:val="22"/>
        </w:rPr>
      </w:pPr>
    </w:p>
    <w:p w:rsidR="001A21EA" w:rsidRPr="00751582" w:rsidRDefault="001A21EA" w:rsidP="006870D8">
      <w:pPr>
        <w:pStyle w:val="ListParagraph"/>
        <w:numPr>
          <w:ilvl w:val="0"/>
          <w:numId w:val="6"/>
        </w:numPr>
        <w:tabs>
          <w:tab w:val="left" w:pos="360"/>
        </w:tabs>
        <w:spacing w:line="276" w:lineRule="auto"/>
        <w:rPr>
          <w:rFonts w:cstheme="minorHAnsi"/>
          <w:szCs w:val="22"/>
        </w:rPr>
      </w:pPr>
      <w:r w:rsidRPr="00751582">
        <w:rPr>
          <w:rFonts w:cstheme="minorHAnsi"/>
          <w:b/>
          <w:szCs w:val="22"/>
        </w:rPr>
        <w:t>Impervious percentage of drainage bill</w:t>
      </w:r>
      <w:r w:rsidRPr="00751582">
        <w:rPr>
          <w:rFonts w:cstheme="minorHAnsi"/>
          <w:szCs w:val="22"/>
        </w:rPr>
        <w:t xml:space="preserve">: SPU bills properties for drainage based on the estimated </w:t>
      </w:r>
      <w:proofErr w:type="spellStart"/>
      <w:r w:rsidRPr="00751582">
        <w:rPr>
          <w:rFonts w:cstheme="minorHAnsi"/>
          <w:szCs w:val="22"/>
        </w:rPr>
        <w:t>stormwater</w:t>
      </w:r>
      <w:proofErr w:type="spellEnd"/>
      <w:r w:rsidRPr="00751582">
        <w:rPr>
          <w:rFonts w:cstheme="minorHAnsi"/>
          <w:szCs w:val="22"/>
        </w:rPr>
        <w:t xml:space="preserve"> runoff from the property. These estimates are based on the composition of impervious and pervious areas on a property. Properties are assigned to one of multiple rate tiers based on the percentage of the total parcel area that contains impervious surface. The </w:t>
      </w:r>
      <w:proofErr w:type="spellStart"/>
      <w:r w:rsidRPr="00751582">
        <w:rPr>
          <w:rFonts w:cstheme="minorHAnsi"/>
          <w:szCs w:val="22"/>
        </w:rPr>
        <w:t>stormwater</w:t>
      </w:r>
      <w:proofErr w:type="spellEnd"/>
      <w:r w:rsidRPr="00751582">
        <w:rPr>
          <w:rFonts w:cstheme="minorHAnsi"/>
          <w:szCs w:val="22"/>
        </w:rPr>
        <w:t xml:space="preserve"> facility credit is adjusted </w:t>
      </w:r>
      <w:r w:rsidR="00F955CE">
        <w:rPr>
          <w:rFonts w:cstheme="minorHAnsi"/>
          <w:szCs w:val="22"/>
        </w:rPr>
        <w:t xml:space="preserve">based on the rate tier class </w:t>
      </w:r>
      <w:r w:rsidRPr="00751582">
        <w:rPr>
          <w:rFonts w:cstheme="minorHAnsi"/>
          <w:szCs w:val="22"/>
        </w:rPr>
        <w:t xml:space="preserve">to reflect the percentage of total impervious surface managed. </w:t>
      </w:r>
    </w:p>
    <w:p w:rsidR="00751582" w:rsidRDefault="00751582" w:rsidP="006870D8">
      <w:pPr>
        <w:pStyle w:val="ListParagraph"/>
        <w:tabs>
          <w:tab w:val="left" w:pos="360"/>
        </w:tabs>
        <w:spacing w:line="276" w:lineRule="auto"/>
        <w:ind w:left="0"/>
        <w:rPr>
          <w:rFonts w:cstheme="minorHAnsi"/>
          <w:szCs w:val="22"/>
        </w:rPr>
      </w:pPr>
    </w:p>
    <w:p w:rsidR="00FC1BA2" w:rsidRDefault="00751582" w:rsidP="006870D8">
      <w:pPr>
        <w:pStyle w:val="ListParagraph"/>
        <w:tabs>
          <w:tab w:val="left" w:pos="360"/>
        </w:tabs>
        <w:spacing w:line="276" w:lineRule="auto"/>
        <w:ind w:left="360"/>
        <w:rPr>
          <w:rFonts w:cstheme="minorHAnsi"/>
          <w:szCs w:val="22"/>
        </w:rPr>
      </w:pPr>
      <w:r>
        <w:rPr>
          <w:rFonts w:cstheme="minorHAnsi"/>
          <w:szCs w:val="22"/>
        </w:rPr>
        <w:t xml:space="preserve">SPU has updated its drainage </w:t>
      </w:r>
      <w:r w:rsidR="00F955CE">
        <w:rPr>
          <w:rFonts w:cstheme="minorHAnsi"/>
          <w:szCs w:val="22"/>
        </w:rPr>
        <w:t>rate tier class</w:t>
      </w:r>
      <w:r>
        <w:rPr>
          <w:rFonts w:cstheme="minorHAnsi"/>
          <w:szCs w:val="22"/>
        </w:rPr>
        <w:t xml:space="preserve"> information </w:t>
      </w:r>
      <w:r w:rsidR="00DF6371">
        <w:rPr>
          <w:rFonts w:cstheme="minorHAnsi"/>
          <w:szCs w:val="22"/>
        </w:rPr>
        <w:t xml:space="preserve">since the 2012 credit </w:t>
      </w:r>
      <w:r w:rsidR="008B6F5E">
        <w:rPr>
          <w:rFonts w:cstheme="minorHAnsi"/>
          <w:szCs w:val="22"/>
        </w:rPr>
        <w:t xml:space="preserve">calculation </w:t>
      </w:r>
      <w:r w:rsidR="00DF6371">
        <w:rPr>
          <w:rFonts w:cstheme="minorHAnsi"/>
          <w:szCs w:val="22"/>
        </w:rPr>
        <w:t>analysis was done</w:t>
      </w:r>
      <w:r w:rsidR="001A2468">
        <w:rPr>
          <w:rFonts w:cstheme="minorHAnsi"/>
          <w:szCs w:val="22"/>
        </w:rPr>
        <w:t xml:space="preserve"> on the parcel</w:t>
      </w:r>
      <w:r w:rsidR="008B6F5E">
        <w:rPr>
          <w:rFonts w:cstheme="minorHAnsi"/>
          <w:szCs w:val="22"/>
        </w:rPr>
        <w:t xml:space="preserve">. </w:t>
      </w:r>
      <w:r w:rsidR="00DF6371">
        <w:rPr>
          <w:rFonts w:cstheme="minorHAnsi"/>
          <w:szCs w:val="22"/>
        </w:rPr>
        <w:t>The change in</w:t>
      </w:r>
      <w:r w:rsidR="001A2468">
        <w:rPr>
          <w:rFonts w:cstheme="minorHAnsi"/>
          <w:szCs w:val="22"/>
        </w:rPr>
        <w:t xml:space="preserve"> </w:t>
      </w:r>
      <w:r w:rsidR="00F955CE">
        <w:rPr>
          <w:rFonts w:cstheme="minorHAnsi"/>
          <w:szCs w:val="22"/>
        </w:rPr>
        <w:t>the rate tier class i</w:t>
      </w:r>
      <w:r w:rsidR="00F746DA">
        <w:rPr>
          <w:rFonts w:cstheme="minorHAnsi"/>
          <w:szCs w:val="22"/>
        </w:rPr>
        <w:t xml:space="preserve">s outlined in the table below. </w:t>
      </w:r>
      <w:r w:rsidR="008B6F5E">
        <w:rPr>
          <w:rFonts w:cstheme="minorHAnsi"/>
          <w:szCs w:val="22"/>
        </w:rPr>
        <w:t xml:space="preserve">The previous impervious </w:t>
      </w:r>
      <w:r w:rsidR="008B6F5E" w:rsidRPr="004A1DF2">
        <w:rPr>
          <w:rFonts w:cstheme="minorHAnsi"/>
          <w:szCs w:val="22"/>
        </w:rPr>
        <w:t>percentage</w:t>
      </w:r>
      <w:r w:rsidR="008B6F5E">
        <w:rPr>
          <w:rFonts w:cstheme="minorHAnsi"/>
          <w:szCs w:val="22"/>
        </w:rPr>
        <w:t xml:space="preserve"> was </w:t>
      </w:r>
      <w:r w:rsidR="00E23A71">
        <w:rPr>
          <w:rFonts w:cstheme="minorHAnsi"/>
          <w:b/>
          <w:szCs w:val="22"/>
        </w:rPr>
        <w:t>74.27</w:t>
      </w:r>
      <w:r w:rsidR="004A1DF2">
        <w:rPr>
          <w:rFonts w:cstheme="minorHAnsi"/>
          <w:b/>
          <w:szCs w:val="22"/>
        </w:rPr>
        <w:t>%</w:t>
      </w:r>
      <w:r w:rsidR="008B6F5E">
        <w:rPr>
          <w:rFonts w:cstheme="minorHAnsi"/>
          <w:szCs w:val="22"/>
        </w:rPr>
        <w:t xml:space="preserve">, the current </w:t>
      </w:r>
      <w:r w:rsidR="007748D1">
        <w:rPr>
          <w:rFonts w:cstheme="minorHAnsi"/>
          <w:szCs w:val="22"/>
        </w:rPr>
        <w:t xml:space="preserve">calculated </w:t>
      </w:r>
      <w:r w:rsidR="008B6F5E">
        <w:rPr>
          <w:rFonts w:cstheme="minorHAnsi"/>
          <w:szCs w:val="22"/>
        </w:rPr>
        <w:t xml:space="preserve">impervious </w:t>
      </w:r>
      <w:r w:rsidR="008B6F5E" w:rsidRPr="004A1DF2">
        <w:rPr>
          <w:rFonts w:cstheme="minorHAnsi"/>
          <w:szCs w:val="22"/>
        </w:rPr>
        <w:t>percentage</w:t>
      </w:r>
      <w:r w:rsidR="008B6F5E">
        <w:rPr>
          <w:rFonts w:cstheme="minorHAnsi"/>
          <w:szCs w:val="22"/>
        </w:rPr>
        <w:t xml:space="preserve"> is </w:t>
      </w:r>
      <w:r w:rsidR="00E23A71">
        <w:rPr>
          <w:rFonts w:cstheme="minorHAnsi"/>
          <w:b/>
          <w:szCs w:val="22"/>
        </w:rPr>
        <w:t>83.00</w:t>
      </w:r>
      <w:r w:rsidR="004A1DF2">
        <w:rPr>
          <w:rFonts w:cstheme="minorHAnsi"/>
          <w:b/>
          <w:szCs w:val="22"/>
        </w:rPr>
        <w:t>%</w:t>
      </w:r>
      <w:r w:rsidR="00F955CE">
        <w:rPr>
          <w:rFonts w:cstheme="minorHAnsi"/>
          <w:szCs w:val="22"/>
        </w:rPr>
        <w:t xml:space="preserve"> of the estimated impervious billable </w:t>
      </w:r>
      <w:r w:rsidR="00B637F3">
        <w:rPr>
          <w:rFonts w:cstheme="minorHAnsi"/>
          <w:szCs w:val="22"/>
        </w:rPr>
        <w:t>percentage</w:t>
      </w:r>
      <w:r w:rsidR="008B6F5E">
        <w:rPr>
          <w:rFonts w:cstheme="minorHAnsi"/>
          <w:szCs w:val="22"/>
        </w:rPr>
        <w:t xml:space="preserve">. See the </w:t>
      </w:r>
      <w:r w:rsidR="00E23A71">
        <w:rPr>
          <w:rFonts w:cstheme="minorHAnsi"/>
          <w:szCs w:val="22"/>
        </w:rPr>
        <w:t>table 3 that shows the difference and attached GIS ArcMap</w:t>
      </w:r>
      <w:r w:rsidR="008B6F5E">
        <w:rPr>
          <w:rFonts w:cstheme="minorHAnsi"/>
          <w:szCs w:val="22"/>
        </w:rPr>
        <w:t xml:space="preserve">.  </w:t>
      </w:r>
    </w:p>
    <w:p w:rsidR="00BB040A" w:rsidRPr="00BB040A" w:rsidRDefault="00BB040A" w:rsidP="006870D8">
      <w:pPr>
        <w:rPr>
          <w:b/>
        </w:rPr>
      </w:pPr>
    </w:p>
    <w:p w:rsidR="00BB040A" w:rsidRPr="00BB040A" w:rsidRDefault="00BB040A" w:rsidP="00BB040A">
      <w:pPr>
        <w:jc w:val="center"/>
        <w:rPr>
          <w:b/>
        </w:rPr>
      </w:pPr>
      <w:r>
        <w:rPr>
          <w:b/>
        </w:rPr>
        <w:t>Table 3</w:t>
      </w:r>
      <w:r w:rsidRPr="00BB040A">
        <w:rPr>
          <w:b/>
        </w:rPr>
        <w:t xml:space="preserve"> – Impervious Portion of Drainage Bills by Rate Class</w:t>
      </w:r>
    </w:p>
    <w:p w:rsidR="006870D8" w:rsidRDefault="00BB040A" w:rsidP="006870D8">
      <w:pPr>
        <w:spacing w:after="120"/>
        <w:jc w:val="center"/>
        <w:rPr>
          <w:b/>
        </w:rPr>
      </w:pPr>
      <w:r w:rsidRPr="00BB040A">
        <w:rPr>
          <w:b/>
        </w:rPr>
        <w:t xml:space="preserve">General Service and Large Residential (10,000 </w:t>
      </w:r>
      <w:proofErr w:type="spellStart"/>
      <w:r w:rsidRPr="00BB040A">
        <w:rPr>
          <w:b/>
        </w:rPr>
        <w:t>sq</w:t>
      </w:r>
      <w:proofErr w:type="spellEnd"/>
      <w:r w:rsidRPr="00BB040A">
        <w:rPr>
          <w:b/>
        </w:rPr>
        <w:t xml:space="preserve">, </w:t>
      </w:r>
      <w:proofErr w:type="spellStart"/>
      <w:r w:rsidRPr="00BB040A">
        <w:rPr>
          <w:b/>
        </w:rPr>
        <w:t>ft</w:t>
      </w:r>
      <w:proofErr w:type="spellEnd"/>
      <w:r w:rsidRPr="00BB040A">
        <w:rPr>
          <w:b/>
        </w:rPr>
        <w:t>, +) Parcels</w:t>
      </w:r>
    </w:p>
    <w:p w:rsidR="00E20704" w:rsidRPr="00BB040A" w:rsidRDefault="00E20704" w:rsidP="00BB040A">
      <w:pPr>
        <w:jc w:val="center"/>
        <w:rPr>
          <w:b/>
        </w:rPr>
      </w:pPr>
    </w:p>
    <w:tbl>
      <w:tblPr>
        <w:tblStyle w:val="TableGrid"/>
        <w:tblW w:w="0" w:type="auto"/>
        <w:tblInd w:w="720" w:type="dxa"/>
        <w:tblLook w:val="04A0" w:firstRow="1" w:lastRow="0" w:firstColumn="1" w:lastColumn="0" w:noHBand="0" w:noVBand="1"/>
      </w:tblPr>
      <w:tblGrid>
        <w:gridCol w:w="1255"/>
        <w:gridCol w:w="2258"/>
        <w:gridCol w:w="1667"/>
        <w:gridCol w:w="1869"/>
        <w:gridCol w:w="1869"/>
      </w:tblGrid>
      <w:tr w:rsidR="006870D8" w:rsidTr="006870D8">
        <w:tc>
          <w:tcPr>
            <w:tcW w:w="1255" w:type="dxa"/>
            <w:vMerge w:val="restart"/>
            <w:vAlign w:val="center"/>
          </w:tcPr>
          <w:p w:rsidR="006870D8" w:rsidRPr="006870D8" w:rsidRDefault="006870D8" w:rsidP="006870D8">
            <w:pPr>
              <w:jc w:val="center"/>
              <w:rPr>
                <w:b/>
              </w:rPr>
            </w:pPr>
            <w:r w:rsidRPr="006870D8">
              <w:rPr>
                <w:b/>
              </w:rPr>
              <w:t>2012 Rate Class</w:t>
            </w:r>
          </w:p>
        </w:tc>
        <w:tc>
          <w:tcPr>
            <w:tcW w:w="2258" w:type="dxa"/>
          </w:tcPr>
          <w:p w:rsidR="006870D8" w:rsidRDefault="006870D8" w:rsidP="00E23A71">
            <w:r>
              <w:t xml:space="preserve">Rate Tier </w:t>
            </w:r>
          </w:p>
        </w:tc>
        <w:tc>
          <w:tcPr>
            <w:tcW w:w="1667" w:type="dxa"/>
          </w:tcPr>
          <w:p w:rsidR="006870D8" w:rsidRDefault="006870D8" w:rsidP="00E23A71">
            <w:r>
              <w:t>Rate Class</w:t>
            </w:r>
          </w:p>
        </w:tc>
        <w:tc>
          <w:tcPr>
            <w:tcW w:w="1869" w:type="dxa"/>
          </w:tcPr>
          <w:p w:rsidR="006870D8" w:rsidRDefault="006870D8" w:rsidP="00E23A71">
            <w:r>
              <w:t>% of Property – Impervious Surface</w:t>
            </w:r>
          </w:p>
        </w:tc>
        <w:tc>
          <w:tcPr>
            <w:tcW w:w="1869" w:type="dxa"/>
          </w:tcPr>
          <w:p w:rsidR="006870D8" w:rsidRDefault="006870D8" w:rsidP="00E23A71">
            <w:r>
              <w:t>% of Bill – Impervious</w:t>
            </w:r>
          </w:p>
        </w:tc>
      </w:tr>
      <w:tr w:rsidR="006870D8" w:rsidTr="006870D8">
        <w:trPr>
          <w:trHeight w:val="432"/>
        </w:trPr>
        <w:tc>
          <w:tcPr>
            <w:tcW w:w="1255" w:type="dxa"/>
            <w:vMerge/>
          </w:tcPr>
          <w:p w:rsidR="006870D8" w:rsidRDefault="006870D8" w:rsidP="00E23A71"/>
        </w:tc>
        <w:tc>
          <w:tcPr>
            <w:tcW w:w="2258" w:type="dxa"/>
          </w:tcPr>
          <w:p w:rsidR="006870D8" w:rsidRDefault="006870D8" w:rsidP="00E23A71">
            <w:r>
              <w:t xml:space="preserve">Undeveloped </w:t>
            </w:r>
          </w:p>
        </w:tc>
        <w:tc>
          <w:tcPr>
            <w:tcW w:w="1667" w:type="dxa"/>
          </w:tcPr>
          <w:p w:rsidR="006870D8" w:rsidRDefault="006870D8" w:rsidP="00E23A71">
            <w:r>
              <w:t>G1</w:t>
            </w:r>
          </w:p>
        </w:tc>
        <w:tc>
          <w:tcPr>
            <w:tcW w:w="1869" w:type="dxa"/>
          </w:tcPr>
          <w:p w:rsidR="006870D8" w:rsidRDefault="006870D8" w:rsidP="00E23A71">
            <w:r>
              <w:t>0-15%</w:t>
            </w:r>
          </w:p>
        </w:tc>
        <w:tc>
          <w:tcPr>
            <w:tcW w:w="1869" w:type="dxa"/>
          </w:tcPr>
          <w:p w:rsidR="006870D8" w:rsidRDefault="006870D8" w:rsidP="00E23A71">
            <w:r>
              <w:t>19.57%</w:t>
            </w:r>
          </w:p>
        </w:tc>
      </w:tr>
      <w:tr w:rsidR="006870D8" w:rsidTr="006870D8">
        <w:trPr>
          <w:trHeight w:val="432"/>
        </w:trPr>
        <w:tc>
          <w:tcPr>
            <w:tcW w:w="1255" w:type="dxa"/>
            <w:vMerge/>
          </w:tcPr>
          <w:p w:rsidR="006870D8" w:rsidRDefault="006870D8" w:rsidP="00E23A71"/>
        </w:tc>
        <w:tc>
          <w:tcPr>
            <w:tcW w:w="2258" w:type="dxa"/>
          </w:tcPr>
          <w:p w:rsidR="006870D8" w:rsidRDefault="006870D8" w:rsidP="00E23A71">
            <w:r>
              <w:t xml:space="preserve">Light </w:t>
            </w:r>
          </w:p>
        </w:tc>
        <w:tc>
          <w:tcPr>
            <w:tcW w:w="1667" w:type="dxa"/>
          </w:tcPr>
          <w:p w:rsidR="006870D8" w:rsidRDefault="006870D8" w:rsidP="00E23A71">
            <w:r>
              <w:t>G2</w:t>
            </w:r>
          </w:p>
        </w:tc>
        <w:tc>
          <w:tcPr>
            <w:tcW w:w="1869" w:type="dxa"/>
          </w:tcPr>
          <w:p w:rsidR="006870D8" w:rsidRDefault="006870D8" w:rsidP="00E23A71">
            <w:r>
              <w:t>16-35%</w:t>
            </w:r>
          </w:p>
        </w:tc>
        <w:tc>
          <w:tcPr>
            <w:tcW w:w="1869" w:type="dxa"/>
          </w:tcPr>
          <w:p w:rsidR="006870D8" w:rsidRDefault="006870D8" w:rsidP="00E23A71">
            <w:r>
              <w:t>48.93%</w:t>
            </w:r>
          </w:p>
        </w:tc>
      </w:tr>
      <w:tr w:rsidR="006870D8" w:rsidTr="006870D8">
        <w:trPr>
          <w:trHeight w:val="432"/>
        </w:trPr>
        <w:tc>
          <w:tcPr>
            <w:tcW w:w="1255" w:type="dxa"/>
            <w:vMerge/>
          </w:tcPr>
          <w:p w:rsidR="006870D8" w:rsidRDefault="006870D8" w:rsidP="00E23A71"/>
        </w:tc>
        <w:tc>
          <w:tcPr>
            <w:tcW w:w="2258" w:type="dxa"/>
          </w:tcPr>
          <w:p w:rsidR="006870D8" w:rsidRDefault="006870D8" w:rsidP="00E23A71">
            <w:r>
              <w:t>Medium</w:t>
            </w:r>
          </w:p>
        </w:tc>
        <w:tc>
          <w:tcPr>
            <w:tcW w:w="1667" w:type="dxa"/>
          </w:tcPr>
          <w:p w:rsidR="006870D8" w:rsidRDefault="006870D8" w:rsidP="00E23A71">
            <w:r>
              <w:t>G3</w:t>
            </w:r>
          </w:p>
        </w:tc>
        <w:tc>
          <w:tcPr>
            <w:tcW w:w="1869" w:type="dxa"/>
          </w:tcPr>
          <w:p w:rsidR="006870D8" w:rsidRDefault="006870D8" w:rsidP="00E23A71">
            <w:r>
              <w:t>36-66%</w:t>
            </w:r>
          </w:p>
        </w:tc>
        <w:tc>
          <w:tcPr>
            <w:tcW w:w="1869" w:type="dxa"/>
          </w:tcPr>
          <w:p w:rsidR="006870D8" w:rsidRDefault="006870D8" w:rsidP="00E23A71">
            <w:r>
              <w:t>74.27%</w:t>
            </w:r>
          </w:p>
        </w:tc>
      </w:tr>
      <w:tr w:rsidR="006870D8" w:rsidTr="006870D8">
        <w:trPr>
          <w:trHeight w:val="432"/>
        </w:trPr>
        <w:tc>
          <w:tcPr>
            <w:tcW w:w="1255" w:type="dxa"/>
            <w:vMerge/>
          </w:tcPr>
          <w:p w:rsidR="006870D8" w:rsidRDefault="006870D8" w:rsidP="00E23A71"/>
        </w:tc>
        <w:tc>
          <w:tcPr>
            <w:tcW w:w="2258" w:type="dxa"/>
          </w:tcPr>
          <w:p w:rsidR="006870D8" w:rsidRDefault="006870D8" w:rsidP="00E23A71">
            <w:r>
              <w:t>Heavy</w:t>
            </w:r>
          </w:p>
        </w:tc>
        <w:tc>
          <w:tcPr>
            <w:tcW w:w="1667" w:type="dxa"/>
          </w:tcPr>
          <w:p w:rsidR="006870D8" w:rsidRDefault="006870D8" w:rsidP="00E23A71">
            <w:r>
              <w:t>G4</w:t>
            </w:r>
          </w:p>
        </w:tc>
        <w:tc>
          <w:tcPr>
            <w:tcW w:w="1869" w:type="dxa"/>
          </w:tcPr>
          <w:p w:rsidR="006870D8" w:rsidRDefault="006870D8" w:rsidP="00E23A71">
            <w:r>
              <w:t>66-85%</w:t>
            </w:r>
          </w:p>
        </w:tc>
        <w:tc>
          <w:tcPr>
            <w:tcW w:w="1869" w:type="dxa"/>
          </w:tcPr>
          <w:p w:rsidR="006870D8" w:rsidRDefault="006870D8" w:rsidP="00E23A71">
            <w:r>
              <w:t>89.99%</w:t>
            </w:r>
          </w:p>
        </w:tc>
      </w:tr>
      <w:tr w:rsidR="006870D8" w:rsidTr="006870D8">
        <w:trPr>
          <w:trHeight w:val="432"/>
        </w:trPr>
        <w:tc>
          <w:tcPr>
            <w:tcW w:w="1255" w:type="dxa"/>
            <w:vMerge/>
          </w:tcPr>
          <w:p w:rsidR="006870D8" w:rsidRDefault="006870D8" w:rsidP="00E23A71"/>
        </w:tc>
        <w:tc>
          <w:tcPr>
            <w:tcW w:w="2258" w:type="dxa"/>
          </w:tcPr>
          <w:p w:rsidR="006870D8" w:rsidRDefault="006870D8" w:rsidP="00E23A71">
            <w:r>
              <w:t>Very Heavy</w:t>
            </w:r>
          </w:p>
        </w:tc>
        <w:tc>
          <w:tcPr>
            <w:tcW w:w="1667" w:type="dxa"/>
          </w:tcPr>
          <w:p w:rsidR="006870D8" w:rsidRDefault="006870D8" w:rsidP="00E23A71">
            <w:r>
              <w:t>G5</w:t>
            </w:r>
          </w:p>
        </w:tc>
        <w:tc>
          <w:tcPr>
            <w:tcW w:w="1869" w:type="dxa"/>
          </w:tcPr>
          <w:p w:rsidR="006870D8" w:rsidRDefault="006870D8" w:rsidP="00E23A71">
            <w:r>
              <w:t>86-100%</w:t>
            </w:r>
          </w:p>
        </w:tc>
        <w:tc>
          <w:tcPr>
            <w:tcW w:w="1869" w:type="dxa"/>
          </w:tcPr>
          <w:p w:rsidR="006870D8" w:rsidRDefault="006870D8" w:rsidP="00E23A71">
            <w:r>
              <w:t>97.41%</w:t>
            </w:r>
          </w:p>
        </w:tc>
      </w:tr>
    </w:tbl>
    <w:p w:rsidR="00EC1DA6" w:rsidRPr="00BB040A" w:rsidRDefault="00EC1DA6" w:rsidP="00E23A71">
      <w:pPr>
        <w:ind w:left="720"/>
      </w:pPr>
    </w:p>
    <w:p w:rsidR="00BB040A" w:rsidRPr="00BB040A" w:rsidRDefault="00BB040A" w:rsidP="00BB040A">
      <w:pPr>
        <w:rPr>
          <w:b/>
        </w:rPr>
      </w:pPr>
    </w:p>
    <w:p w:rsidR="00E20704" w:rsidRDefault="00E20704" w:rsidP="00E20704"/>
    <w:p w:rsidR="00E20704" w:rsidRDefault="00E20704" w:rsidP="00E20704">
      <w:pPr>
        <w:ind w:firstLine="720"/>
      </w:pPr>
    </w:p>
    <w:tbl>
      <w:tblPr>
        <w:tblStyle w:val="TableGrid"/>
        <w:tblW w:w="0" w:type="auto"/>
        <w:tblInd w:w="715" w:type="dxa"/>
        <w:tblLook w:val="04A0" w:firstRow="1" w:lastRow="0" w:firstColumn="1" w:lastColumn="0" w:noHBand="0" w:noVBand="1"/>
      </w:tblPr>
      <w:tblGrid>
        <w:gridCol w:w="1260"/>
        <w:gridCol w:w="2306"/>
        <w:gridCol w:w="1691"/>
        <w:gridCol w:w="1858"/>
        <w:gridCol w:w="1808"/>
      </w:tblGrid>
      <w:tr w:rsidR="006870D8" w:rsidTr="006870D8">
        <w:tc>
          <w:tcPr>
            <w:tcW w:w="1260" w:type="dxa"/>
            <w:vMerge w:val="restart"/>
            <w:vAlign w:val="center"/>
          </w:tcPr>
          <w:p w:rsidR="006870D8" w:rsidRPr="006870D8" w:rsidRDefault="006870D8" w:rsidP="006870D8">
            <w:pPr>
              <w:spacing w:after="180"/>
              <w:jc w:val="center"/>
              <w:rPr>
                <w:b/>
                <w:color w:val="000000"/>
              </w:rPr>
            </w:pPr>
            <w:r w:rsidRPr="006870D8">
              <w:rPr>
                <w:b/>
                <w:color w:val="000000"/>
              </w:rPr>
              <w:t>2015 Rate Class</w:t>
            </w:r>
          </w:p>
        </w:tc>
        <w:tc>
          <w:tcPr>
            <w:tcW w:w="2306" w:type="dxa"/>
          </w:tcPr>
          <w:p w:rsidR="006870D8" w:rsidRDefault="006870D8" w:rsidP="001A21EA">
            <w:pPr>
              <w:spacing w:after="180"/>
              <w:rPr>
                <w:color w:val="000000"/>
              </w:rPr>
            </w:pPr>
            <w:r>
              <w:rPr>
                <w:color w:val="000000"/>
              </w:rPr>
              <w:t xml:space="preserve">Rate Tier </w:t>
            </w:r>
          </w:p>
        </w:tc>
        <w:tc>
          <w:tcPr>
            <w:tcW w:w="1691" w:type="dxa"/>
          </w:tcPr>
          <w:p w:rsidR="006870D8" w:rsidRDefault="006870D8" w:rsidP="001A21EA">
            <w:pPr>
              <w:spacing w:after="180"/>
              <w:rPr>
                <w:color w:val="000000"/>
              </w:rPr>
            </w:pPr>
            <w:r>
              <w:rPr>
                <w:color w:val="000000"/>
              </w:rPr>
              <w:t>Rate Class</w:t>
            </w:r>
          </w:p>
        </w:tc>
        <w:tc>
          <w:tcPr>
            <w:tcW w:w="1858" w:type="dxa"/>
          </w:tcPr>
          <w:p w:rsidR="006870D8" w:rsidRDefault="006870D8" w:rsidP="001A21EA">
            <w:pPr>
              <w:spacing w:after="180"/>
              <w:rPr>
                <w:color w:val="000000"/>
              </w:rPr>
            </w:pPr>
            <w:r>
              <w:rPr>
                <w:color w:val="000000"/>
              </w:rPr>
              <w:t xml:space="preserve">% of Property – Impervious Surface </w:t>
            </w:r>
          </w:p>
        </w:tc>
        <w:tc>
          <w:tcPr>
            <w:tcW w:w="1808" w:type="dxa"/>
          </w:tcPr>
          <w:p w:rsidR="006870D8" w:rsidRDefault="006870D8" w:rsidP="001A21EA">
            <w:pPr>
              <w:spacing w:after="180"/>
              <w:rPr>
                <w:color w:val="000000"/>
              </w:rPr>
            </w:pPr>
            <w:r>
              <w:rPr>
                <w:color w:val="000000"/>
              </w:rPr>
              <w:t>% of Bill – Impervious</w:t>
            </w:r>
          </w:p>
        </w:tc>
      </w:tr>
      <w:tr w:rsidR="006870D8" w:rsidTr="006870D8">
        <w:trPr>
          <w:trHeight w:val="144"/>
        </w:trPr>
        <w:tc>
          <w:tcPr>
            <w:tcW w:w="1260" w:type="dxa"/>
            <w:vMerge/>
          </w:tcPr>
          <w:p w:rsidR="006870D8" w:rsidRDefault="006870D8" w:rsidP="001A21EA">
            <w:pPr>
              <w:spacing w:after="180"/>
              <w:rPr>
                <w:color w:val="000000"/>
              </w:rPr>
            </w:pPr>
          </w:p>
        </w:tc>
        <w:tc>
          <w:tcPr>
            <w:tcW w:w="2306" w:type="dxa"/>
          </w:tcPr>
          <w:p w:rsidR="006870D8" w:rsidRDefault="006870D8" w:rsidP="001A21EA">
            <w:pPr>
              <w:spacing w:after="180"/>
              <w:rPr>
                <w:color w:val="000000"/>
              </w:rPr>
            </w:pPr>
            <w:r>
              <w:rPr>
                <w:color w:val="000000"/>
              </w:rPr>
              <w:t>Underdeveloped-Regular</w:t>
            </w:r>
          </w:p>
        </w:tc>
        <w:tc>
          <w:tcPr>
            <w:tcW w:w="1691" w:type="dxa"/>
          </w:tcPr>
          <w:p w:rsidR="006870D8" w:rsidRDefault="006870D8" w:rsidP="001A21EA">
            <w:pPr>
              <w:spacing w:after="180"/>
              <w:rPr>
                <w:color w:val="000000"/>
              </w:rPr>
            </w:pPr>
            <w:r>
              <w:rPr>
                <w:color w:val="000000"/>
              </w:rPr>
              <w:t>G1</w:t>
            </w:r>
          </w:p>
        </w:tc>
        <w:tc>
          <w:tcPr>
            <w:tcW w:w="1858" w:type="dxa"/>
          </w:tcPr>
          <w:p w:rsidR="006870D8" w:rsidRDefault="006870D8" w:rsidP="001A21EA">
            <w:pPr>
              <w:spacing w:after="180"/>
              <w:rPr>
                <w:color w:val="000000"/>
              </w:rPr>
            </w:pPr>
            <w:r>
              <w:rPr>
                <w:color w:val="000000"/>
              </w:rPr>
              <w:t>0-15%</w:t>
            </w:r>
          </w:p>
        </w:tc>
        <w:tc>
          <w:tcPr>
            <w:tcW w:w="1808" w:type="dxa"/>
          </w:tcPr>
          <w:p w:rsidR="006870D8" w:rsidRDefault="006870D8" w:rsidP="001A21EA">
            <w:pPr>
              <w:spacing w:after="180"/>
              <w:rPr>
                <w:color w:val="000000"/>
              </w:rPr>
            </w:pPr>
            <w:r>
              <w:rPr>
                <w:color w:val="000000"/>
              </w:rPr>
              <w:t>30%</w:t>
            </w:r>
          </w:p>
        </w:tc>
      </w:tr>
      <w:tr w:rsidR="006870D8" w:rsidTr="006870D8">
        <w:trPr>
          <w:trHeight w:val="144"/>
        </w:trPr>
        <w:tc>
          <w:tcPr>
            <w:tcW w:w="1260" w:type="dxa"/>
            <w:vMerge/>
          </w:tcPr>
          <w:p w:rsidR="006870D8" w:rsidRDefault="006870D8" w:rsidP="001A21EA">
            <w:pPr>
              <w:spacing w:after="180"/>
              <w:rPr>
                <w:color w:val="000000"/>
              </w:rPr>
            </w:pPr>
          </w:p>
        </w:tc>
        <w:tc>
          <w:tcPr>
            <w:tcW w:w="2306" w:type="dxa"/>
          </w:tcPr>
          <w:p w:rsidR="006870D8" w:rsidRDefault="006870D8" w:rsidP="001A21EA">
            <w:pPr>
              <w:spacing w:after="180"/>
              <w:rPr>
                <w:color w:val="000000"/>
              </w:rPr>
            </w:pPr>
            <w:r>
              <w:rPr>
                <w:color w:val="000000"/>
              </w:rPr>
              <w:t xml:space="preserve">Underdeveloped-Low Impact </w:t>
            </w:r>
          </w:p>
        </w:tc>
        <w:tc>
          <w:tcPr>
            <w:tcW w:w="1691" w:type="dxa"/>
          </w:tcPr>
          <w:p w:rsidR="006870D8" w:rsidRDefault="006870D8" w:rsidP="001A21EA">
            <w:pPr>
              <w:spacing w:after="180"/>
              <w:rPr>
                <w:color w:val="000000"/>
              </w:rPr>
            </w:pPr>
            <w:r>
              <w:rPr>
                <w:color w:val="000000"/>
              </w:rPr>
              <w:t>G1L</w:t>
            </w:r>
          </w:p>
        </w:tc>
        <w:tc>
          <w:tcPr>
            <w:tcW w:w="1858" w:type="dxa"/>
          </w:tcPr>
          <w:p w:rsidR="006870D8" w:rsidRDefault="006870D8" w:rsidP="001A21EA">
            <w:pPr>
              <w:spacing w:after="180"/>
              <w:rPr>
                <w:color w:val="000000"/>
              </w:rPr>
            </w:pPr>
            <w:r>
              <w:rPr>
                <w:color w:val="000000"/>
              </w:rPr>
              <w:t>0-15%</w:t>
            </w:r>
          </w:p>
        </w:tc>
        <w:tc>
          <w:tcPr>
            <w:tcW w:w="1808" w:type="dxa"/>
          </w:tcPr>
          <w:p w:rsidR="006870D8" w:rsidRDefault="006870D8" w:rsidP="001A21EA">
            <w:pPr>
              <w:spacing w:after="180"/>
              <w:rPr>
                <w:color w:val="000000"/>
              </w:rPr>
            </w:pPr>
            <w:r>
              <w:rPr>
                <w:color w:val="000000"/>
              </w:rPr>
              <w:t>23%</w:t>
            </w:r>
          </w:p>
        </w:tc>
      </w:tr>
      <w:tr w:rsidR="006870D8" w:rsidTr="006870D8">
        <w:trPr>
          <w:trHeight w:val="144"/>
        </w:trPr>
        <w:tc>
          <w:tcPr>
            <w:tcW w:w="1260" w:type="dxa"/>
            <w:vMerge/>
          </w:tcPr>
          <w:p w:rsidR="006870D8" w:rsidRDefault="006870D8" w:rsidP="001A21EA">
            <w:pPr>
              <w:spacing w:after="180"/>
              <w:rPr>
                <w:color w:val="000000"/>
              </w:rPr>
            </w:pPr>
          </w:p>
        </w:tc>
        <w:tc>
          <w:tcPr>
            <w:tcW w:w="2306" w:type="dxa"/>
          </w:tcPr>
          <w:p w:rsidR="006870D8" w:rsidRDefault="006870D8" w:rsidP="001A21EA">
            <w:pPr>
              <w:spacing w:after="180"/>
              <w:rPr>
                <w:color w:val="000000"/>
              </w:rPr>
            </w:pPr>
            <w:r>
              <w:rPr>
                <w:color w:val="000000"/>
              </w:rPr>
              <w:t>Light-Regular</w:t>
            </w:r>
          </w:p>
        </w:tc>
        <w:tc>
          <w:tcPr>
            <w:tcW w:w="1691" w:type="dxa"/>
          </w:tcPr>
          <w:p w:rsidR="006870D8" w:rsidRDefault="006870D8" w:rsidP="001A21EA">
            <w:pPr>
              <w:spacing w:after="180"/>
              <w:rPr>
                <w:color w:val="000000"/>
              </w:rPr>
            </w:pPr>
            <w:r>
              <w:rPr>
                <w:color w:val="000000"/>
              </w:rPr>
              <w:t>G2</w:t>
            </w:r>
          </w:p>
        </w:tc>
        <w:tc>
          <w:tcPr>
            <w:tcW w:w="1858" w:type="dxa"/>
          </w:tcPr>
          <w:p w:rsidR="006870D8" w:rsidRDefault="006870D8" w:rsidP="001A21EA">
            <w:pPr>
              <w:spacing w:after="180"/>
              <w:rPr>
                <w:color w:val="000000"/>
              </w:rPr>
            </w:pPr>
            <w:r>
              <w:rPr>
                <w:color w:val="000000"/>
              </w:rPr>
              <w:t>16-35%</w:t>
            </w:r>
          </w:p>
        </w:tc>
        <w:tc>
          <w:tcPr>
            <w:tcW w:w="1808" w:type="dxa"/>
          </w:tcPr>
          <w:p w:rsidR="006870D8" w:rsidRDefault="006870D8" w:rsidP="001A21EA">
            <w:pPr>
              <w:spacing w:after="180"/>
              <w:rPr>
                <w:color w:val="000000"/>
              </w:rPr>
            </w:pPr>
            <w:r>
              <w:rPr>
                <w:color w:val="000000"/>
              </w:rPr>
              <w:t>63%</w:t>
            </w:r>
          </w:p>
        </w:tc>
      </w:tr>
      <w:tr w:rsidR="006870D8" w:rsidTr="006870D8">
        <w:trPr>
          <w:trHeight w:val="144"/>
        </w:trPr>
        <w:tc>
          <w:tcPr>
            <w:tcW w:w="1260" w:type="dxa"/>
            <w:vMerge/>
          </w:tcPr>
          <w:p w:rsidR="006870D8" w:rsidRDefault="006870D8" w:rsidP="001A21EA">
            <w:pPr>
              <w:spacing w:after="180"/>
              <w:rPr>
                <w:color w:val="000000"/>
              </w:rPr>
            </w:pPr>
          </w:p>
        </w:tc>
        <w:tc>
          <w:tcPr>
            <w:tcW w:w="2306" w:type="dxa"/>
          </w:tcPr>
          <w:p w:rsidR="006870D8" w:rsidRDefault="006870D8" w:rsidP="001A21EA">
            <w:pPr>
              <w:spacing w:after="180"/>
              <w:rPr>
                <w:color w:val="000000"/>
              </w:rPr>
            </w:pPr>
            <w:r>
              <w:rPr>
                <w:color w:val="000000"/>
              </w:rPr>
              <w:t>Light-Low Impact</w:t>
            </w:r>
          </w:p>
        </w:tc>
        <w:tc>
          <w:tcPr>
            <w:tcW w:w="1691" w:type="dxa"/>
          </w:tcPr>
          <w:p w:rsidR="006870D8" w:rsidRDefault="006870D8" w:rsidP="001A21EA">
            <w:pPr>
              <w:spacing w:after="180"/>
              <w:rPr>
                <w:color w:val="000000"/>
              </w:rPr>
            </w:pPr>
            <w:r>
              <w:rPr>
                <w:color w:val="000000"/>
              </w:rPr>
              <w:t>G2L</w:t>
            </w:r>
          </w:p>
        </w:tc>
        <w:tc>
          <w:tcPr>
            <w:tcW w:w="1858" w:type="dxa"/>
          </w:tcPr>
          <w:p w:rsidR="006870D8" w:rsidRDefault="006870D8" w:rsidP="001A21EA">
            <w:pPr>
              <w:spacing w:after="180"/>
              <w:rPr>
                <w:color w:val="000000"/>
              </w:rPr>
            </w:pPr>
            <w:r>
              <w:rPr>
                <w:color w:val="000000"/>
              </w:rPr>
              <w:t>16-35%</w:t>
            </w:r>
          </w:p>
        </w:tc>
        <w:tc>
          <w:tcPr>
            <w:tcW w:w="1808" w:type="dxa"/>
          </w:tcPr>
          <w:p w:rsidR="006870D8" w:rsidRDefault="006870D8" w:rsidP="001A21EA">
            <w:pPr>
              <w:spacing w:after="180"/>
              <w:rPr>
                <w:color w:val="000000"/>
              </w:rPr>
            </w:pPr>
            <w:r>
              <w:rPr>
                <w:color w:val="000000"/>
              </w:rPr>
              <w:t>62%</w:t>
            </w:r>
          </w:p>
        </w:tc>
      </w:tr>
      <w:tr w:rsidR="006870D8" w:rsidTr="006870D8">
        <w:trPr>
          <w:trHeight w:val="144"/>
        </w:trPr>
        <w:tc>
          <w:tcPr>
            <w:tcW w:w="1260" w:type="dxa"/>
            <w:vMerge/>
          </w:tcPr>
          <w:p w:rsidR="006870D8" w:rsidRDefault="006870D8" w:rsidP="001A21EA">
            <w:pPr>
              <w:spacing w:after="180"/>
              <w:rPr>
                <w:color w:val="000000"/>
              </w:rPr>
            </w:pPr>
          </w:p>
        </w:tc>
        <w:tc>
          <w:tcPr>
            <w:tcW w:w="2306" w:type="dxa"/>
          </w:tcPr>
          <w:p w:rsidR="006870D8" w:rsidRDefault="006870D8" w:rsidP="001A21EA">
            <w:pPr>
              <w:spacing w:after="180"/>
              <w:rPr>
                <w:color w:val="000000"/>
              </w:rPr>
            </w:pPr>
            <w:r>
              <w:rPr>
                <w:color w:val="000000"/>
              </w:rPr>
              <w:t>Moderate-Regular</w:t>
            </w:r>
          </w:p>
        </w:tc>
        <w:tc>
          <w:tcPr>
            <w:tcW w:w="1691" w:type="dxa"/>
          </w:tcPr>
          <w:p w:rsidR="006870D8" w:rsidRDefault="006870D8" w:rsidP="001A21EA">
            <w:pPr>
              <w:spacing w:after="180"/>
              <w:rPr>
                <w:color w:val="000000"/>
              </w:rPr>
            </w:pPr>
            <w:r>
              <w:rPr>
                <w:color w:val="000000"/>
              </w:rPr>
              <w:t>G3</w:t>
            </w:r>
          </w:p>
        </w:tc>
        <w:tc>
          <w:tcPr>
            <w:tcW w:w="1858" w:type="dxa"/>
          </w:tcPr>
          <w:p w:rsidR="006870D8" w:rsidRDefault="006870D8" w:rsidP="001A21EA">
            <w:pPr>
              <w:spacing w:after="180"/>
              <w:rPr>
                <w:color w:val="000000"/>
              </w:rPr>
            </w:pPr>
            <w:r>
              <w:rPr>
                <w:color w:val="000000"/>
              </w:rPr>
              <w:t>36-65%</w:t>
            </w:r>
          </w:p>
        </w:tc>
        <w:tc>
          <w:tcPr>
            <w:tcW w:w="1808" w:type="dxa"/>
          </w:tcPr>
          <w:p w:rsidR="006870D8" w:rsidRDefault="006870D8" w:rsidP="001A21EA">
            <w:pPr>
              <w:spacing w:after="180"/>
              <w:rPr>
                <w:color w:val="000000"/>
              </w:rPr>
            </w:pPr>
            <w:r>
              <w:rPr>
                <w:color w:val="000000"/>
              </w:rPr>
              <w:t>83%</w:t>
            </w:r>
          </w:p>
        </w:tc>
      </w:tr>
      <w:tr w:rsidR="006870D8" w:rsidTr="006870D8">
        <w:trPr>
          <w:trHeight w:val="144"/>
        </w:trPr>
        <w:tc>
          <w:tcPr>
            <w:tcW w:w="1260" w:type="dxa"/>
            <w:vMerge/>
          </w:tcPr>
          <w:p w:rsidR="006870D8" w:rsidRDefault="006870D8" w:rsidP="001A21EA">
            <w:pPr>
              <w:spacing w:after="180"/>
              <w:rPr>
                <w:color w:val="000000"/>
              </w:rPr>
            </w:pPr>
          </w:p>
        </w:tc>
        <w:tc>
          <w:tcPr>
            <w:tcW w:w="2306" w:type="dxa"/>
          </w:tcPr>
          <w:p w:rsidR="006870D8" w:rsidRDefault="006870D8" w:rsidP="001A21EA">
            <w:pPr>
              <w:spacing w:after="180"/>
              <w:rPr>
                <w:color w:val="000000"/>
              </w:rPr>
            </w:pPr>
            <w:r>
              <w:rPr>
                <w:color w:val="000000"/>
              </w:rPr>
              <w:t>Moderate-Low Impact</w:t>
            </w:r>
          </w:p>
        </w:tc>
        <w:tc>
          <w:tcPr>
            <w:tcW w:w="1691" w:type="dxa"/>
          </w:tcPr>
          <w:p w:rsidR="006870D8" w:rsidRDefault="006870D8" w:rsidP="001A21EA">
            <w:pPr>
              <w:spacing w:after="180"/>
              <w:rPr>
                <w:color w:val="000000"/>
              </w:rPr>
            </w:pPr>
            <w:r>
              <w:rPr>
                <w:color w:val="000000"/>
              </w:rPr>
              <w:t>G3L</w:t>
            </w:r>
          </w:p>
        </w:tc>
        <w:tc>
          <w:tcPr>
            <w:tcW w:w="1858" w:type="dxa"/>
          </w:tcPr>
          <w:p w:rsidR="006870D8" w:rsidRDefault="006870D8" w:rsidP="001A21EA">
            <w:pPr>
              <w:spacing w:after="180"/>
              <w:rPr>
                <w:color w:val="000000"/>
              </w:rPr>
            </w:pPr>
            <w:r>
              <w:rPr>
                <w:color w:val="000000"/>
              </w:rPr>
              <w:t>36-65%</w:t>
            </w:r>
          </w:p>
        </w:tc>
        <w:tc>
          <w:tcPr>
            <w:tcW w:w="1808" w:type="dxa"/>
          </w:tcPr>
          <w:p w:rsidR="006870D8" w:rsidRDefault="006870D8" w:rsidP="001A21EA">
            <w:pPr>
              <w:spacing w:after="180"/>
              <w:rPr>
                <w:color w:val="000000"/>
              </w:rPr>
            </w:pPr>
            <w:r>
              <w:rPr>
                <w:color w:val="000000"/>
              </w:rPr>
              <w:t>79%</w:t>
            </w:r>
          </w:p>
        </w:tc>
      </w:tr>
      <w:tr w:rsidR="006870D8" w:rsidTr="006870D8">
        <w:trPr>
          <w:trHeight w:val="144"/>
        </w:trPr>
        <w:tc>
          <w:tcPr>
            <w:tcW w:w="1260" w:type="dxa"/>
            <w:vMerge/>
          </w:tcPr>
          <w:p w:rsidR="006870D8" w:rsidRDefault="006870D8" w:rsidP="001A21EA">
            <w:pPr>
              <w:spacing w:after="180"/>
              <w:rPr>
                <w:color w:val="000000"/>
              </w:rPr>
            </w:pPr>
          </w:p>
        </w:tc>
        <w:tc>
          <w:tcPr>
            <w:tcW w:w="2306" w:type="dxa"/>
          </w:tcPr>
          <w:p w:rsidR="006870D8" w:rsidRDefault="006870D8" w:rsidP="001A21EA">
            <w:pPr>
              <w:spacing w:after="180"/>
              <w:rPr>
                <w:color w:val="000000"/>
              </w:rPr>
            </w:pPr>
            <w:r>
              <w:rPr>
                <w:color w:val="000000"/>
              </w:rPr>
              <w:t>Heavy</w:t>
            </w:r>
          </w:p>
        </w:tc>
        <w:tc>
          <w:tcPr>
            <w:tcW w:w="1691" w:type="dxa"/>
          </w:tcPr>
          <w:p w:rsidR="006870D8" w:rsidRDefault="006870D8" w:rsidP="001A21EA">
            <w:pPr>
              <w:spacing w:after="180"/>
              <w:rPr>
                <w:color w:val="000000"/>
              </w:rPr>
            </w:pPr>
            <w:r>
              <w:rPr>
                <w:color w:val="000000"/>
              </w:rPr>
              <w:t>G4</w:t>
            </w:r>
          </w:p>
        </w:tc>
        <w:tc>
          <w:tcPr>
            <w:tcW w:w="1858" w:type="dxa"/>
          </w:tcPr>
          <w:p w:rsidR="006870D8" w:rsidRDefault="006870D8" w:rsidP="001A21EA">
            <w:pPr>
              <w:spacing w:after="180"/>
              <w:rPr>
                <w:color w:val="000000"/>
              </w:rPr>
            </w:pPr>
            <w:r>
              <w:rPr>
                <w:color w:val="000000"/>
              </w:rPr>
              <w:t>66-85%</w:t>
            </w:r>
          </w:p>
        </w:tc>
        <w:tc>
          <w:tcPr>
            <w:tcW w:w="1808" w:type="dxa"/>
          </w:tcPr>
          <w:p w:rsidR="006870D8" w:rsidRDefault="006870D8" w:rsidP="001A21EA">
            <w:pPr>
              <w:spacing w:after="180"/>
              <w:rPr>
                <w:color w:val="000000"/>
              </w:rPr>
            </w:pPr>
            <w:r>
              <w:rPr>
                <w:color w:val="000000"/>
              </w:rPr>
              <w:t>93%</w:t>
            </w:r>
          </w:p>
        </w:tc>
      </w:tr>
      <w:tr w:rsidR="006870D8" w:rsidTr="006870D8">
        <w:trPr>
          <w:trHeight w:val="144"/>
        </w:trPr>
        <w:tc>
          <w:tcPr>
            <w:tcW w:w="1260" w:type="dxa"/>
            <w:vMerge/>
          </w:tcPr>
          <w:p w:rsidR="006870D8" w:rsidRDefault="006870D8" w:rsidP="001A21EA">
            <w:pPr>
              <w:spacing w:after="180"/>
              <w:rPr>
                <w:color w:val="000000"/>
              </w:rPr>
            </w:pPr>
          </w:p>
        </w:tc>
        <w:tc>
          <w:tcPr>
            <w:tcW w:w="2306" w:type="dxa"/>
          </w:tcPr>
          <w:p w:rsidR="006870D8" w:rsidRDefault="006870D8" w:rsidP="001A21EA">
            <w:pPr>
              <w:spacing w:after="180"/>
              <w:rPr>
                <w:color w:val="000000"/>
              </w:rPr>
            </w:pPr>
            <w:r>
              <w:rPr>
                <w:color w:val="000000"/>
              </w:rPr>
              <w:t>Very Heavy</w:t>
            </w:r>
          </w:p>
        </w:tc>
        <w:tc>
          <w:tcPr>
            <w:tcW w:w="1691" w:type="dxa"/>
          </w:tcPr>
          <w:p w:rsidR="006870D8" w:rsidRDefault="006870D8" w:rsidP="001A21EA">
            <w:pPr>
              <w:spacing w:after="180"/>
              <w:rPr>
                <w:color w:val="000000"/>
              </w:rPr>
            </w:pPr>
            <w:r>
              <w:rPr>
                <w:color w:val="000000"/>
              </w:rPr>
              <w:t>G5</w:t>
            </w:r>
          </w:p>
        </w:tc>
        <w:tc>
          <w:tcPr>
            <w:tcW w:w="1858" w:type="dxa"/>
          </w:tcPr>
          <w:p w:rsidR="006870D8" w:rsidRDefault="006870D8" w:rsidP="001A21EA">
            <w:pPr>
              <w:spacing w:after="180"/>
              <w:rPr>
                <w:color w:val="000000"/>
              </w:rPr>
            </w:pPr>
            <w:r>
              <w:rPr>
                <w:color w:val="000000"/>
              </w:rPr>
              <w:t>86-100%</w:t>
            </w:r>
          </w:p>
        </w:tc>
        <w:tc>
          <w:tcPr>
            <w:tcW w:w="1808" w:type="dxa"/>
          </w:tcPr>
          <w:p w:rsidR="006870D8" w:rsidRDefault="006870D8" w:rsidP="001A21EA">
            <w:pPr>
              <w:spacing w:after="180"/>
              <w:rPr>
                <w:color w:val="000000"/>
              </w:rPr>
            </w:pPr>
            <w:r>
              <w:rPr>
                <w:color w:val="000000"/>
              </w:rPr>
              <w:t>99%</w:t>
            </w:r>
          </w:p>
        </w:tc>
      </w:tr>
    </w:tbl>
    <w:p w:rsidR="00600E9E" w:rsidRDefault="00600E9E" w:rsidP="001A21EA">
      <w:pPr>
        <w:spacing w:after="180"/>
        <w:rPr>
          <w:color w:val="000000"/>
        </w:rPr>
      </w:pPr>
    </w:p>
    <w:p w:rsidR="00600E9E" w:rsidRDefault="001A21EA" w:rsidP="006870D8">
      <w:pPr>
        <w:spacing w:after="180" w:line="276" w:lineRule="auto"/>
        <w:rPr>
          <w:color w:val="000000"/>
        </w:rPr>
      </w:pPr>
      <w:r w:rsidRPr="00593766">
        <w:rPr>
          <w:color w:val="000000"/>
        </w:rPr>
        <w:t>For further information about how the drainage bill is c</w:t>
      </w:r>
      <w:r w:rsidR="00600E9E">
        <w:rPr>
          <w:color w:val="000000"/>
        </w:rPr>
        <w:t xml:space="preserve">alculated visit SPU Drainage &amp; Sewer website at </w:t>
      </w:r>
      <w:hyperlink r:id="rId8" w:history="1">
        <w:r w:rsidRPr="00593766">
          <w:rPr>
            <w:rStyle w:val="Hyperlink"/>
          </w:rPr>
          <w:t>http://www.seattle.gov/util/MyServices/Rates/DrainageRates/RateSchedule/index.htm</w:t>
        </w:r>
      </w:hyperlink>
      <w:r w:rsidRPr="00593766">
        <w:rPr>
          <w:color w:val="000000"/>
        </w:rPr>
        <w:t xml:space="preserve"> </w:t>
      </w:r>
    </w:p>
    <w:p w:rsidR="001A21EA" w:rsidRPr="00593766" w:rsidRDefault="001A21EA" w:rsidP="006870D8">
      <w:pPr>
        <w:spacing w:after="180" w:line="276" w:lineRule="auto"/>
        <w:rPr>
          <w:color w:val="000000"/>
        </w:rPr>
      </w:pPr>
      <w:r w:rsidRPr="00593766">
        <w:rPr>
          <w:color w:val="000000"/>
        </w:rPr>
        <w:t xml:space="preserve">For more information about how the </w:t>
      </w:r>
      <w:proofErr w:type="spellStart"/>
      <w:r w:rsidRPr="00593766">
        <w:rPr>
          <w:color w:val="000000"/>
        </w:rPr>
        <w:t>stormwater</w:t>
      </w:r>
      <w:proofErr w:type="spellEnd"/>
      <w:r w:rsidRPr="00593766">
        <w:rPr>
          <w:color w:val="000000"/>
        </w:rPr>
        <w:t xml:space="preserve"> facility credit is calculated please visit our website at </w:t>
      </w:r>
      <w:hyperlink r:id="rId9" w:history="1">
        <w:r w:rsidRPr="00593766">
          <w:rPr>
            <w:rStyle w:val="Hyperlink"/>
          </w:rPr>
          <w:t>http://www.seattle.gov/util/sfc</w:t>
        </w:r>
      </w:hyperlink>
      <w:r w:rsidRPr="00593766">
        <w:rPr>
          <w:color w:val="000000"/>
        </w:rPr>
        <w:t xml:space="preserve"> </w:t>
      </w:r>
    </w:p>
    <w:p w:rsidR="001A21EA" w:rsidRPr="00593766" w:rsidRDefault="001A21EA" w:rsidP="006870D8">
      <w:pPr>
        <w:spacing w:after="180" w:line="276" w:lineRule="auto"/>
        <w:rPr>
          <w:color w:val="000000"/>
        </w:rPr>
      </w:pPr>
      <w:r w:rsidRPr="00593766">
        <w:rPr>
          <w:color w:val="000000"/>
        </w:rPr>
        <w:t>Please feel free to contact me with any further questions or concerns about the above information Mo</w:t>
      </w:r>
      <w:r>
        <w:rPr>
          <w:color w:val="000000"/>
        </w:rPr>
        <w:t>nday – Friday from 6:00am to 3:3</w:t>
      </w:r>
      <w:r w:rsidRPr="00593766">
        <w:rPr>
          <w:color w:val="000000"/>
        </w:rPr>
        <w:t xml:space="preserve">0pm at the contact information listed below. </w:t>
      </w:r>
    </w:p>
    <w:p w:rsidR="00AB48B5" w:rsidRPr="00593766" w:rsidRDefault="00AB48B5" w:rsidP="0046724D">
      <w:pPr>
        <w:spacing w:after="180"/>
        <w:rPr>
          <w:color w:val="000000"/>
        </w:rPr>
      </w:pPr>
    </w:p>
    <w:p w:rsidR="00AB48B5" w:rsidRPr="00593766" w:rsidRDefault="00AB48B5" w:rsidP="0046724D">
      <w:pPr>
        <w:spacing w:after="180"/>
        <w:rPr>
          <w:color w:val="000000"/>
        </w:rPr>
      </w:pPr>
      <w:r w:rsidRPr="00593766">
        <w:rPr>
          <w:color w:val="000000"/>
        </w:rPr>
        <w:t>Sincerely,</w:t>
      </w:r>
    </w:p>
    <w:p w:rsidR="00AB48B5" w:rsidRPr="00593766" w:rsidRDefault="00AB48B5" w:rsidP="0046724D">
      <w:pPr>
        <w:spacing w:after="180"/>
        <w:rPr>
          <w:color w:val="000000"/>
        </w:rPr>
      </w:pPr>
    </w:p>
    <w:p w:rsidR="00AB48B5" w:rsidRPr="00593766" w:rsidRDefault="00AB48B5" w:rsidP="0046724D">
      <w:pPr>
        <w:spacing w:after="180"/>
        <w:rPr>
          <w:color w:val="000000"/>
        </w:rPr>
      </w:pPr>
    </w:p>
    <w:p w:rsidR="00AB48B5" w:rsidRPr="00593766" w:rsidRDefault="00AB48B5" w:rsidP="00AB48B5">
      <w:pPr>
        <w:rPr>
          <w:color w:val="000000"/>
        </w:rPr>
      </w:pPr>
      <w:r w:rsidRPr="00593766">
        <w:rPr>
          <w:color w:val="000000"/>
        </w:rPr>
        <w:t>Tasha Bassett</w:t>
      </w:r>
    </w:p>
    <w:p w:rsidR="00AB48B5" w:rsidRPr="00593766" w:rsidRDefault="00AB48B5" w:rsidP="00AB48B5">
      <w:pPr>
        <w:rPr>
          <w:color w:val="000000"/>
        </w:rPr>
      </w:pPr>
      <w:proofErr w:type="spellStart"/>
      <w:r w:rsidRPr="00593766">
        <w:rPr>
          <w:color w:val="000000"/>
        </w:rPr>
        <w:t>Stormwater</w:t>
      </w:r>
      <w:proofErr w:type="spellEnd"/>
      <w:r w:rsidRPr="00593766">
        <w:rPr>
          <w:color w:val="000000"/>
        </w:rPr>
        <w:t xml:space="preserve"> Facility Credit Program</w:t>
      </w:r>
    </w:p>
    <w:p w:rsidR="00AB48B5" w:rsidRPr="00593766" w:rsidRDefault="00AB48B5" w:rsidP="00AB48B5">
      <w:pPr>
        <w:rPr>
          <w:color w:val="000000"/>
        </w:rPr>
      </w:pPr>
      <w:r w:rsidRPr="00593766">
        <w:rPr>
          <w:color w:val="000000"/>
        </w:rPr>
        <w:t>Seattle Public Utilities</w:t>
      </w:r>
    </w:p>
    <w:p w:rsidR="00D32BFF" w:rsidRDefault="00D32BFF" w:rsidP="00AB48B5">
      <w:pPr>
        <w:rPr>
          <w:color w:val="000000"/>
        </w:rPr>
      </w:pPr>
      <w:r>
        <w:rPr>
          <w:color w:val="000000"/>
        </w:rPr>
        <w:t>Drainage &amp; Wastewater Quality Division</w:t>
      </w:r>
    </w:p>
    <w:p w:rsidR="00AB48B5" w:rsidRPr="00593766" w:rsidRDefault="00AB48B5" w:rsidP="00AB48B5">
      <w:pPr>
        <w:rPr>
          <w:color w:val="000000"/>
        </w:rPr>
      </w:pPr>
      <w:r w:rsidRPr="00593766">
        <w:rPr>
          <w:color w:val="000000"/>
        </w:rPr>
        <w:t>Telephone: (206) 615-0550</w:t>
      </w:r>
    </w:p>
    <w:p w:rsidR="008573B9" w:rsidRDefault="00AB48B5" w:rsidP="00AB48B5">
      <w:pPr>
        <w:rPr>
          <w:color w:val="000000"/>
        </w:rPr>
      </w:pPr>
      <w:r w:rsidRPr="00593766">
        <w:rPr>
          <w:color w:val="000000"/>
        </w:rPr>
        <w:t xml:space="preserve">Email: </w:t>
      </w:r>
      <w:hyperlink r:id="rId10" w:history="1">
        <w:r w:rsidRPr="00593766">
          <w:rPr>
            <w:rStyle w:val="Hyperlink"/>
          </w:rPr>
          <w:t>Tasha.bassett@seattle.gov</w:t>
        </w:r>
      </w:hyperlink>
      <w:r w:rsidRPr="00593766">
        <w:rPr>
          <w:color w:val="000000"/>
        </w:rPr>
        <w:t xml:space="preserve"> </w:t>
      </w:r>
      <w:r w:rsidR="008573B9" w:rsidRPr="00593766">
        <w:rPr>
          <w:color w:val="000000"/>
        </w:rPr>
        <w:t xml:space="preserve"> </w:t>
      </w:r>
    </w:p>
    <w:p w:rsidR="006A5106" w:rsidRDefault="006A5106" w:rsidP="00AB48B5">
      <w:pPr>
        <w:rPr>
          <w:color w:val="000000"/>
        </w:rPr>
      </w:pPr>
    </w:p>
    <w:p w:rsidR="006A5106" w:rsidRDefault="006A5106" w:rsidP="00AB48B5">
      <w:pPr>
        <w:rPr>
          <w:color w:val="000000"/>
        </w:rPr>
      </w:pPr>
      <w:r>
        <w:rPr>
          <w:color w:val="000000"/>
        </w:rPr>
        <w:t xml:space="preserve">Enclosure(s): </w:t>
      </w:r>
      <w:r>
        <w:rPr>
          <w:color w:val="000000"/>
        </w:rPr>
        <w:tab/>
        <w:t>Impervious Surface ArcMap</w:t>
      </w:r>
    </w:p>
    <w:p w:rsidR="006A5106" w:rsidRDefault="006A5106" w:rsidP="00AB48B5">
      <w:pPr>
        <w:rPr>
          <w:color w:val="000000"/>
        </w:rPr>
      </w:pPr>
      <w:r>
        <w:rPr>
          <w:color w:val="000000"/>
        </w:rPr>
        <w:tab/>
      </w:r>
      <w:r>
        <w:rPr>
          <w:color w:val="000000"/>
        </w:rPr>
        <w:tab/>
        <w:t xml:space="preserve">Attachment </w:t>
      </w:r>
      <w:proofErr w:type="gramStart"/>
      <w:r>
        <w:rPr>
          <w:color w:val="000000"/>
        </w:rPr>
        <w:t>A</w:t>
      </w:r>
      <w:proofErr w:type="gramEnd"/>
      <w:r>
        <w:rPr>
          <w:color w:val="000000"/>
        </w:rPr>
        <w:t xml:space="preserve"> – Table 1, 2000 SFCP Calculator</w:t>
      </w:r>
    </w:p>
    <w:p w:rsidR="006A5106" w:rsidRPr="00593766" w:rsidRDefault="006A5106" w:rsidP="00AB48B5">
      <w:pPr>
        <w:rPr>
          <w:color w:val="000000"/>
        </w:rPr>
      </w:pPr>
      <w:r>
        <w:rPr>
          <w:color w:val="000000"/>
        </w:rPr>
        <w:tab/>
      </w:r>
      <w:r>
        <w:rPr>
          <w:color w:val="000000"/>
        </w:rPr>
        <w:tab/>
      </w:r>
      <w:bookmarkStart w:id="0" w:name="_GoBack"/>
      <w:bookmarkEnd w:id="0"/>
    </w:p>
    <w:sectPr w:rsidR="006A5106" w:rsidRPr="00593766" w:rsidSect="003B4A68">
      <w:headerReference w:type="default" r:id="rId11"/>
      <w:footerReference w:type="default" r:id="rId12"/>
      <w:headerReference w:type="first" r:id="rId13"/>
      <w:footerReference w:type="first" r:id="rId14"/>
      <w:pgSz w:w="12240" w:h="15840"/>
      <w:pgMar w:top="576" w:right="1152" w:bottom="864" w:left="1440" w:header="432"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DC7" w:rsidRDefault="00383DC7">
      <w:r>
        <w:separator/>
      </w:r>
    </w:p>
  </w:endnote>
  <w:endnote w:type="continuationSeparator" w:id="0">
    <w:p w:rsidR="00383DC7" w:rsidRDefault="0038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64" w:rsidRDefault="00214764">
    <w:pPr>
      <w:pStyle w:val="Footer"/>
      <w:jc w:val="cen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A68" w:rsidRDefault="003B4A68" w:rsidP="003B4A68">
    <w:pPr>
      <w:pStyle w:val="Footer"/>
      <w:tabs>
        <w:tab w:val="clear" w:pos="8640"/>
        <w:tab w:val="right" w:pos="9360"/>
      </w:tabs>
      <w:ind w:firstLine="720"/>
      <w:jc w:val="center"/>
      <w:rPr>
        <w:sz w:val="16"/>
        <w:szCs w:val="16"/>
      </w:rPr>
    </w:pPr>
    <w:r>
      <w:rPr>
        <w:noProof/>
      </w:rPr>
      <mc:AlternateContent>
        <mc:Choice Requires="wpg">
          <w:drawing>
            <wp:anchor distT="0" distB="0" distL="114300" distR="114300" simplePos="0" relativeHeight="251658240" behindDoc="0" locked="0" layoutInCell="1" allowOverlap="1" wp14:anchorId="17E74B7D" wp14:editId="1F47C8CA">
              <wp:simplePos x="0" y="0"/>
              <wp:positionH relativeFrom="column">
                <wp:posOffset>47625</wp:posOffset>
              </wp:positionH>
              <wp:positionV relativeFrom="paragraph">
                <wp:posOffset>92710</wp:posOffset>
              </wp:positionV>
              <wp:extent cx="6179820" cy="454660"/>
              <wp:effectExtent l="9525" t="6985" r="11430" b="508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820" cy="454660"/>
                        <a:chOff x="2088" y="14300"/>
                        <a:chExt cx="9073" cy="716"/>
                      </a:xfrm>
                    </wpg:grpSpPr>
                    <wps:wsp>
                      <wps:cNvPr id="10" name="Line 15"/>
                      <wps:cNvCnPr>
                        <a:cxnSpLocks noChangeShapeType="1"/>
                      </wps:cNvCnPr>
                      <wps:spPr bwMode="auto">
                        <a:xfrm>
                          <a:off x="2088" y="14300"/>
                          <a:ext cx="9073"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1" name="Line 16"/>
                      <wps:cNvCnPr>
                        <a:cxnSpLocks noChangeShapeType="1"/>
                      </wps:cNvCnPr>
                      <wps:spPr bwMode="auto">
                        <a:xfrm flipH="1">
                          <a:off x="2088" y="15015"/>
                          <a:ext cx="38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17"/>
                      <wps:cNvCnPr>
                        <a:cxnSpLocks noChangeShapeType="1"/>
                      </wps:cNvCnPr>
                      <wps:spPr bwMode="auto">
                        <a:xfrm>
                          <a:off x="6696" y="15015"/>
                          <a:ext cx="4465"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1CF37" id="Group 9" o:spid="_x0000_s1026" style="position:absolute;margin-left:3.75pt;margin-top:7.3pt;width:486.6pt;height:35.8pt;z-index:251658240" coordorigin="2088,14300" coordsize="907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JxdQMAACoMAAAOAAAAZHJzL2Uyb0RvYy54bWzcVl1vnDgUfa+0/8HinQDDN8qkShgm+5Du&#10;RkqrPjtgPrRgI9sJE1X97722gWSmlbrqtlW7MxKyufbl3nPOvfb568PQo0fCRcfo1vLOXAsRWrKq&#10;o83Wevd2bycWEhLTCveMkq31RIT1+uKPV+fTmJENa1lfEY7ACRXZNG6tVsoxcxxRtmTA4oyNhIKx&#10;ZnzAEqa8cSqOJ/A+9M7GdSNnYrwaOSuJEPB2Z4zWhfZf16SUf9e1IBL1Wwtik/rJ9fNePZ2Lc5w1&#10;HI9tV85h4G+IYsAdhY+urnZYYvTAu89cDV3JmWC1PCvZ4LC67kqic4BsPPckm2vOHkadS5NNzbjC&#10;BNCe4PTNbsu/Hm856qqtlVqI4gEo0l9FqYJmGpsMVlzz8W685SY/GN6w8h8BZufUruaNWYzupzes&#10;Anf4QTINzaHmg3IBSaODZuBpZYAcJCrhZeTFabIBokqwBWEQRTNFZQs8qm0bNwFJgdULfHc1FvP+&#10;1I19szn2IpWBgzPzXR3rHJtKDOQmnhEV/w3RuxaPRBMlFF4zoh7kYSC96ShBXmgg1UtyavAsD3TG&#10;E1GWt5g2RDt7+zQCdp5OQQULXs0WNRFAxlfx/RJQC8zPMGkEV5BwNnIhrwkbkBpsrR4C1+Thxxsh&#10;DZ7LEsUlZfuu7+E9znqKJiDQD129QbC+q5RR2QRv7vOeo0esylD/ZnKOloHcaaWdtQRXxTyWuOvN&#10;GOLsqfJHdGWbiGB2kDDU70EGuuo+pG5aJEUS2MEmKuzA3e3sy30e2NHei8Odv8vznfdRBeoFWdtV&#10;FaEq1qUDeMG/08Pci0ztrj1gBcU59q7VCMEeR3q5D9048BM7jkPfDvzCta+SfW5f5l4UxcVVflWc&#10;RFro7MX3CXaFUkXFHiThd201oapT9G8SP4VqqzromH7iRm4aWwj3DbT6UnILcSbfd7LVilW1rHwc&#10;cR3v1d8oqB9bbBQQKgUsAjDS0NisnzdILSSr2UrTnPwzliCKRQBQ46Y4TIHfs+rplivRzuX+s+re&#10;O6573YiOihhn37nuUd1345+qYWgaT1tl6Jrmo6HSjdZPEmj4qssuRCzteSnvX7wD/HY1/wvqdHOs&#10;01iV5I/V6Qt1RlEamYP8c3UGQRQadZoTcDnEf5vz6f+tTn2XggupbsLz5VndeF/Oddd9vuJffAIA&#10;AP//AwBQSwMEFAAGAAgAAAAhAC0K8H/eAAAABwEAAA8AAABkcnMvZG93bnJldi54bWxMjs1Og0AU&#10;hfcmvsPkmrizA9VSRIamadRV08TWxLi7ZW6BlJkhzBTo23td6fL85JwvX02mFQP1vnFWQTyLQJAt&#10;nW5speDz8PaQgvABrcbWWVJwJQ+r4vYmx0y70X7QsA+V4BHrM1RQh9BlUvqyJoN+5jqynJ1cbzCw&#10;7Cupexx53LRyHkWJNNhYfqixo01N5Xl/MQreRxzXj/HrsD2fNtfvw2L3tY1Jqfu7af0CItAU/srw&#10;i8/oUDDT0V2s9qJVsFxwke2nBATHz2m0BHFUkCZzkEUu//MXPwAAAP//AwBQSwECLQAUAAYACAAA&#10;ACEAtoM4kv4AAADhAQAAEwAAAAAAAAAAAAAAAAAAAAAAW0NvbnRlbnRfVHlwZXNdLnhtbFBLAQIt&#10;ABQABgAIAAAAIQA4/SH/1gAAAJQBAAALAAAAAAAAAAAAAAAAAC8BAABfcmVscy8ucmVsc1BLAQIt&#10;ABQABgAIAAAAIQA70tJxdQMAACoMAAAOAAAAAAAAAAAAAAAAAC4CAABkcnMvZTJvRG9jLnhtbFBL&#10;AQItABQABgAIAAAAIQAtCvB/3gAAAAcBAAAPAAAAAAAAAAAAAAAAAM8FAABkcnMvZG93bnJldi54&#10;bWxQSwUGAAAAAAQABADzAAAA2gYAAAAA&#10;">
              <v:line id="Line 15" o:spid="_x0000_s1027" style="position:absolute;visibility:visible;mso-wrap-style:square" from="2088,14300" to="11161,1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rJ88UAAADbAAAADwAAAGRycy9kb3ducmV2LnhtbESPMW/CQAyFd6T+h5MrsaByIQNUKQeq&#10;ipCyVdAsbG7OTUJzvih3JGl/fT0gdbP1nt/7vN1PrlUD9aHxbGC1TEARl942XBkoPo5Pz6BCRLbY&#10;eiYDPxRgv3uYbTGzfuQTDedYKQnhkKGBOsYu0zqUNTkMS98Ri/ble4dR1r7StsdRwl2r0yRZa4cN&#10;S0ONHb3VVH6fb85At8bPNC8W1ftNFws+XK6b4vprzPxxen0BFWmK/+b7dW4FX+jlFxlA7/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BrJ88UAAADbAAAADwAAAAAAAAAA&#10;AAAAAAChAgAAZHJzL2Rvd25yZXYueG1sUEsFBgAAAAAEAAQA+QAAAJMDAAAAAA==&#10;" strokeweight=".5pt">
                <v:shadow color="#7f7f7f" opacity=".5" offset="1pt"/>
              </v:line>
              <v:line id="Line 16" o:spid="_x0000_s1028" style="position:absolute;flip:x;visibility:visible;mso-wrap-style:square" from="2088,15015" to="5977,15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lVQMAAAADbAAAADwAAAGRycy9kb3ducmV2LnhtbERPPWvDMBDdC/kP4gLdatmFNsGJEkKg&#10;pVNL3C7eDutii1gnIym2+++rQiDbPd7nbfez7cVIPhjHCoosB0HcOG24VfDz/fa0BhEissbeMSn4&#10;pQD73eJhi6V2E59orGIrUgiHEhV0MQ6llKHpyGLI3ECcuLPzFmOCvpXa45TCbS+f8/xVWjScGjoc&#10;6NhRc6muVsF7sA05NC7ML19VcfX1p1nVSj0u58MGRKQ53sU394dO8wv4/yUdIH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ZVUDAAAAA2wAAAA8AAAAAAAAAAAAAAAAA&#10;oQIAAGRycy9kb3ducmV2LnhtbFBLBQYAAAAABAAEAPkAAACOAwAAAAA=&#10;" strokeweight=".5pt"/>
              <v:line id="Line 17" o:spid="_x0000_s1029" style="position:absolute;visibility:visible;mso-wrap-style:square" from="6696,15015" to="11161,1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S98EAAADbAAAADwAAAGRycy9kb3ducmV2LnhtbERPTYvCMBC9C/6HMII3TVdEpGsUVxGE&#10;PUitl70NzdhWm0lJotb99UZY2Ns83ucsVp1pxJ2cry0r+BgnIIgLq2suFZzy3WgOwgdkjY1lUvAk&#10;D6tlv7fAVNsHZ3Q/hlLEEPYpKqhCaFMpfVGRQT+2LXHkztYZDBG6UmqHjxhuGjlJkpk0WHNsqLCl&#10;TUXF9XgzCuZ567fPzc/OHtzlN/ueZjTFL6WGg279CSJQF/7Ff+69jvMn8P4lHi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RL3wQAAANsAAAAPAAAAAAAAAAAAAAAA&#10;AKECAABkcnMvZG93bnJldi54bWxQSwUGAAAAAAQABAD5AAAAjwMAAAAA&#10;" strokeweight=".5pt"/>
            </v:group>
          </w:pict>
        </mc:Fallback>
      </mc:AlternateContent>
    </w:r>
  </w:p>
  <w:p w:rsidR="003B4A68" w:rsidRDefault="003B4A68" w:rsidP="003B4A68">
    <w:pPr>
      <w:pStyle w:val="Footer"/>
      <w:tabs>
        <w:tab w:val="clear" w:pos="8640"/>
        <w:tab w:val="right" w:pos="9360"/>
      </w:tabs>
      <w:ind w:firstLine="720"/>
      <w:jc w:val="center"/>
      <w:rPr>
        <w:sz w:val="16"/>
        <w:szCs w:val="16"/>
      </w:rPr>
    </w:pPr>
    <w:r>
      <w:rPr>
        <w:sz w:val="16"/>
        <w:szCs w:val="16"/>
      </w:rPr>
      <w:t>Seattle Municipal Tower, 49th Floor, 700 Fifth Avenue, Seattle WA  98124-4018</w:t>
    </w:r>
  </w:p>
  <w:p w:rsidR="003B4A68" w:rsidRDefault="003B4A68" w:rsidP="003B4A68">
    <w:pPr>
      <w:pStyle w:val="Footer"/>
      <w:jc w:val="center"/>
      <w:rPr>
        <w:sz w:val="16"/>
        <w:szCs w:val="16"/>
      </w:rPr>
    </w:pPr>
    <w:r>
      <w:rPr>
        <w:sz w:val="16"/>
        <w:szCs w:val="16"/>
      </w:rPr>
      <w:t xml:space="preserve">Web site: </w:t>
    </w:r>
    <w:hyperlink r:id="rId1" w:history="1">
      <w:r>
        <w:rPr>
          <w:rStyle w:val="Hyperlink"/>
          <w:sz w:val="16"/>
          <w:szCs w:val="16"/>
        </w:rPr>
        <w:t>www.seattle.gov/util</w:t>
      </w:r>
    </w:hyperlink>
    <w:r>
      <w:rPr>
        <w:sz w:val="16"/>
        <w:szCs w:val="16"/>
      </w:rPr>
      <w:t xml:space="preserve">  Follow SPU on Twitter: </w:t>
    </w:r>
    <w:hyperlink r:id="rId2" w:history="1">
      <w:r>
        <w:rPr>
          <w:rStyle w:val="Hyperlink"/>
          <w:sz w:val="16"/>
          <w:szCs w:val="16"/>
        </w:rPr>
        <w:t>www.twitter.com/SeattleSPU</w:t>
      </w:r>
    </w:hyperlink>
  </w:p>
  <w:p w:rsidR="00214764" w:rsidRPr="003B4A68" w:rsidRDefault="003B4A68" w:rsidP="003B4A68">
    <w:pPr>
      <w:pStyle w:val="Footer"/>
    </w:pPr>
    <w:r>
      <w:rPr>
        <w:sz w:val="16"/>
        <w:szCs w:val="16"/>
      </w:rPr>
      <w:t>An equal-employment opportunity, affirmative action employer.  Accommodations for people with disabilities provided on request.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DC7" w:rsidRDefault="00383DC7">
      <w:r>
        <w:separator/>
      </w:r>
    </w:p>
  </w:footnote>
  <w:footnote w:type="continuationSeparator" w:id="0">
    <w:p w:rsidR="00383DC7" w:rsidRDefault="00383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64" w:rsidRDefault="00CE1A1D">
    <w:pPr>
      <w:rPr>
        <w:rFonts w:ascii="Times" w:hAnsi="Times"/>
        <w:sz w:val="22"/>
      </w:rPr>
    </w:pPr>
    <w:r>
      <w:rPr>
        <w:rFonts w:ascii="Times" w:hAnsi="Times"/>
        <w:sz w:val="22"/>
      </w:rPr>
      <w:t>Ian Siadak</w:t>
    </w:r>
  </w:p>
  <w:p w:rsidR="007A6B49" w:rsidRDefault="00D32BFF">
    <w:pPr>
      <w:rPr>
        <w:rFonts w:ascii="Times" w:hAnsi="Times"/>
        <w:sz w:val="22"/>
      </w:rPr>
    </w:pPr>
    <w:r>
      <w:rPr>
        <w:rFonts w:ascii="Times" w:hAnsi="Times"/>
        <w:sz w:val="22"/>
      </w:rPr>
      <w:t>December 16</w:t>
    </w:r>
    <w:r w:rsidR="007A6B49">
      <w:rPr>
        <w:rFonts w:ascii="Times" w:hAnsi="Times"/>
        <w:sz w:val="22"/>
      </w:rPr>
      <w:t>, 2015</w:t>
    </w:r>
  </w:p>
  <w:p w:rsidR="00214764" w:rsidRDefault="00214764">
    <w:pPr>
      <w:rPr>
        <w:rFonts w:ascii="Times" w:hAnsi="Times"/>
        <w:sz w:val="22"/>
      </w:rPr>
    </w:pPr>
    <w:r>
      <w:rPr>
        <w:rFonts w:ascii="Times" w:hAnsi="Times"/>
        <w:sz w:val="22"/>
      </w:rPr>
      <w:t xml:space="preserve">Page </w:t>
    </w:r>
    <w:r>
      <w:rPr>
        <w:rStyle w:val="PageNumber"/>
      </w:rPr>
      <w:fldChar w:fldCharType="begin"/>
    </w:r>
    <w:r>
      <w:rPr>
        <w:rStyle w:val="PageNumber"/>
      </w:rPr>
      <w:instrText xml:space="preserve"> PAGE </w:instrText>
    </w:r>
    <w:r>
      <w:rPr>
        <w:rStyle w:val="PageNumber"/>
      </w:rPr>
      <w:fldChar w:fldCharType="separate"/>
    </w:r>
    <w:r w:rsidR="006A5106">
      <w:rPr>
        <w:rStyle w:val="PageNumber"/>
        <w:noProof/>
      </w:rPr>
      <w:t>3</w:t>
    </w:r>
    <w:r>
      <w:rPr>
        <w:rStyle w:val="PageNumber"/>
      </w:rPr>
      <w:fldChar w:fldCharType="end"/>
    </w:r>
  </w:p>
  <w:p w:rsidR="00214764" w:rsidRDefault="00214764">
    <w:pPr>
      <w:pStyle w:val="Header"/>
    </w:pPr>
  </w:p>
  <w:p w:rsidR="00214764" w:rsidRDefault="002147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64" w:rsidRDefault="00F12593">
    <w:pPr>
      <w:pStyle w:val="Heading2"/>
      <w:rPr>
        <w:color w:val="FFFFFF"/>
        <w:sz w:val="16"/>
      </w:rPr>
    </w:pPr>
    <w:r>
      <w:rPr>
        <w:noProof/>
        <w:color w:val="FFFFFF"/>
        <w:sz w:val="16"/>
      </w:rPr>
      <w:drawing>
        <wp:anchor distT="0" distB="0" distL="114300" distR="114300" simplePos="0" relativeHeight="251656192" behindDoc="1" locked="0" layoutInCell="0" allowOverlap="1" wp14:anchorId="358C81BD" wp14:editId="6A5A03BA">
          <wp:simplePos x="0" y="0"/>
          <wp:positionH relativeFrom="column">
            <wp:posOffset>-731520</wp:posOffset>
          </wp:positionH>
          <wp:positionV relativeFrom="paragraph">
            <wp:posOffset>0</wp:posOffset>
          </wp:positionV>
          <wp:extent cx="914400" cy="77914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779145"/>
                  </a:xfrm>
                  <a:prstGeom prst="rect">
                    <a:avLst/>
                  </a:prstGeom>
                  <a:noFill/>
                  <a:ln w="9525">
                    <a:noFill/>
                    <a:miter lim="800000"/>
                    <a:headEnd/>
                    <a:tailEnd/>
                  </a:ln>
                </pic:spPr>
              </pic:pic>
            </a:graphicData>
          </a:graphic>
        </wp:anchor>
      </w:drawing>
    </w:r>
  </w:p>
  <w:p w:rsidR="00214764" w:rsidRDefault="00214764" w:rsidP="002302D1">
    <w:pPr>
      <w:pStyle w:val="Heading1"/>
      <w:rPr>
        <w:rFonts w:ascii="CG Times" w:hAnsi="CG Times"/>
        <w:sz w:val="36"/>
        <w:szCs w:val="36"/>
      </w:rPr>
    </w:pPr>
    <w:r w:rsidRPr="00A236CF">
      <w:rPr>
        <w:rFonts w:ascii="CG Times" w:hAnsi="CG Times"/>
        <w:sz w:val="36"/>
        <w:szCs w:val="36"/>
      </w:rPr>
      <w:t>City of Seattle</w:t>
    </w:r>
    <w:r w:rsidR="00D44A33">
      <w:rPr>
        <w:rFonts w:ascii="CG Times" w:hAnsi="CG Times"/>
        <w:sz w:val="36"/>
        <w:szCs w:val="36"/>
      </w:rPr>
      <w:tab/>
    </w:r>
    <w:r w:rsidR="00D44A33">
      <w:rPr>
        <w:rFonts w:ascii="CG Times" w:hAnsi="CG Times"/>
        <w:sz w:val="36"/>
        <w:szCs w:val="36"/>
      </w:rPr>
      <w:tab/>
    </w:r>
    <w:r w:rsidR="00D44A33">
      <w:rPr>
        <w:rFonts w:ascii="CG Times" w:hAnsi="CG Times"/>
        <w:sz w:val="36"/>
        <w:szCs w:val="36"/>
      </w:rPr>
      <w:tab/>
    </w:r>
    <w:r w:rsidR="00D44A33">
      <w:rPr>
        <w:rFonts w:ascii="CG Times" w:hAnsi="CG Times"/>
        <w:sz w:val="36"/>
        <w:szCs w:val="36"/>
      </w:rPr>
      <w:tab/>
    </w:r>
  </w:p>
  <w:p w:rsidR="00F12593" w:rsidRDefault="00F12593" w:rsidP="00F12593">
    <w:pPr>
      <w:pStyle w:val="Heading1"/>
      <w:tabs>
        <w:tab w:val="left" w:pos="1072"/>
      </w:tabs>
      <w:rPr>
        <w:rFonts w:ascii="CG Times" w:hAnsi="CG Times"/>
        <w:sz w:val="22"/>
        <w:szCs w:val="22"/>
      </w:rPr>
    </w:pPr>
    <w:r>
      <w:rPr>
        <w:rFonts w:ascii="CG Times" w:hAnsi="CG Times"/>
        <w:sz w:val="22"/>
        <w:szCs w:val="22"/>
      </w:rPr>
      <w:tab/>
    </w:r>
  </w:p>
  <w:p w:rsidR="00214764" w:rsidRPr="002302D1" w:rsidRDefault="0066656F" w:rsidP="002302D1">
    <w:pPr>
      <w:pStyle w:val="Heading1"/>
      <w:rPr>
        <w:rFonts w:ascii="CG Times" w:hAnsi="CG Times"/>
        <w:sz w:val="36"/>
        <w:szCs w:val="36"/>
      </w:rPr>
    </w:pPr>
    <w:r>
      <w:rPr>
        <w:rFonts w:ascii="CG Times" w:hAnsi="CG Times"/>
        <w:sz w:val="22"/>
        <w:szCs w:val="22"/>
      </w:rPr>
      <w:t>Ed Murray</w:t>
    </w:r>
    <w:r w:rsidR="00214764" w:rsidRPr="001C4189">
      <w:rPr>
        <w:rFonts w:ascii="CG Times" w:hAnsi="CG Times"/>
        <w:sz w:val="22"/>
        <w:szCs w:val="22"/>
      </w:rPr>
      <w:t>, Mayor</w:t>
    </w:r>
  </w:p>
  <w:p w:rsidR="00214764" w:rsidRPr="001C4189" w:rsidRDefault="009D3CF7" w:rsidP="002302D1">
    <w:pPr>
      <w:pStyle w:val="Heading1"/>
      <w:spacing w:before="120"/>
      <w:rPr>
        <w:rFonts w:ascii="CG Times" w:hAnsi="CG Times"/>
        <w:sz w:val="28"/>
        <w:szCs w:val="28"/>
      </w:rPr>
    </w:pPr>
    <w:r>
      <w:rPr>
        <w:rFonts w:ascii="CG Times" w:hAnsi="CG Times"/>
        <w:noProof/>
        <w:sz w:val="28"/>
        <w:szCs w:val="28"/>
      </w:rPr>
      <mc:AlternateContent>
        <mc:Choice Requires="wps">
          <w:drawing>
            <wp:anchor distT="0" distB="0" distL="114300" distR="114300" simplePos="0" relativeHeight="251657216" behindDoc="0" locked="0" layoutInCell="0" allowOverlap="1" wp14:anchorId="1A4DEF22" wp14:editId="3ADBA8CB">
              <wp:simplePos x="0" y="0"/>
              <wp:positionH relativeFrom="column">
                <wp:posOffset>0</wp:posOffset>
              </wp:positionH>
              <wp:positionV relativeFrom="paragraph">
                <wp:posOffset>29210</wp:posOffset>
              </wp:positionV>
              <wp:extent cx="5989955" cy="0"/>
              <wp:effectExtent l="9525" t="10160" r="10795" b="889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95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AD0CFD"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71.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lmwIAAIIFAAAOAAAAZHJzL2Uyb0RvYy54bWysVF1vmzAUfZ+0/2D5nQIBAkElVUvIXrqt&#10;Ujvt2cEmWDM2sp2QaNp/n20Ca7qXaWoiIX/d43PPPde3d6eOgSORigpewPAmgIDwWmDK9wX89rL1&#10;MgiURhwjJjgp4JkoeLf++OF26HOyEK1gmEhgQLjKh76ArdZ97vuqbkmH1I3oCTebjZAd0mYq9z6W&#10;aDDoHfMXQbD0ByFxL0VNlDKrm3ETrh1+05Baf20aRTRgBTTctPtK993Zr7++Rfleor6l9YUG+g8W&#10;HaLcXDpDbZBG4CDpX1AdraVQotE3teh80TS0Ji4Hk00YvMnmuUU9cbkYcVQ/y6TeD7b+cnySgOIC&#10;RhBw1JkSPVJOQGqVGXqVmwMlf5I2t/rEn/tHUf9QgIuyRXxPHMOXc2/CQhvhX4XYieoN/m74LLA5&#10;gw5aOJlOjewspBEAnFw1znM1yEmD2iwmq2y1ShII6mnPR/kU2EulPxHRATsoIDOcHTA6PiptiaB8&#10;OmLv4WJLGXPFZhwMBVxGSeAClGAU2017TMn9rmQSHJG1i/u5rMzO62NSHDh2YC1BuLqMNaJsHJvL&#10;Gbd4xDlwZGRmJ22Gbt2k6NzxcxWsqqzKYi9eLCsvDjYb735bxt5yG6bJJtqU5Sb8ZYmGcd5SjAm3&#10;XCenhvG/OeHSM6PHZq/OovjX6E49Q/aa6f02CdI4yrw0TSIvjqrAe8i2pXdfhstlWj2UD9UbppXL&#10;Xr0P2VlKy0ocNJHPLR4Aprb8iyxamYcGU9PZURYsg1UKAWJ78yTVWkIghf5Odevcan1mMa5qnW7t&#10;f3QQ61s0OiCxDpgMMFrDaTNfPyo1FdnO5jJdkv+jpTHFZADXJbYxxhbbCXx+klP3mEZ3QZdHyb4k&#10;r+dm/PrpXP8GAAD//wMAUEsDBBQABgAIAAAAIQA2iCna2QAAAAQBAAAPAAAAZHJzL2Rvd25yZXYu&#10;eG1sTI/BTsMwEETvSP0Haytxo05pVYU0m6qKhBSODSCubrxNAvE62G4b/h7DBY6jGc28yXeTGcSF&#10;nO8tIywXCQjixuqeW4SX58e7FIQPirUaLBPCF3nYFbObXGXaXvlAlzq0IpawzxRCF8KYSembjozy&#10;CzsSR+9knVEhStdK7dQ1lptB3ifJRhrVc1zo1EhlR81HfTYIruw/XfrmtaztU/p6qOx7VVaIt/Np&#10;vwURaAp/YfjBj+hQRKajPbP2YkCIRwLCegMimg/r1QrE8VfLIpf/4YtvAAAA//8DAFBLAQItABQA&#10;BgAIAAAAIQC2gziS/gAAAOEBAAATAAAAAAAAAAAAAAAAAAAAAABbQ29udGVudF9UeXBlc10ueG1s&#10;UEsBAi0AFAAGAAgAAAAhADj9If/WAAAAlAEAAAsAAAAAAAAAAAAAAAAALwEAAF9yZWxzLy5yZWxz&#10;UEsBAi0AFAAGAAgAAAAhAH4qGSWbAgAAggUAAA4AAAAAAAAAAAAAAAAALgIAAGRycy9lMm9Eb2Mu&#10;eG1sUEsBAi0AFAAGAAgAAAAhADaIKdrZAAAABAEAAA8AAAAAAAAAAAAAAAAA9QQAAGRycy9kb3du&#10;cmV2LnhtbFBLBQYAAAAABAAEAPMAAAD7BQAAAAA=&#10;" o:allowincell="f" strokeweight=".5pt">
              <v:shadow color="#7f7f7f" opacity=".5" offset="1pt"/>
            </v:line>
          </w:pict>
        </mc:Fallback>
      </mc:AlternateContent>
    </w:r>
    <w:r w:rsidR="00214764" w:rsidRPr="001C4189">
      <w:rPr>
        <w:rFonts w:ascii="CG Times" w:hAnsi="CG Times"/>
        <w:sz w:val="28"/>
        <w:szCs w:val="28"/>
      </w:rPr>
      <w:t>Seattle Public Utilities</w:t>
    </w:r>
  </w:p>
  <w:p w:rsidR="00214764" w:rsidRPr="00E55282" w:rsidRDefault="00214764" w:rsidP="002302D1">
    <w:pPr>
      <w:pStyle w:val="Header"/>
      <w:rPr>
        <w:rFonts w:ascii="CG Times" w:hAnsi="CG Times"/>
        <w:sz w:val="22"/>
        <w:szCs w:val="22"/>
      </w:rPr>
    </w:pPr>
    <w:r w:rsidRPr="001C4189">
      <w:rPr>
        <w:rFonts w:ascii="CG Times" w:hAnsi="CG Times"/>
        <w:sz w:val="22"/>
        <w:szCs w:val="22"/>
      </w:rPr>
      <w:t>Ray Hoffman, Director</w:t>
    </w:r>
  </w:p>
  <w:p w:rsidR="00214764" w:rsidRDefault="002147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464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E495008"/>
    <w:multiLevelType w:val="hybridMultilevel"/>
    <w:tmpl w:val="A77A915C"/>
    <w:lvl w:ilvl="0" w:tplc="FA94B52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4F40F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2C117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6C578A8"/>
    <w:multiLevelType w:val="singleLevel"/>
    <w:tmpl w:val="039E013E"/>
    <w:lvl w:ilvl="0">
      <w:start w:val="1"/>
      <w:numFmt w:val="bullet"/>
      <w:pStyle w:val="bullet1"/>
      <w:lvlText w:val=""/>
      <w:lvlJc w:val="left"/>
      <w:pPr>
        <w:tabs>
          <w:tab w:val="num" w:pos="360"/>
        </w:tabs>
        <w:ind w:left="360" w:hanging="360"/>
      </w:pPr>
      <w:rPr>
        <w:rFonts w:ascii="Wingdings" w:hAnsi="Wingdings" w:hint="default"/>
      </w:rPr>
    </w:lvl>
  </w:abstractNum>
  <w:abstractNum w:abstractNumId="5" w15:restartNumberingAfterBreak="0">
    <w:nsid w:val="643B69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A3D5BE3"/>
    <w:multiLevelType w:val="hybridMultilevel"/>
    <w:tmpl w:val="E62A92F8"/>
    <w:lvl w:ilvl="0" w:tplc="26444072">
      <w:start w:val="1"/>
      <w:numFmt w:val="decimal"/>
      <w:lvlText w:val="%1)"/>
      <w:lvlJc w:val="left"/>
      <w:pPr>
        <w:ind w:left="360" w:hanging="360"/>
      </w:pPr>
      <w:rPr>
        <w:rFonts w:cs="Times New Roman"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34"/>
    <w:rsid w:val="00010AC7"/>
    <w:rsid w:val="00025D9B"/>
    <w:rsid w:val="000349DA"/>
    <w:rsid w:val="000415F6"/>
    <w:rsid w:val="000471FB"/>
    <w:rsid w:val="00065B0D"/>
    <w:rsid w:val="000B2721"/>
    <w:rsid w:val="000B6643"/>
    <w:rsid w:val="000D26AE"/>
    <w:rsid w:val="000F4395"/>
    <w:rsid w:val="00136B19"/>
    <w:rsid w:val="001921FA"/>
    <w:rsid w:val="00197B74"/>
    <w:rsid w:val="001A09F8"/>
    <w:rsid w:val="001A21EA"/>
    <w:rsid w:val="001A2468"/>
    <w:rsid w:val="001A471B"/>
    <w:rsid w:val="001B3749"/>
    <w:rsid w:val="002032B2"/>
    <w:rsid w:val="00214764"/>
    <w:rsid w:val="002302D1"/>
    <w:rsid w:val="0023705F"/>
    <w:rsid w:val="00246C03"/>
    <w:rsid w:val="0026615F"/>
    <w:rsid w:val="00286E7A"/>
    <w:rsid w:val="0029481D"/>
    <w:rsid w:val="00295C6F"/>
    <w:rsid w:val="002A0182"/>
    <w:rsid w:val="002F0BB1"/>
    <w:rsid w:val="00301AE5"/>
    <w:rsid w:val="00317F4F"/>
    <w:rsid w:val="00343211"/>
    <w:rsid w:val="00347D96"/>
    <w:rsid w:val="00383DC7"/>
    <w:rsid w:val="0039198F"/>
    <w:rsid w:val="003B4A68"/>
    <w:rsid w:val="003E7E38"/>
    <w:rsid w:val="0041006E"/>
    <w:rsid w:val="00412AAE"/>
    <w:rsid w:val="004311C0"/>
    <w:rsid w:val="0044284C"/>
    <w:rsid w:val="00450660"/>
    <w:rsid w:val="00455C1E"/>
    <w:rsid w:val="0045753B"/>
    <w:rsid w:val="0046724D"/>
    <w:rsid w:val="00476B24"/>
    <w:rsid w:val="00491232"/>
    <w:rsid w:val="004A1DF2"/>
    <w:rsid w:val="004A35A6"/>
    <w:rsid w:val="004A3AC7"/>
    <w:rsid w:val="004A6A1D"/>
    <w:rsid w:val="004D4A22"/>
    <w:rsid w:val="004D4BD2"/>
    <w:rsid w:val="004E48B1"/>
    <w:rsid w:val="004F1D00"/>
    <w:rsid w:val="0050380F"/>
    <w:rsid w:val="005063AC"/>
    <w:rsid w:val="00506A8C"/>
    <w:rsid w:val="00510743"/>
    <w:rsid w:val="0052205D"/>
    <w:rsid w:val="00531E22"/>
    <w:rsid w:val="005323EA"/>
    <w:rsid w:val="00537D07"/>
    <w:rsid w:val="00554EAF"/>
    <w:rsid w:val="00566BAD"/>
    <w:rsid w:val="00593766"/>
    <w:rsid w:val="005A43BE"/>
    <w:rsid w:val="005A52E9"/>
    <w:rsid w:val="005B471F"/>
    <w:rsid w:val="005C5D5A"/>
    <w:rsid w:val="005D0850"/>
    <w:rsid w:val="005D11B8"/>
    <w:rsid w:val="005D29EE"/>
    <w:rsid w:val="005E4045"/>
    <w:rsid w:val="005F731B"/>
    <w:rsid w:val="00600E9E"/>
    <w:rsid w:val="00602259"/>
    <w:rsid w:val="00626945"/>
    <w:rsid w:val="0062796F"/>
    <w:rsid w:val="00637005"/>
    <w:rsid w:val="00644659"/>
    <w:rsid w:val="00652A04"/>
    <w:rsid w:val="0066656F"/>
    <w:rsid w:val="006870D8"/>
    <w:rsid w:val="006A5106"/>
    <w:rsid w:val="006B2B4E"/>
    <w:rsid w:val="006C3D7E"/>
    <w:rsid w:val="007033BC"/>
    <w:rsid w:val="007056C4"/>
    <w:rsid w:val="00713A50"/>
    <w:rsid w:val="00736F82"/>
    <w:rsid w:val="00751582"/>
    <w:rsid w:val="00772F22"/>
    <w:rsid w:val="007748D1"/>
    <w:rsid w:val="00782C43"/>
    <w:rsid w:val="0079294E"/>
    <w:rsid w:val="007A657D"/>
    <w:rsid w:val="007A6B49"/>
    <w:rsid w:val="007B4179"/>
    <w:rsid w:val="007C5CE6"/>
    <w:rsid w:val="00803FBD"/>
    <w:rsid w:val="00847418"/>
    <w:rsid w:val="008573B9"/>
    <w:rsid w:val="00876DEE"/>
    <w:rsid w:val="008A0D12"/>
    <w:rsid w:val="008B6F5E"/>
    <w:rsid w:val="008D1839"/>
    <w:rsid w:val="008E4307"/>
    <w:rsid w:val="00905801"/>
    <w:rsid w:val="00965ED7"/>
    <w:rsid w:val="00971792"/>
    <w:rsid w:val="00985600"/>
    <w:rsid w:val="009A14D9"/>
    <w:rsid w:val="009B2FEC"/>
    <w:rsid w:val="009B6211"/>
    <w:rsid w:val="009D0E33"/>
    <w:rsid w:val="009D3C93"/>
    <w:rsid w:val="009D3CF7"/>
    <w:rsid w:val="009F49C1"/>
    <w:rsid w:val="009F4CAE"/>
    <w:rsid w:val="009F6832"/>
    <w:rsid w:val="00A75BB2"/>
    <w:rsid w:val="00A814CC"/>
    <w:rsid w:val="00A836D4"/>
    <w:rsid w:val="00A91A49"/>
    <w:rsid w:val="00AA03DB"/>
    <w:rsid w:val="00AA32FF"/>
    <w:rsid w:val="00AB48B5"/>
    <w:rsid w:val="00AF0479"/>
    <w:rsid w:val="00AF6C01"/>
    <w:rsid w:val="00B02B7F"/>
    <w:rsid w:val="00B053C4"/>
    <w:rsid w:val="00B23C9D"/>
    <w:rsid w:val="00B332F7"/>
    <w:rsid w:val="00B378D5"/>
    <w:rsid w:val="00B4027A"/>
    <w:rsid w:val="00B43255"/>
    <w:rsid w:val="00B57F63"/>
    <w:rsid w:val="00B637F3"/>
    <w:rsid w:val="00B765CA"/>
    <w:rsid w:val="00BA2A6D"/>
    <w:rsid w:val="00BB040A"/>
    <w:rsid w:val="00BB0A3B"/>
    <w:rsid w:val="00BB2640"/>
    <w:rsid w:val="00BF5130"/>
    <w:rsid w:val="00BF757F"/>
    <w:rsid w:val="00C26140"/>
    <w:rsid w:val="00C328F0"/>
    <w:rsid w:val="00C632D9"/>
    <w:rsid w:val="00C80519"/>
    <w:rsid w:val="00C86E33"/>
    <w:rsid w:val="00C9282B"/>
    <w:rsid w:val="00C9322C"/>
    <w:rsid w:val="00C97893"/>
    <w:rsid w:val="00CD6007"/>
    <w:rsid w:val="00CE1A1D"/>
    <w:rsid w:val="00D17130"/>
    <w:rsid w:val="00D32BFF"/>
    <w:rsid w:val="00D44A33"/>
    <w:rsid w:val="00D513E4"/>
    <w:rsid w:val="00D60805"/>
    <w:rsid w:val="00D7346B"/>
    <w:rsid w:val="00D93831"/>
    <w:rsid w:val="00DA21DE"/>
    <w:rsid w:val="00DC0B17"/>
    <w:rsid w:val="00DC6C49"/>
    <w:rsid w:val="00DF6371"/>
    <w:rsid w:val="00E055C5"/>
    <w:rsid w:val="00E07761"/>
    <w:rsid w:val="00E20704"/>
    <w:rsid w:val="00E22A8A"/>
    <w:rsid w:val="00E23A71"/>
    <w:rsid w:val="00E3388E"/>
    <w:rsid w:val="00E44CCE"/>
    <w:rsid w:val="00E512C4"/>
    <w:rsid w:val="00E53BD4"/>
    <w:rsid w:val="00E63572"/>
    <w:rsid w:val="00E71271"/>
    <w:rsid w:val="00E72D2D"/>
    <w:rsid w:val="00E87080"/>
    <w:rsid w:val="00EA2F24"/>
    <w:rsid w:val="00EA3722"/>
    <w:rsid w:val="00EA4534"/>
    <w:rsid w:val="00EA6A51"/>
    <w:rsid w:val="00EC1DA6"/>
    <w:rsid w:val="00ED5300"/>
    <w:rsid w:val="00EF2234"/>
    <w:rsid w:val="00F0632B"/>
    <w:rsid w:val="00F12593"/>
    <w:rsid w:val="00F22E03"/>
    <w:rsid w:val="00F34E7E"/>
    <w:rsid w:val="00F618B3"/>
    <w:rsid w:val="00F66AF8"/>
    <w:rsid w:val="00F746DA"/>
    <w:rsid w:val="00F87DE8"/>
    <w:rsid w:val="00F955CE"/>
    <w:rsid w:val="00FA1C6E"/>
    <w:rsid w:val="00FC1BA2"/>
    <w:rsid w:val="00FC2B9D"/>
    <w:rsid w:val="00FC3E06"/>
    <w:rsid w:val="00FE62F2"/>
    <w:rsid w:val="00FE65AB"/>
    <w:rsid w:val="00FE7F16"/>
    <w:rsid w:val="00FF0972"/>
    <w:rsid w:val="00FF0B5C"/>
    <w:rsid w:val="00FF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95669F3-BB6D-4F61-8B54-A8D6976D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640"/>
  </w:style>
  <w:style w:type="paragraph" w:styleId="Heading1">
    <w:name w:val="heading 1"/>
    <w:basedOn w:val="Normal"/>
    <w:next w:val="Normal"/>
    <w:link w:val="Heading1Char"/>
    <w:qFormat/>
    <w:pPr>
      <w:keepNext/>
      <w:outlineLvl w:val="0"/>
    </w:pPr>
    <w:rPr>
      <w:rFonts w:ascii="Times" w:hAnsi="Times"/>
      <w:b/>
      <w:sz w:val="26"/>
    </w:rPr>
  </w:style>
  <w:style w:type="paragraph" w:styleId="Heading2">
    <w:name w:val="heading 2"/>
    <w:basedOn w:val="Normal"/>
    <w:next w:val="Normal"/>
    <w:qFormat/>
    <w:pPr>
      <w:keepNext/>
      <w:outlineLvl w:val="1"/>
    </w:pPr>
    <w:rPr>
      <w:rFonts w:ascii="Times" w:hAnsi="Time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rPr>
      <w:sz w:val="22"/>
    </w:rPr>
  </w:style>
  <w:style w:type="paragraph" w:customStyle="1" w:styleId="bullet1">
    <w:name w:val="bullet1"/>
    <w:basedOn w:val="Normal"/>
    <w:pPr>
      <w:numPr>
        <w:numId w:val="1"/>
      </w:numPr>
    </w:pPr>
  </w:style>
  <w:style w:type="paragraph" w:styleId="BodyText3">
    <w:name w:val="Body Text 3"/>
    <w:basedOn w:val="Normal"/>
    <w:pPr>
      <w:spacing w:after="120"/>
      <w:jc w:val="both"/>
    </w:pPr>
    <w:rPr>
      <w:sz w:val="22"/>
    </w:rPr>
  </w:style>
  <w:style w:type="character" w:styleId="Hyperlink">
    <w:name w:val="Hyperlink"/>
    <w:basedOn w:val="DefaultParagraphFont"/>
    <w:rPr>
      <w:color w:val="0000FF"/>
      <w:u w:val="single"/>
    </w:rPr>
  </w:style>
  <w:style w:type="paragraph" w:styleId="BodyText">
    <w:name w:val="Body Text"/>
    <w:basedOn w:val="Normal"/>
    <w:rPr>
      <w:color w:val="000000"/>
      <w:sz w:val="22"/>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BalloonText">
    <w:name w:val="Balloon Text"/>
    <w:basedOn w:val="Normal"/>
    <w:semiHidden/>
    <w:rsid w:val="00EA6A51"/>
    <w:rPr>
      <w:rFonts w:ascii="Tahoma" w:hAnsi="Tahoma" w:cs="Tahoma"/>
      <w:sz w:val="16"/>
      <w:szCs w:val="16"/>
    </w:rPr>
  </w:style>
  <w:style w:type="character" w:styleId="CommentReference">
    <w:name w:val="annotation reference"/>
    <w:basedOn w:val="DefaultParagraphFont"/>
    <w:semiHidden/>
    <w:rsid w:val="00EA6A51"/>
    <w:rPr>
      <w:sz w:val="16"/>
      <w:szCs w:val="16"/>
    </w:rPr>
  </w:style>
  <w:style w:type="paragraph" w:styleId="CommentText">
    <w:name w:val="annotation text"/>
    <w:basedOn w:val="Normal"/>
    <w:semiHidden/>
    <w:rsid w:val="00EA6A51"/>
  </w:style>
  <w:style w:type="paragraph" w:styleId="CommentSubject">
    <w:name w:val="annotation subject"/>
    <w:basedOn w:val="CommentText"/>
    <w:next w:val="CommentText"/>
    <w:semiHidden/>
    <w:rsid w:val="00EA6A51"/>
    <w:rPr>
      <w:b/>
      <w:bCs/>
    </w:rPr>
  </w:style>
  <w:style w:type="character" w:customStyle="1" w:styleId="Heading1Char">
    <w:name w:val="Heading 1 Char"/>
    <w:basedOn w:val="DefaultParagraphFont"/>
    <w:link w:val="Heading1"/>
    <w:rsid w:val="002302D1"/>
    <w:rPr>
      <w:rFonts w:ascii="Times" w:hAnsi="Times"/>
      <w:b/>
      <w:sz w:val="26"/>
    </w:rPr>
  </w:style>
  <w:style w:type="character" w:customStyle="1" w:styleId="FooterChar">
    <w:name w:val="Footer Char"/>
    <w:basedOn w:val="DefaultParagraphFont"/>
    <w:link w:val="Footer"/>
    <w:uiPriority w:val="99"/>
    <w:rsid w:val="002302D1"/>
  </w:style>
  <w:style w:type="character" w:customStyle="1" w:styleId="HeaderChar">
    <w:name w:val="Header Char"/>
    <w:basedOn w:val="DefaultParagraphFont"/>
    <w:link w:val="Header"/>
    <w:uiPriority w:val="99"/>
    <w:rsid w:val="002302D1"/>
  </w:style>
  <w:style w:type="table" w:styleId="TableGrid">
    <w:name w:val="Table Grid"/>
    <w:basedOn w:val="TableNormal"/>
    <w:rsid w:val="00214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F63"/>
    <w:pPr>
      <w:ind w:left="720"/>
      <w:contextualSpacing/>
    </w:pPr>
  </w:style>
  <w:style w:type="paragraph" w:styleId="Revision">
    <w:name w:val="Revision"/>
    <w:hidden/>
    <w:uiPriority w:val="99"/>
    <w:semiHidden/>
    <w:rsid w:val="00713A50"/>
  </w:style>
  <w:style w:type="character" w:styleId="Strong">
    <w:name w:val="Strong"/>
    <w:basedOn w:val="DefaultParagraphFont"/>
    <w:uiPriority w:val="22"/>
    <w:qFormat/>
    <w:rsid w:val="00AF6C01"/>
    <w:rPr>
      <w:b/>
      <w:bCs/>
    </w:rPr>
  </w:style>
  <w:style w:type="paragraph" w:styleId="NormalWeb">
    <w:name w:val="Normal (Web)"/>
    <w:basedOn w:val="Normal"/>
    <w:uiPriority w:val="99"/>
    <w:semiHidden/>
    <w:unhideWhenUsed/>
    <w:rsid w:val="00AF6C01"/>
    <w:pPr>
      <w:spacing w:before="75" w:after="150" w:line="360" w:lineRule="auto"/>
    </w:pPr>
    <w:rPr>
      <w:rFonts w:ascii="Arial" w:hAnsi="Arial" w:cs="Arial"/>
      <w:sz w:val="24"/>
      <w:szCs w:val="24"/>
    </w:rPr>
  </w:style>
  <w:style w:type="paragraph" w:customStyle="1" w:styleId="Caption1">
    <w:name w:val="Caption1"/>
    <w:basedOn w:val="Normal"/>
    <w:rsid w:val="00AF6C01"/>
    <w:pPr>
      <w:spacing w:before="30" w:after="150" w:line="360" w:lineRule="auto"/>
      <w:ind w:right="75"/>
    </w:pPr>
    <w:rPr>
      <w:rFonts w:ascii="Arial" w:hAnsi="Arial" w:cs="Arial"/>
      <w:sz w:val="19"/>
      <w:szCs w:val="19"/>
    </w:rPr>
  </w:style>
  <w:style w:type="character" w:customStyle="1" w:styleId="caption10">
    <w:name w:val="caption1"/>
    <w:basedOn w:val="DefaultParagraphFont"/>
    <w:rsid w:val="00AF6C01"/>
    <w:rPr>
      <w:rFonts w:ascii="Arial" w:hAnsi="Arial" w:cs="Arial" w:hint="default"/>
      <w:sz w:val="19"/>
      <w:szCs w:val="19"/>
    </w:rPr>
  </w:style>
  <w:style w:type="character" w:styleId="EndnoteReference">
    <w:name w:val="endnote reference"/>
    <w:basedOn w:val="DefaultParagraphFont"/>
    <w:rsid w:val="00905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13919">
      <w:bodyDiv w:val="1"/>
      <w:marLeft w:val="0"/>
      <w:marRight w:val="0"/>
      <w:marTop w:val="0"/>
      <w:marBottom w:val="0"/>
      <w:divBdr>
        <w:top w:val="none" w:sz="0" w:space="0" w:color="auto"/>
        <w:left w:val="none" w:sz="0" w:space="0" w:color="auto"/>
        <w:bottom w:val="none" w:sz="0" w:space="0" w:color="auto"/>
        <w:right w:val="none" w:sz="0" w:space="0" w:color="auto"/>
      </w:divBdr>
      <w:divsChild>
        <w:div w:id="1764757912">
          <w:marLeft w:val="0"/>
          <w:marRight w:val="0"/>
          <w:marTop w:val="0"/>
          <w:marBottom w:val="0"/>
          <w:divBdr>
            <w:top w:val="none" w:sz="0" w:space="0" w:color="auto"/>
            <w:left w:val="none" w:sz="0" w:space="0" w:color="auto"/>
            <w:bottom w:val="none" w:sz="0" w:space="0" w:color="auto"/>
            <w:right w:val="none" w:sz="0" w:space="0" w:color="auto"/>
          </w:divBdr>
          <w:divsChild>
            <w:div w:id="186723467">
              <w:marLeft w:val="0"/>
              <w:marRight w:val="0"/>
              <w:marTop w:val="0"/>
              <w:marBottom w:val="0"/>
              <w:divBdr>
                <w:top w:val="none" w:sz="0" w:space="0" w:color="auto"/>
                <w:left w:val="single" w:sz="6" w:space="0" w:color="EFEFEF"/>
                <w:bottom w:val="none" w:sz="0" w:space="0" w:color="auto"/>
                <w:right w:val="single" w:sz="6" w:space="0" w:color="EFEFEF"/>
              </w:divBdr>
              <w:divsChild>
                <w:div w:id="206843994">
                  <w:marLeft w:val="150"/>
                  <w:marRight w:val="150"/>
                  <w:marTop w:val="0"/>
                  <w:marBottom w:val="750"/>
                  <w:divBdr>
                    <w:top w:val="none" w:sz="0" w:space="0" w:color="auto"/>
                    <w:left w:val="none" w:sz="0" w:space="0" w:color="auto"/>
                    <w:bottom w:val="none" w:sz="0" w:space="0" w:color="auto"/>
                    <w:right w:val="none" w:sz="0" w:space="0" w:color="auto"/>
                  </w:divBdr>
                </w:div>
              </w:divsChild>
            </w:div>
          </w:divsChild>
        </w:div>
      </w:divsChild>
    </w:div>
    <w:div w:id="335497360">
      <w:bodyDiv w:val="1"/>
      <w:marLeft w:val="0"/>
      <w:marRight w:val="0"/>
      <w:marTop w:val="0"/>
      <w:marBottom w:val="0"/>
      <w:divBdr>
        <w:top w:val="none" w:sz="0" w:space="0" w:color="auto"/>
        <w:left w:val="none" w:sz="0" w:space="0" w:color="auto"/>
        <w:bottom w:val="none" w:sz="0" w:space="0" w:color="auto"/>
        <w:right w:val="none" w:sz="0" w:space="0" w:color="auto"/>
      </w:divBdr>
    </w:div>
    <w:div w:id="345979837">
      <w:bodyDiv w:val="1"/>
      <w:marLeft w:val="0"/>
      <w:marRight w:val="0"/>
      <w:marTop w:val="0"/>
      <w:marBottom w:val="0"/>
      <w:divBdr>
        <w:top w:val="none" w:sz="0" w:space="0" w:color="auto"/>
        <w:left w:val="none" w:sz="0" w:space="0" w:color="auto"/>
        <w:bottom w:val="none" w:sz="0" w:space="0" w:color="auto"/>
        <w:right w:val="none" w:sz="0" w:space="0" w:color="auto"/>
      </w:divBdr>
    </w:div>
    <w:div w:id="544294145">
      <w:bodyDiv w:val="1"/>
      <w:marLeft w:val="0"/>
      <w:marRight w:val="0"/>
      <w:marTop w:val="0"/>
      <w:marBottom w:val="0"/>
      <w:divBdr>
        <w:top w:val="none" w:sz="0" w:space="0" w:color="auto"/>
        <w:left w:val="none" w:sz="0" w:space="0" w:color="auto"/>
        <w:bottom w:val="none" w:sz="0" w:space="0" w:color="auto"/>
        <w:right w:val="none" w:sz="0" w:space="0" w:color="auto"/>
      </w:divBdr>
    </w:div>
    <w:div w:id="1119033572">
      <w:bodyDiv w:val="1"/>
      <w:marLeft w:val="0"/>
      <w:marRight w:val="0"/>
      <w:marTop w:val="0"/>
      <w:marBottom w:val="0"/>
      <w:divBdr>
        <w:top w:val="none" w:sz="0" w:space="0" w:color="auto"/>
        <w:left w:val="none" w:sz="0" w:space="0" w:color="auto"/>
        <w:bottom w:val="none" w:sz="0" w:space="0" w:color="auto"/>
        <w:right w:val="none" w:sz="0" w:space="0" w:color="auto"/>
      </w:divBdr>
    </w:div>
    <w:div w:id="1198466929">
      <w:bodyDiv w:val="1"/>
      <w:marLeft w:val="0"/>
      <w:marRight w:val="0"/>
      <w:marTop w:val="0"/>
      <w:marBottom w:val="0"/>
      <w:divBdr>
        <w:top w:val="none" w:sz="0" w:space="0" w:color="auto"/>
        <w:left w:val="none" w:sz="0" w:space="0" w:color="auto"/>
        <w:bottom w:val="none" w:sz="0" w:space="0" w:color="auto"/>
        <w:right w:val="none" w:sz="0" w:space="0" w:color="auto"/>
      </w:divBdr>
    </w:div>
    <w:div w:id="178639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util/MyServices/Rates/DrainageRates/RateSchedule/index.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sha.bassett@seattle.gov" TargetMode="External"/><Relationship Id="rId4" Type="http://schemas.openxmlformats.org/officeDocument/2006/relationships/settings" Target="settings.xml"/><Relationship Id="rId9" Type="http://schemas.openxmlformats.org/officeDocument/2006/relationships/hyperlink" Target="http://www.seattle.gov/util/sfc"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twitter.com/SeattleSPU" TargetMode="External"/><Relationship Id="rId1" Type="http://schemas.openxmlformats.org/officeDocument/2006/relationships/hyperlink" Target="http://www.seattle.gov/ut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43AC-0805-448C-B6D4-5BAA95B4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City of Seattle</Company>
  <LinksUpToDate>false</LinksUpToDate>
  <CharactersWithSpaces>7693</CharactersWithSpaces>
  <SharedDoc>false</SharedDoc>
  <HLinks>
    <vt:vector size="6" baseType="variant">
      <vt:variant>
        <vt:i4>8126498</vt:i4>
      </vt:variant>
      <vt:variant>
        <vt:i4>0</vt:i4>
      </vt:variant>
      <vt:variant>
        <vt:i4>0</vt:i4>
      </vt:variant>
      <vt:variant>
        <vt:i4>5</vt:i4>
      </vt:variant>
      <vt:variant>
        <vt:lpwstr>http://www.seattle.gov/util/Services/Drainage_&amp;_Sewer/index.asp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BassetT</dc:creator>
  <cp:lastModifiedBy>Bassett, Tasha</cp:lastModifiedBy>
  <cp:revision>4</cp:revision>
  <cp:lastPrinted>2015-12-16T16:22:00Z</cp:lastPrinted>
  <dcterms:created xsi:type="dcterms:W3CDTF">2015-12-16T16:36:00Z</dcterms:created>
  <dcterms:modified xsi:type="dcterms:W3CDTF">2015-12-16T16:40:00Z</dcterms:modified>
</cp:coreProperties>
</file>