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704" w:rsidRDefault="00502704" w:rsidP="00502704">
      <w:r>
        <w:t>A. Green Building Design</w:t>
      </w:r>
    </w:p>
    <w:p w:rsidR="00502704" w:rsidRDefault="00502704" w:rsidP="00502704">
      <w:r>
        <w:t>New Buildings</w:t>
      </w:r>
    </w:p>
    <w:p w:rsidR="00502704" w:rsidRDefault="00502704" w:rsidP="00502704">
      <w:r>
        <w:t>1. All new building projects, other than acute care facilities, shall be designed, constructed, and commissioned to outperform the CBC energy-efficiency standards by at least 20%. The University will strive to design, construct, and commission buildings that outperform CBC energy efficiency standards by 30% or more, whenever possible within the constraints of program needs and standard budget parameters.</w:t>
      </w:r>
    </w:p>
    <w:p w:rsidR="00502704" w:rsidRDefault="00502704" w:rsidP="00502704">
      <w:r>
        <w:t>2. Standards for energy efficiency for acute care facilities will be developed in consultation with campuses and medical centers.</w:t>
      </w:r>
    </w:p>
    <w:p w:rsidR="00502704" w:rsidRDefault="00502704" w:rsidP="00502704">
      <w:r>
        <w:t>3. All new buildings (except acute care facilities) will achieve a USGBC LEED “Silver” certification at a minimum. All new buildings (except acute care facilities)will strive to achieve certification at a USGBC LEED “Gold” rating or higher, whenever possible within the constraints of program needs and standard budget parameters.</w:t>
      </w:r>
    </w:p>
    <w:p w:rsidR="00502704" w:rsidRDefault="00502704" w:rsidP="00502704">
      <w:r>
        <w:t>4. The University of California will design, construct, and commission new laboratory buildings to achieve a minimum of LEED- “Silver” certification as well as meeting at least the prerequisites of the Laboratories for the 21st Century (Labs21) Environmental Performance Criteria (EPC)2. Laboratory spaces in new buildings also shall meet at least the prerequisites of Labs21 EPC. Design, construction, and commissioning processes shall strive to optimize the energy efficiency of systems not addressed by the CBC energy efficiency standards.</w:t>
      </w:r>
    </w:p>
    <w:p w:rsidR="00502704" w:rsidRDefault="00502704" w:rsidP="00502704">
      <w:r>
        <w:t>5. All new building projects will achieve at least two points within the available credits in LEED-NC’s Water Efficiency category.</w:t>
      </w:r>
    </w:p>
    <w:p w:rsidR="00502704" w:rsidRDefault="00502704" w:rsidP="00502704"/>
    <w:p w:rsidR="00502704" w:rsidRDefault="00502704" w:rsidP="00502704">
      <w:r>
        <w:t>Building Renovations</w:t>
      </w:r>
    </w:p>
    <w:p w:rsidR="00502704" w:rsidRDefault="00502704" w:rsidP="00502704">
      <w:r>
        <w:t>6. Renovation of buildings that require 100% replacement of mechanical, electrical and plumbing systems and replacement of over 50% of all non-shell areas (interior walls, doors, floor coverings and ceiling systems) shall at a minimum comply with III.A.3 or III.A.4, above. Such projects shall outperform CBC Title 24, Part 6, currently in effect, by 20%.</w:t>
      </w:r>
    </w:p>
    <w:p w:rsidR="00502704" w:rsidRDefault="00502704" w:rsidP="00502704">
      <w:r>
        <w:t xml:space="preserve">7. Renovation projects with a project cost of $5 million or greater (CCCI 5000) that do not fall under item III.A.6. </w:t>
      </w:r>
      <w:proofErr w:type="gramStart"/>
      <w:r>
        <w:t>shall</w:t>
      </w:r>
      <w:proofErr w:type="gramEnd"/>
      <w:r>
        <w:t xml:space="preserve"> at a minimum achieve a LEED-CI Certified rating and register with the utilities’ Savings by Design program, if eligible.</w:t>
      </w:r>
    </w:p>
    <w:p w:rsidR="002E6228" w:rsidRDefault="002E6228">
      <w:bookmarkStart w:id="0" w:name="_GoBack"/>
      <w:bookmarkEnd w:id="0"/>
    </w:p>
    <w:sectPr w:rsidR="002E62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04"/>
    <w:rsid w:val="002E6228"/>
    <w:rsid w:val="00502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7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7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77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1876</Characters>
  <Application>Microsoft Office Word</Application>
  <DocSecurity>0</DocSecurity>
  <Lines>15</Lines>
  <Paragraphs>4</Paragraphs>
  <ScaleCrop>false</ScaleCrop>
  <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Sustain</dc:creator>
  <cp:lastModifiedBy>Sustain</cp:lastModifiedBy>
  <cp:revision>1</cp:revision>
  <dcterms:created xsi:type="dcterms:W3CDTF">2014-02-26T20:45:00Z</dcterms:created>
  <dcterms:modified xsi:type="dcterms:W3CDTF">2014-02-26T20:46:00Z</dcterms:modified>
</cp:coreProperties>
</file>