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5C" w:rsidRDefault="007D73AA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EXHIBIT E</w:t>
      </w:r>
    </w:p>
    <w:p w:rsidR="0062465C" w:rsidRDefault="007D73AA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Portland State University</w:t>
      </w:r>
    </w:p>
    <w:p w:rsidR="0062465C" w:rsidRDefault="007D73AA">
      <w:pPr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Sustainable Food System Practices</w:t>
      </w:r>
    </w:p>
    <w:p w:rsidR="0062465C" w:rsidRDefault="0062465C">
      <w:pPr>
        <w:spacing w:line="276" w:lineRule="auto"/>
        <w:jc w:val="center"/>
        <w:rPr>
          <w:rFonts w:ascii="Calibri" w:eastAsia="Calibri" w:hAnsi="Calibri" w:cs="Calibri"/>
        </w:rPr>
      </w:pPr>
    </w:p>
    <w:p w:rsidR="0062465C" w:rsidRDefault="007D73AA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understands that sustainability is a significant part of the University’s mission and identity.  Operator will embrace PSU’s commitment to sustainability by complying with the</w:t>
      </w:r>
      <w:r>
        <w:rPr>
          <w:rFonts w:ascii="Calibri" w:eastAsia="Calibri" w:hAnsi="Calibri" w:cs="Calibri"/>
          <w:sz w:val="22"/>
          <w:szCs w:val="22"/>
        </w:rPr>
        <w:t xml:space="preserve"> University’s expectations as follows: </w:t>
      </w: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Definitions</w:t>
      </w: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Local</w:t>
      </w:r>
      <w:r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Food and beverage (excluding soda and candy products) grown, processed, or caught within Oregon and Washington.</w:t>
      </w: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Regional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 xml:space="preserve">Food and beverage products (excluding soda and candy products grown, </w:t>
      </w:r>
      <w:r>
        <w:rPr>
          <w:rFonts w:ascii="Calibri" w:eastAsia="Calibri" w:hAnsi="Calibri" w:cs="Calibri"/>
          <w:sz w:val="22"/>
          <w:szCs w:val="22"/>
        </w:rPr>
        <w:t>processed, or caught within Oregon and its four bordering states: Washington, Idaho, California, and Nevada.</w:t>
      </w: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Food Categories: </w:t>
      </w:r>
      <w:r>
        <w:rPr>
          <w:rFonts w:ascii="Calibri" w:eastAsia="Calibri" w:hAnsi="Calibri" w:cs="Calibri"/>
          <w:sz w:val="22"/>
          <w:szCs w:val="22"/>
        </w:rPr>
        <w:t>Fruits &amp; vegetables, dairy, eggs, frozen, canned &amp; dry, flour, poultry, meat (i.e. beef, pork, and sausage), salmon, tuna, other s</w:t>
      </w:r>
      <w:r>
        <w:rPr>
          <w:rFonts w:ascii="Calibri" w:eastAsia="Calibri" w:hAnsi="Calibri" w:cs="Calibri"/>
          <w:sz w:val="22"/>
          <w:szCs w:val="22"/>
        </w:rPr>
        <w:t>eafood, and beverages.</w:t>
      </w: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CSO: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Campus Sustainability Office</w:t>
      </w:r>
    </w:p>
    <w:p w:rsidR="0062465C" w:rsidRDefault="007D73AA">
      <w:pPr>
        <w:shd w:val="clear" w:color="auto" w:fill="FFFFFF"/>
        <w:spacing w:after="135" w:line="270" w:lineRule="atLeast"/>
        <w:rPr>
          <w:rFonts w:ascii="Helvetica" w:eastAsia="Helvetica" w:hAnsi="Helvetica" w:cs="Helvetica"/>
          <w:color w:val="333333"/>
          <w:sz w:val="20"/>
          <w:szCs w:val="20"/>
          <w:u w:color="333333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Third Party Certified</w:t>
      </w:r>
      <w:r>
        <w:rPr>
          <w:rFonts w:ascii="Calibri" w:eastAsia="Calibri" w:hAnsi="Calibri" w:cs="Calibri"/>
          <w:sz w:val="22"/>
          <w:szCs w:val="22"/>
        </w:rPr>
        <w:t>: Food products that meet sustainability requirements as defined by third party organizations (see attachment 1).</w:t>
      </w:r>
    </w:p>
    <w:p w:rsidR="0062465C" w:rsidRDefault="0062465C">
      <w:pPr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Goals</w:t>
      </w:r>
    </w:p>
    <w:p w:rsidR="0062465C" w:rsidRDefault="007D73A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University and Operator strive to: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Increase total local a</w:t>
      </w:r>
      <w:r>
        <w:rPr>
          <w:rFonts w:ascii="Calibri" w:eastAsia="Calibri" w:hAnsi="Calibri" w:cs="Calibri"/>
          <w:sz w:val="22"/>
          <w:szCs w:val="22"/>
        </w:rPr>
        <w:t>nd third-party certified food expenditures each by 5% annually within each food category, based on fiscal year 2014 baseline for the duration of this contract.</w:t>
      </w:r>
    </w:p>
    <w:p w:rsidR="0062465C" w:rsidRDefault="007D73AA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Local,  regional, and third party certified purchases will be tracked within each food category </w:t>
      </w:r>
      <w:r>
        <w:rPr>
          <w:rFonts w:ascii="Calibri" w:eastAsia="Calibri" w:hAnsi="Calibri" w:cs="Calibri"/>
          <w:sz w:val="22"/>
          <w:szCs w:val="22"/>
        </w:rPr>
        <w:t xml:space="preserve">by Operator and reported to CSO on quarterly basis. </w:t>
      </w:r>
    </w:p>
    <w:p w:rsidR="0062465C" w:rsidRDefault="007D73AA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Products grown/produced outside of the region will be shown preference based on their relative proximity to Portland as well as third-party certifications.</w:t>
      </w:r>
    </w:p>
    <w:p w:rsidR="0062465C" w:rsidRDefault="007D73AA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Purchasing preference will also be given to loc</w:t>
      </w:r>
      <w:r>
        <w:rPr>
          <w:rFonts w:ascii="Calibri" w:eastAsia="Calibri" w:hAnsi="Calibri" w:cs="Calibri"/>
          <w:sz w:val="22"/>
          <w:szCs w:val="22"/>
        </w:rPr>
        <w:t xml:space="preserve">ally owned and operated businesses, even if the products they sell are not grown and processed within defined “local” boundaries. 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will designate a liaison to interface with CSO and track food purchases. Purchasing reports will be submitted to CSO</w:t>
      </w:r>
      <w:r>
        <w:rPr>
          <w:rFonts w:ascii="Calibri" w:eastAsia="Calibri" w:hAnsi="Calibri" w:cs="Calibri"/>
          <w:sz w:val="22"/>
          <w:szCs w:val="22"/>
        </w:rPr>
        <w:t xml:space="preserve"> by Operator on an annual and a quarterly basis.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Operator will use mutually agreed upon purchasing report template to submit annual and quarterly reports to CSO. 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Operator and CSO will meet quarterly to a review purchasing reports, assess performance, and </w:t>
      </w:r>
      <w:r>
        <w:rPr>
          <w:rFonts w:ascii="Calibri" w:eastAsia="Calibri" w:hAnsi="Calibri" w:cs="Calibri"/>
          <w:sz w:val="22"/>
          <w:szCs w:val="22"/>
        </w:rPr>
        <w:t>prioritize areas for improvement.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Operator fails to meet annual sustainable purchasing goals in paragraph 1, Operator will provide a written summary within reporting template outlining reasons for non-achievement (e.g. weather affecting markets, etc.) a</w:t>
      </w:r>
      <w:r>
        <w:rPr>
          <w:rFonts w:ascii="Calibri" w:eastAsia="Calibri" w:hAnsi="Calibri" w:cs="Calibri"/>
          <w:sz w:val="22"/>
          <w:szCs w:val="22"/>
        </w:rPr>
        <w:t>nd efforts to mitigate (e.g. substituting other regionally available products, etc.).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  <w:shd w:val="clear" w:color="auto" w:fill="FFFF00"/>
        </w:rPr>
      </w:pPr>
      <w:r>
        <w:rPr>
          <w:rFonts w:ascii="Calibri" w:eastAsia="Calibri" w:hAnsi="Calibri" w:cs="Calibri"/>
          <w:sz w:val="22"/>
          <w:szCs w:val="22"/>
        </w:rPr>
        <w:t xml:space="preserve">Operator and University will discuss and evaluate in good faith any proposed revised goals or reports on an annual basis.  Any changes to this exhibit and/or associated </w:t>
      </w:r>
      <w:r>
        <w:rPr>
          <w:rFonts w:ascii="Calibri" w:eastAsia="Calibri" w:hAnsi="Calibri" w:cs="Calibri"/>
          <w:sz w:val="22"/>
          <w:szCs w:val="22"/>
        </w:rPr>
        <w:t>attachments require approval of both University and Operator.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Operator will ensure that sustainable catering options are available, distinctly identified, and promoted on catering menus.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Operator will take initiative to plan seasonal menus that would </w:t>
      </w:r>
      <w:r>
        <w:rPr>
          <w:rFonts w:ascii="Calibri" w:eastAsia="Calibri" w:hAnsi="Calibri" w:cs="Calibri"/>
          <w:sz w:val="22"/>
          <w:szCs w:val="22"/>
        </w:rPr>
        <w:t>enable meeting goals for local food purchases, especially produce.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Operator will designate a representative to participate in the Northwest Food Buyer’s alliance </w:t>
      </w:r>
    </w:p>
    <w:p w:rsidR="0062465C" w:rsidRDefault="007D73AA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Operator will adhere to requirements listed in </w:t>
      </w:r>
      <w:hyperlink r:id="rId8" w:history="1">
        <w:r w:rsidRPr="00BB5F08">
          <w:rPr>
            <w:rStyle w:val="Hyperlink"/>
            <w:rFonts w:ascii="Calibri" w:eastAsia="Calibri" w:hAnsi="Calibri" w:cs="Calibri"/>
            <w:sz w:val="22"/>
            <w:szCs w:val="22"/>
          </w:rPr>
          <w:t>PSU’s Sustainable Procurement and Life Cycle C</w:t>
        </w:r>
        <w:r w:rsidRPr="00BB5F08">
          <w:rPr>
            <w:rStyle w:val="Hyperlink"/>
            <w:rFonts w:ascii="Calibri" w:eastAsia="Calibri" w:hAnsi="Calibri" w:cs="Calibri"/>
            <w:sz w:val="22"/>
            <w:szCs w:val="22"/>
          </w:rPr>
          <w:t>onsideration Policy</w:t>
        </w:r>
      </w:hyperlink>
      <w:r>
        <w:rPr>
          <w:rFonts w:ascii="Calibri" w:eastAsia="Calibri" w:hAnsi="Calibri" w:cs="Calibri"/>
          <w:sz w:val="22"/>
          <w:szCs w:val="22"/>
        </w:rPr>
        <w:t xml:space="preserve"> for operational and business purchases.</w:t>
      </w:r>
    </w:p>
    <w:p w:rsidR="0062465C" w:rsidRDefault="0062465C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62465C" w:rsidRDefault="007D73AA">
      <w:pPr>
        <w:spacing w:line="276" w:lineRule="auto"/>
        <w:rPr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Waste Reduction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Operator-catered events in defined premises, Operator shall provide compost collection infrastructure (compost bins, compostable bin liners, instructional signage) and service</w:t>
      </w:r>
      <w:r>
        <w:rPr>
          <w:rFonts w:ascii="Calibri" w:eastAsia="Calibri" w:hAnsi="Calibri" w:cs="Calibri"/>
          <w:sz w:val="22"/>
          <w:szCs w:val="22"/>
        </w:rPr>
        <w:t>s (emptying, relining, and removing compost disposal bins as needed) for products that are compostable in local compost programs.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Operator and University’s waste management program will work together in good faith to support analysis of the dining program </w:t>
      </w:r>
      <w:r>
        <w:rPr>
          <w:rFonts w:ascii="Calibri" w:eastAsia="Calibri" w:hAnsi="Calibri" w:cs="Calibri"/>
          <w:sz w:val="22"/>
          <w:szCs w:val="22"/>
        </w:rPr>
        <w:t>waste stream through at minimum, an annual waste audit.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Operator-catered events, Operator shall assist waste minimization efforts by providing durable service ware and linens wherever operationally feasible. At a minimum, durable dishware shall be a de</w:t>
      </w:r>
      <w:r>
        <w:rPr>
          <w:rFonts w:ascii="Calibri" w:eastAsia="Calibri" w:hAnsi="Calibri" w:cs="Calibri"/>
          <w:sz w:val="22"/>
          <w:szCs w:val="22"/>
        </w:rPr>
        <w:t>fault option at catered events and restaurant/bar service at the University Place Hotel and Conference Center.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shall implement and promote reusable to-go box program for all applicable retail food service locations.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Where disposable service ware (</w:t>
      </w:r>
      <w:r>
        <w:rPr>
          <w:rFonts w:ascii="Calibri" w:eastAsia="Calibri" w:hAnsi="Calibri" w:cs="Calibri"/>
          <w:sz w:val="22"/>
          <w:szCs w:val="22"/>
        </w:rPr>
        <w:t>cups, plates, bowls, utensils, napkins, and other to-go food containers) is needed, Operator shall: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When feasible, utilize compostable service ware.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compostable service ware is in compliance with regional and city-wide composting and disposal requir</w:t>
      </w:r>
      <w:r>
        <w:rPr>
          <w:rFonts w:ascii="Calibri" w:eastAsia="Calibri" w:hAnsi="Calibri" w:cs="Calibri"/>
          <w:sz w:val="22"/>
          <w:szCs w:val="22"/>
        </w:rPr>
        <w:t>ements.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Purchase paper napkins with high levels of post-consumer recycled content.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 use plastic and expanded polystyrene (i.e. Styrofoam) service ware.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Reduce overall packaging used by Operator to package food whenever feasible (i.e. choose paper wraps </w:t>
      </w:r>
      <w:r>
        <w:rPr>
          <w:rFonts w:ascii="Calibri" w:eastAsia="Calibri" w:hAnsi="Calibri" w:cs="Calibri"/>
          <w:sz w:val="22"/>
          <w:szCs w:val="22"/>
        </w:rPr>
        <w:t xml:space="preserve">over plastic clamshell containers). 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shall manage procurement and food service to minimize food surplus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Maintain food donation program for eligible foods.</w:t>
      </w:r>
    </w:p>
    <w:p w:rsidR="0062465C" w:rsidRDefault="007D73AA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Maintain tray-less dining in Victor’s Dining hall.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shall implement heretofore menti</w:t>
      </w:r>
      <w:r>
        <w:rPr>
          <w:rFonts w:ascii="Calibri" w:eastAsia="Calibri" w:hAnsi="Calibri" w:cs="Calibri"/>
          <w:sz w:val="22"/>
          <w:szCs w:val="22"/>
        </w:rPr>
        <w:t>oned sustainability practices within vendor agreements where permissible.</w:t>
      </w:r>
    </w:p>
    <w:p w:rsidR="0062465C" w:rsidRDefault="007D73A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shall implement sustainable operations in all University locations:</w:t>
      </w:r>
    </w:p>
    <w:p w:rsidR="00927B84" w:rsidRDefault="00927B84" w:rsidP="00927B84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Operator-owned purchases, show preference for Energy Star certified appliances and water conserving appliances and fixtures.  </w:t>
      </w:r>
    </w:p>
    <w:p w:rsidR="00927B84" w:rsidRDefault="00927B84" w:rsidP="00927B84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Resource conserving practices (i.e. turn off lights after hours, run full loads in dishwasher whenever feasible, prohibit thawing food under running water, etc.).</w:t>
      </w:r>
    </w:p>
    <w:p w:rsidR="00927B84" w:rsidRPr="00927B84" w:rsidRDefault="00927B84" w:rsidP="00927B84">
      <w:pPr>
        <w:numPr>
          <w:ilvl w:val="1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 non-toxic cleaning supplies where possible and appropriate for health and sanitation purposes. Adhere to purchasing standards within current PSU custodial contract for green cleaning products.</w:t>
      </w:r>
      <w:r w:rsidR="00BB5F0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stronger or more specific solutions are required, use Green Seal certified products or other mutually agreed upon products. </w:t>
      </w:r>
    </w:p>
    <w:p w:rsidR="00927B84" w:rsidRDefault="00927B84" w:rsidP="00927B84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927B84">
        <w:rPr>
          <w:rFonts w:ascii="Calibri" w:eastAsia="Calibri" w:hAnsi="Calibri" w:cs="Calibri"/>
          <w:sz w:val="22"/>
          <w:szCs w:val="22"/>
        </w:rPr>
        <w:t>Operator shall assist and participate in University educational efforts around sustainable food systems.</w:t>
      </w:r>
    </w:p>
    <w:p w:rsidR="00927B84" w:rsidRDefault="007D73AA" w:rsidP="00927B84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Operator shall implement</w:t>
      </w:r>
      <w:r w:rsidR="00927B84" w:rsidRPr="00927B84">
        <w:rPr>
          <w:rFonts w:ascii="Calibri" w:eastAsia="Calibri" w:hAnsi="Calibri" w:cs="Calibri"/>
          <w:sz w:val="22"/>
          <w:szCs w:val="22"/>
        </w:rPr>
        <w:t xml:space="preserve"> efforts to </w:t>
      </w:r>
      <w:hyperlink r:id="rId9" w:history="1">
        <w:r w:rsidR="00927B84" w:rsidRPr="007D73AA">
          <w:rPr>
            <w:rStyle w:val="Hyperlink"/>
            <w:rFonts w:ascii="Calibri" w:eastAsia="Calibri" w:hAnsi="Calibri" w:cs="Calibri"/>
            <w:sz w:val="22"/>
            <w:szCs w:val="22"/>
          </w:rPr>
          <w:t>reduce bottled water consumption</w:t>
        </w:r>
      </w:hyperlink>
      <w:r w:rsidR="00927B84" w:rsidRPr="00927B84">
        <w:rPr>
          <w:rFonts w:ascii="Calibri" w:eastAsia="Calibri" w:hAnsi="Calibri" w:cs="Calibri"/>
          <w:sz w:val="22"/>
          <w:szCs w:val="22"/>
        </w:rPr>
        <w:t xml:space="preserve"> on campus.</w:t>
      </w:r>
    </w:p>
    <w:p w:rsidR="0062465C" w:rsidRPr="00927B84" w:rsidRDefault="007D73AA" w:rsidP="00927B84">
      <w:pPr>
        <w:spacing w:line="276" w:lineRule="auto"/>
        <w:ind w:left="1081"/>
        <w:rPr>
          <w:rFonts w:ascii="Calibri" w:eastAsia="Calibri" w:hAnsi="Calibri" w:cs="Calibri"/>
          <w:sz w:val="22"/>
          <w:szCs w:val="22"/>
        </w:rPr>
      </w:pPr>
      <w:r w:rsidRPr="00927B84"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</w:p>
    <w:p w:rsidR="0062465C" w:rsidRDefault="0062465C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62465C" w:rsidRDefault="0062465C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62465C" w:rsidRDefault="0062465C">
      <w:pPr>
        <w:spacing w:line="276" w:lineRule="auto"/>
      </w:pPr>
      <w:bookmarkStart w:id="0" w:name="_GoBack"/>
      <w:bookmarkEnd w:id="0"/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62465C">
      <w:pPr>
        <w:spacing w:line="276" w:lineRule="auto"/>
      </w:pPr>
    </w:p>
    <w:p w:rsidR="0062465C" w:rsidRDefault="007D73AA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Attachment  1</w:t>
      </w:r>
    </w:p>
    <w:p w:rsidR="0062465C" w:rsidRDefault="0062465C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:rsidR="0062465C" w:rsidRDefault="007D73AA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Third-party Certifications</w:t>
      </w:r>
    </w:p>
    <w:p w:rsidR="0062465C" w:rsidRDefault="0062465C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tbl>
      <w:tblPr>
        <w:tblW w:w="91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2"/>
        <w:gridCol w:w="7423"/>
      </w:tblGrid>
      <w:tr w:rsidR="0062465C">
        <w:trPr>
          <w:trHeight w:val="431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65C" w:rsidRDefault="007D73AA">
            <w:pPr>
              <w:spacing w:line="270" w:lineRule="atLeast"/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Ecologically Sound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 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Canada Organic Biologique certified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 xml:space="preserve">Certified Bird Friendly by the Smithsonian Migratory Bird Center 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(coffee)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Certified Local Sustainable (Local Food Plus)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Certified Organic by an IFOAM-endorsed standard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Demeter Certified Biodynamic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European Union (EU ) organic logo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Food Alliance Certified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Marine Stewardship Council Blue Ecolabel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 xml:space="preserve">Monterey Bay Aquarium Seafood Watch 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“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Best Choices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”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Protected Harvest Certified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Rainforest Alliance Certified</w:t>
            </w:r>
          </w:p>
          <w:p w:rsidR="0062465C" w:rsidRDefault="007D73AA">
            <w:pPr>
              <w:numPr>
                <w:ilvl w:val="0"/>
                <w:numId w:val="5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Certified Organic (USDA, Oregon Tilth, WSDA)</w:t>
            </w:r>
          </w:p>
        </w:tc>
      </w:tr>
      <w:tr w:rsidR="0062465C">
        <w:trPr>
          <w:trHeight w:val="310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65C" w:rsidRDefault="007D73AA">
            <w:pPr>
              <w:spacing w:line="270" w:lineRule="atLeast"/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Fair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Ecocert Fair Trade (EFT)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Fair Food Standards Council (U.S. tomatoes)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Fair for Life and other IMO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 xml:space="preserve"> certifications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Fairtrade (Fairtrade International/FLO and its members, e.g. Fairtrade Canada and Fairtrade America)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Fair Trade (Fair Trade USA)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FairWild Certified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Food Justice Certified (Agricultural Justice Project)</w:t>
            </w:r>
          </w:p>
          <w:p w:rsidR="0062465C" w:rsidRDefault="007D73AA">
            <w:pPr>
              <w:numPr>
                <w:ilvl w:val="0"/>
                <w:numId w:val="6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Small Producers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 xml:space="preserve">’ </w:t>
            </w: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Symbol (FUNDEPPO)</w:t>
            </w:r>
          </w:p>
        </w:tc>
      </w:tr>
      <w:tr w:rsidR="0062465C">
        <w:trPr>
          <w:trHeight w:val="172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65C" w:rsidRDefault="007D73AA">
            <w:pPr>
              <w:spacing w:line="270" w:lineRule="atLeast"/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Humane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65C" w:rsidRDefault="007D73AA">
            <w:pPr>
              <w:numPr>
                <w:ilvl w:val="0"/>
                <w:numId w:val="7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AGA Grassfed (beef)</w:t>
            </w:r>
          </w:p>
          <w:p w:rsidR="0062465C" w:rsidRDefault="007D73AA">
            <w:pPr>
              <w:numPr>
                <w:ilvl w:val="0"/>
                <w:numId w:val="7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American Humane Certified</w:t>
            </w:r>
          </w:p>
          <w:p w:rsidR="0062465C" w:rsidRDefault="007D73AA">
            <w:pPr>
              <w:numPr>
                <w:ilvl w:val="0"/>
                <w:numId w:val="7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Animal Welfare Approved</w:t>
            </w:r>
          </w:p>
          <w:p w:rsidR="0062465C" w:rsidRDefault="007D73AA">
            <w:pPr>
              <w:numPr>
                <w:ilvl w:val="0"/>
                <w:numId w:val="7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Certified Humane Raised and Handled (Humane Animal Farm Care)</w:t>
            </w:r>
          </w:p>
          <w:p w:rsidR="0062465C" w:rsidRDefault="007D73AA">
            <w:pPr>
              <w:numPr>
                <w:ilvl w:val="0"/>
                <w:numId w:val="7"/>
              </w:numPr>
              <w:spacing w:before="100" w:after="100" w:line="270" w:lineRule="atLeast"/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u w:color="333333"/>
              </w:rPr>
              <w:t>Global Animal Partnership Certified (Steps 3-5+ only)</w:t>
            </w:r>
          </w:p>
        </w:tc>
      </w:tr>
    </w:tbl>
    <w:p w:rsidR="0062465C" w:rsidRDefault="0062465C">
      <w:pPr>
        <w:widowControl w:val="0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:rsidR="0062465C" w:rsidRDefault="007D73AA">
      <w:pPr>
        <w:spacing w:line="276" w:lineRule="auto"/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br w:type="page"/>
      </w:r>
    </w:p>
    <w:sectPr w:rsidR="0062465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73AA">
      <w:r>
        <w:separator/>
      </w:r>
    </w:p>
  </w:endnote>
  <w:endnote w:type="continuationSeparator" w:id="0">
    <w:p w:rsidR="00000000" w:rsidRDefault="007D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5C" w:rsidRDefault="007D73A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62465C" w:rsidRDefault="0062465C">
    <w:pPr>
      <w:pStyle w:val="Footer"/>
      <w:jc w:val="right"/>
    </w:pPr>
  </w:p>
  <w:p w:rsidR="0062465C" w:rsidRDefault="007D73AA">
    <w:pPr>
      <w:pStyle w:val="Footer"/>
      <w:jc w:val="right"/>
    </w:pPr>
    <w:r>
      <w:rPr>
        <w:rFonts w:ascii="Arial" w:hAnsi="Arial"/>
        <w:sz w:val="16"/>
        <w:szCs w:val="16"/>
      </w:rPr>
      <w:t>432374.1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5C" w:rsidRDefault="007D73AA">
    <w:pPr>
      <w:pStyle w:val="Footer"/>
      <w:jc w:val="right"/>
      <w:rPr>
        <w:sz w:val="16"/>
        <w:szCs w:val="16"/>
      </w:rPr>
    </w:pPr>
    <w:r>
      <w:rPr>
        <w:rFonts w:ascii="Arial" w:hAnsi="Arial"/>
        <w:sz w:val="16"/>
        <w:szCs w:val="16"/>
      </w:rPr>
      <w:t>432374.1</w:t>
    </w:r>
  </w:p>
  <w:p w:rsidR="0062465C" w:rsidRDefault="0062465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73AA">
      <w:r>
        <w:separator/>
      </w:r>
    </w:p>
  </w:footnote>
  <w:footnote w:type="continuationSeparator" w:id="0">
    <w:p w:rsidR="00000000" w:rsidRDefault="007D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5C" w:rsidRDefault="0062465C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5C" w:rsidRDefault="0062465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B7B"/>
    <w:multiLevelType w:val="multilevel"/>
    <w:tmpl w:val="145C77A0"/>
    <w:numStyleLink w:val="ImportedStyle2"/>
  </w:abstractNum>
  <w:abstractNum w:abstractNumId="1">
    <w:nsid w:val="1151101C"/>
    <w:multiLevelType w:val="hybridMultilevel"/>
    <w:tmpl w:val="7BF0163E"/>
    <w:lvl w:ilvl="0" w:tplc="C4D83022">
      <w:start w:val="1"/>
      <w:numFmt w:val="bullet"/>
      <w:lvlText w:val="•"/>
      <w:lvlJc w:val="left"/>
      <w:pPr>
        <w:ind w:left="70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209F8">
      <w:start w:val="1"/>
      <w:numFmt w:val="bullet"/>
      <w:lvlText w:val="•"/>
      <w:lvlJc w:val="left"/>
      <w:pPr>
        <w:ind w:left="109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22A9A">
      <w:start w:val="1"/>
      <w:numFmt w:val="bullet"/>
      <w:lvlText w:val="•"/>
      <w:lvlJc w:val="left"/>
      <w:pPr>
        <w:tabs>
          <w:tab w:val="left" w:pos="720"/>
        </w:tabs>
        <w:ind w:left="181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AD376">
      <w:start w:val="1"/>
      <w:numFmt w:val="bullet"/>
      <w:lvlText w:val="•"/>
      <w:lvlJc w:val="left"/>
      <w:pPr>
        <w:tabs>
          <w:tab w:val="left" w:pos="720"/>
        </w:tabs>
        <w:ind w:left="253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42BB0">
      <w:start w:val="1"/>
      <w:numFmt w:val="bullet"/>
      <w:lvlText w:val="•"/>
      <w:lvlJc w:val="left"/>
      <w:pPr>
        <w:tabs>
          <w:tab w:val="left" w:pos="720"/>
        </w:tabs>
        <w:ind w:left="325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00C38">
      <w:start w:val="1"/>
      <w:numFmt w:val="bullet"/>
      <w:lvlText w:val="•"/>
      <w:lvlJc w:val="left"/>
      <w:pPr>
        <w:tabs>
          <w:tab w:val="left" w:pos="720"/>
        </w:tabs>
        <w:ind w:left="397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F6B98A">
      <w:start w:val="1"/>
      <w:numFmt w:val="bullet"/>
      <w:lvlText w:val="•"/>
      <w:lvlJc w:val="left"/>
      <w:pPr>
        <w:tabs>
          <w:tab w:val="left" w:pos="720"/>
        </w:tabs>
        <w:ind w:left="469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4C1B4">
      <w:start w:val="1"/>
      <w:numFmt w:val="bullet"/>
      <w:lvlText w:val="•"/>
      <w:lvlJc w:val="left"/>
      <w:pPr>
        <w:tabs>
          <w:tab w:val="left" w:pos="720"/>
        </w:tabs>
        <w:ind w:left="541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76B1B2">
      <w:start w:val="1"/>
      <w:numFmt w:val="bullet"/>
      <w:lvlText w:val="•"/>
      <w:lvlJc w:val="left"/>
      <w:pPr>
        <w:tabs>
          <w:tab w:val="left" w:pos="720"/>
        </w:tabs>
        <w:ind w:left="613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C554A27"/>
    <w:multiLevelType w:val="hybridMultilevel"/>
    <w:tmpl w:val="C25E1D9A"/>
    <w:numStyleLink w:val="ImportedStyle1"/>
  </w:abstractNum>
  <w:abstractNum w:abstractNumId="3">
    <w:nsid w:val="4D4B0C52"/>
    <w:multiLevelType w:val="hybridMultilevel"/>
    <w:tmpl w:val="C9B84A70"/>
    <w:lvl w:ilvl="0" w:tplc="1CF8DAB8">
      <w:start w:val="1"/>
      <w:numFmt w:val="bullet"/>
      <w:lvlText w:val="•"/>
      <w:lvlJc w:val="left"/>
      <w:pPr>
        <w:ind w:left="70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F20740">
      <w:start w:val="1"/>
      <w:numFmt w:val="bullet"/>
      <w:lvlText w:val="•"/>
      <w:lvlJc w:val="left"/>
      <w:pPr>
        <w:ind w:left="109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08D360">
      <w:start w:val="1"/>
      <w:numFmt w:val="bullet"/>
      <w:lvlText w:val="•"/>
      <w:lvlJc w:val="left"/>
      <w:pPr>
        <w:tabs>
          <w:tab w:val="left" w:pos="720"/>
        </w:tabs>
        <w:ind w:left="181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92273A">
      <w:start w:val="1"/>
      <w:numFmt w:val="bullet"/>
      <w:lvlText w:val="•"/>
      <w:lvlJc w:val="left"/>
      <w:pPr>
        <w:tabs>
          <w:tab w:val="left" w:pos="720"/>
        </w:tabs>
        <w:ind w:left="253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B6D8AC">
      <w:start w:val="1"/>
      <w:numFmt w:val="bullet"/>
      <w:lvlText w:val="•"/>
      <w:lvlJc w:val="left"/>
      <w:pPr>
        <w:tabs>
          <w:tab w:val="left" w:pos="720"/>
        </w:tabs>
        <w:ind w:left="325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9C9A10">
      <w:start w:val="1"/>
      <w:numFmt w:val="bullet"/>
      <w:lvlText w:val="•"/>
      <w:lvlJc w:val="left"/>
      <w:pPr>
        <w:tabs>
          <w:tab w:val="left" w:pos="720"/>
        </w:tabs>
        <w:ind w:left="397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6EA496">
      <w:start w:val="1"/>
      <w:numFmt w:val="bullet"/>
      <w:lvlText w:val="•"/>
      <w:lvlJc w:val="left"/>
      <w:pPr>
        <w:tabs>
          <w:tab w:val="left" w:pos="720"/>
        </w:tabs>
        <w:ind w:left="469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78656C">
      <w:start w:val="1"/>
      <w:numFmt w:val="bullet"/>
      <w:lvlText w:val="•"/>
      <w:lvlJc w:val="left"/>
      <w:pPr>
        <w:tabs>
          <w:tab w:val="left" w:pos="720"/>
        </w:tabs>
        <w:ind w:left="541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F0DF9C">
      <w:start w:val="1"/>
      <w:numFmt w:val="bullet"/>
      <w:lvlText w:val="•"/>
      <w:lvlJc w:val="left"/>
      <w:pPr>
        <w:tabs>
          <w:tab w:val="left" w:pos="720"/>
        </w:tabs>
        <w:ind w:left="613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ABD4994"/>
    <w:multiLevelType w:val="hybridMultilevel"/>
    <w:tmpl w:val="145C77A0"/>
    <w:styleLink w:val="ImportedStyle2"/>
    <w:lvl w:ilvl="0" w:tplc="CBE494F6">
      <w:start w:val="1"/>
      <w:numFmt w:val="decimal"/>
      <w:lvlText w:val="%1."/>
      <w:lvlJc w:val="left"/>
      <w:pPr>
        <w:ind w:left="72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A8C256">
      <w:start w:val="1"/>
      <w:numFmt w:val="lowerLetter"/>
      <w:lvlText w:val="%2."/>
      <w:lvlJc w:val="left"/>
      <w:pPr>
        <w:ind w:left="144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9076F2">
      <w:start w:val="1"/>
      <w:numFmt w:val="lowerRoman"/>
      <w:lvlText w:val="%3."/>
      <w:lvlJc w:val="left"/>
      <w:pPr>
        <w:ind w:left="216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804992">
      <w:start w:val="1"/>
      <w:numFmt w:val="decimal"/>
      <w:lvlText w:val="%4."/>
      <w:lvlJc w:val="left"/>
      <w:pPr>
        <w:ind w:left="288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14DEB0">
      <w:start w:val="1"/>
      <w:numFmt w:val="lowerLetter"/>
      <w:lvlText w:val="%5."/>
      <w:lvlJc w:val="left"/>
      <w:pPr>
        <w:ind w:left="360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B61ED0">
      <w:start w:val="1"/>
      <w:numFmt w:val="lowerRoman"/>
      <w:lvlText w:val="%6."/>
      <w:lvlJc w:val="left"/>
      <w:pPr>
        <w:ind w:left="432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64B6E">
      <w:start w:val="1"/>
      <w:numFmt w:val="decimal"/>
      <w:lvlText w:val="%7."/>
      <w:lvlJc w:val="left"/>
      <w:pPr>
        <w:ind w:left="504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948B20">
      <w:start w:val="1"/>
      <w:numFmt w:val="lowerLetter"/>
      <w:lvlText w:val="%8."/>
      <w:lvlJc w:val="left"/>
      <w:pPr>
        <w:ind w:left="576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C69648">
      <w:start w:val="1"/>
      <w:numFmt w:val="lowerRoman"/>
      <w:lvlText w:val="%9."/>
      <w:lvlJc w:val="left"/>
      <w:pPr>
        <w:ind w:left="648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08748E8"/>
    <w:multiLevelType w:val="hybridMultilevel"/>
    <w:tmpl w:val="686C90B4"/>
    <w:lvl w:ilvl="0" w:tplc="EC36983A">
      <w:start w:val="1"/>
      <w:numFmt w:val="bullet"/>
      <w:lvlText w:val="•"/>
      <w:lvlJc w:val="left"/>
      <w:pPr>
        <w:ind w:left="70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42D2E">
      <w:start w:val="1"/>
      <w:numFmt w:val="bullet"/>
      <w:lvlText w:val="•"/>
      <w:lvlJc w:val="left"/>
      <w:pPr>
        <w:ind w:left="109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FEA18E">
      <w:start w:val="1"/>
      <w:numFmt w:val="bullet"/>
      <w:lvlText w:val="•"/>
      <w:lvlJc w:val="left"/>
      <w:pPr>
        <w:tabs>
          <w:tab w:val="left" w:pos="720"/>
        </w:tabs>
        <w:ind w:left="181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2765A">
      <w:start w:val="1"/>
      <w:numFmt w:val="bullet"/>
      <w:lvlText w:val="•"/>
      <w:lvlJc w:val="left"/>
      <w:pPr>
        <w:tabs>
          <w:tab w:val="left" w:pos="720"/>
        </w:tabs>
        <w:ind w:left="253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6CBA00">
      <w:start w:val="1"/>
      <w:numFmt w:val="bullet"/>
      <w:lvlText w:val="•"/>
      <w:lvlJc w:val="left"/>
      <w:pPr>
        <w:tabs>
          <w:tab w:val="left" w:pos="720"/>
        </w:tabs>
        <w:ind w:left="325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CE0FC">
      <w:start w:val="1"/>
      <w:numFmt w:val="bullet"/>
      <w:lvlText w:val="•"/>
      <w:lvlJc w:val="left"/>
      <w:pPr>
        <w:tabs>
          <w:tab w:val="left" w:pos="720"/>
        </w:tabs>
        <w:ind w:left="397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DC82F8">
      <w:start w:val="1"/>
      <w:numFmt w:val="bullet"/>
      <w:lvlText w:val="•"/>
      <w:lvlJc w:val="left"/>
      <w:pPr>
        <w:tabs>
          <w:tab w:val="left" w:pos="720"/>
        </w:tabs>
        <w:ind w:left="469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124328">
      <w:start w:val="1"/>
      <w:numFmt w:val="bullet"/>
      <w:lvlText w:val="•"/>
      <w:lvlJc w:val="left"/>
      <w:pPr>
        <w:tabs>
          <w:tab w:val="left" w:pos="720"/>
        </w:tabs>
        <w:ind w:left="541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6001D4">
      <w:start w:val="1"/>
      <w:numFmt w:val="bullet"/>
      <w:lvlText w:val="•"/>
      <w:lvlJc w:val="left"/>
      <w:pPr>
        <w:tabs>
          <w:tab w:val="left" w:pos="720"/>
        </w:tabs>
        <w:ind w:left="6135" w:hanging="6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3444997"/>
    <w:multiLevelType w:val="hybridMultilevel"/>
    <w:tmpl w:val="C25E1D9A"/>
    <w:styleLink w:val="ImportedStyle1"/>
    <w:lvl w:ilvl="0" w:tplc="0C78BB24">
      <w:start w:val="1"/>
      <w:numFmt w:val="decimal"/>
      <w:lvlText w:val="%1."/>
      <w:lvlJc w:val="left"/>
      <w:pPr>
        <w:ind w:left="72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FA8C44">
      <w:start w:val="1"/>
      <w:numFmt w:val="lowerLetter"/>
      <w:lvlText w:val="%2."/>
      <w:lvlJc w:val="left"/>
      <w:pPr>
        <w:ind w:left="144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1CD418">
      <w:start w:val="1"/>
      <w:numFmt w:val="lowerRoman"/>
      <w:lvlText w:val="%3."/>
      <w:lvlJc w:val="left"/>
      <w:pPr>
        <w:ind w:left="216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02EBAA">
      <w:start w:val="1"/>
      <w:numFmt w:val="decimal"/>
      <w:lvlText w:val="%4."/>
      <w:lvlJc w:val="left"/>
      <w:pPr>
        <w:ind w:left="288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1CD9E2">
      <w:start w:val="1"/>
      <w:numFmt w:val="lowerLetter"/>
      <w:lvlText w:val="%5."/>
      <w:lvlJc w:val="left"/>
      <w:pPr>
        <w:ind w:left="360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A4181E">
      <w:start w:val="1"/>
      <w:numFmt w:val="lowerRoman"/>
      <w:lvlText w:val="%6."/>
      <w:lvlJc w:val="left"/>
      <w:pPr>
        <w:ind w:left="432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2CD2AA">
      <w:start w:val="1"/>
      <w:numFmt w:val="decimal"/>
      <w:lvlText w:val="%7."/>
      <w:lvlJc w:val="left"/>
      <w:pPr>
        <w:ind w:left="504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CEBDEA">
      <w:start w:val="1"/>
      <w:numFmt w:val="lowerLetter"/>
      <w:lvlText w:val="%8."/>
      <w:lvlJc w:val="left"/>
      <w:pPr>
        <w:ind w:left="576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40C116">
      <w:start w:val="1"/>
      <w:numFmt w:val="lowerRoman"/>
      <w:lvlText w:val="%9."/>
      <w:lvlJc w:val="left"/>
      <w:pPr>
        <w:ind w:left="648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465C"/>
    <w:rsid w:val="0062465C"/>
    <w:rsid w:val="007D73AA"/>
    <w:rsid w:val="00927B84"/>
    <w:rsid w:val="00B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ourier" w:hAnsi="Courier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ourier" w:hAnsi="Courier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2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ourier" w:hAnsi="Courier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ourier" w:hAnsi="Courier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2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x.edu/ogc/sites/www.pdx.edu.ogc/files/Sustainable%20Procurement%20and%20Life%20Cycle%20Consideration%20Policy%20FINAL_1-20-16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dx.edu/sustainability/sustainable-drinking-wa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McNamara</dc:creator>
  <cp:lastModifiedBy>Jennifer McNamara</cp:lastModifiedBy>
  <cp:revision>2</cp:revision>
  <dcterms:created xsi:type="dcterms:W3CDTF">2017-05-12T20:46:00Z</dcterms:created>
  <dcterms:modified xsi:type="dcterms:W3CDTF">2017-05-12T20:46:00Z</dcterms:modified>
</cp:coreProperties>
</file>