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6FE7E0" w14:textId="77777777" w:rsidR="00F806FD" w:rsidRPr="00171848" w:rsidRDefault="00F806FD" w:rsidP="00F806FD">
      <w:pPr>
        <w:rPr>
          <w:rFonts w:cs="Times New Roman"/>
        </w:rPr>
      </w:pPr>
      <w:r w:rsidRPr="00171848">
        <w:rPr>
          <w:rFonts w:cs="Times New Roman"/>
          <w:noProof/>
        </w:rPr>
        <w:drawing>
          <wp:inline distT="0" distB="0" distL="0" distR="0" wp14:anchorId="43E0FBA4" wp14:editId="2922AB41">
            <wp:extent cx="2476103" cy="647700"/>
            <wp:effectExtent l="0" t="0" r="635" b="0"/>
            <wp:docPr id="1" name="Picture 1" descr="SPUBAFF2:new identity:~Logos:~Logo Masters:SFState_Logo_H_cmyk_1in.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PUBAFF2:new identity:~Logos:~Logo Masters:SFState_Logo_H_cmyk_1in.bmp"/>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476103" cy="647700"/>
                    </a:xfrm>
                    <a:prstGeom prst="rect">
                      <a:avLst/>
                    </a:prstGeom>
                    <a:noFill/>
                    <a:ln>
                      <a:noFill/>
                    </a:ln>
                  </pic:spPr>
                </pic:pic>
              </a:graphicData>
            </a:graphic>
          </wp:inline>
        </w:drawing>
      </w:r>
    </w:p>
    <w:p w14:paraId="201F4834" w14:textId="77777777" w:rsidR="00F806FD" w:rsidRPr="00171848" w:rsidRDefault="00F806FD" w:rsidP="00F806FD">
      <w:pPr>
        <w:rPr>
          <w:rFonts w:cs="Times New Roman"/>
        </w:rPr>
      </w:pPr>
    </w:p>
    <w:p w14:paraId="6B21C5D5" w14:textId="77777777" w:rsidR="00F806FD" w:rsidRPr="00171848" w:rsidRDefault="00F806FD" w:rsidP="00F806FD">
      <w:pPr>
        <w:pStyle w:val="Heading1"/>
        <w:rPr>
          <w:rFonts w:cs="Times New Roman"/>
        </w:rPr>
      </w:pPr>
      <w:r>
        <w:rPr>
          <w:rFonts w:cs="Times New Roman"/>
        </w:rPr>
        <w:t>Practice Directive</w:t>
      </w:r>
      <w:r w:rsidRPr="00171848">
        <w:rPr>
          <w:rFonts w:cs="Times New Roman"/>
        </w:rPr>
        <w:t xml:space="preserve"> Title:</w:t>
      </w:r>
      <w:r>
        <w:rPr>
          <w:rFonts w:cs="Times New Roman"/>
        </w:rPr>
        <w:t xml:space="preserve"> Green Cleaning</w:t>
      </w:r>
    </w:p>
    <w:p w14:paraId="09AF7F82" w14:textId="77777777" w:rsidR="00F806FD" w:rsidRPr="00171848" w:rsidRDefault="00F806FD" w:rsidP="00F806FD">
      <w:pPr>
        <w:rPr>
          <w:rFonts w:cs="Times New Roman"/>
        </w:rPr>
      </w:pPr>
    </w:p>
    <w:tbl>
      <w:tblPr>
        <w:tblStyle w:val="TableGrid"/>
        <w:tblW w:w="0" w:type="auto"/>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shd w:val="clear" w:color="auto" w:fill="E0DEFE"/>
        <w:tblLook w:val="04A0" w:firstRow="1" w:lastRow="0" w:firstColumn="1" w:lastColumn="0" w:noHBand="0" w:noVBand="1"/>
      </w:tblPr>
      <w:tblGrid>
        <w:gridCol w:w="9350"/>
      </w:tblGrid>
      <w:tr w:rsidR="00F806FD" w:rsidRPr="00171848" w14:paraId="27EB1E34" w14:textId="77777777" w:rsidTr="001E2055">
        <w:tc>
          <w:tcPr>
            <w:tcW w:w="9350" w:type="dxa"/>
            <w:shd w:val="clear" w:color="auto" w:fill="E0DEFE"/>
          </w:tcPr>
          <w:p w14:paraId="2CBB4CE9" w14:textId="77777777" w:rsidR="00F806FD" w:rsidRPr="00171848" w:rsidRDefault="00F806FD" w:rsidP="001E2055">
            <w:pPr>
              <w:ind w:left="720"/>
              <w:rPr>
                <w:rFonts w:cs="Times New Roman"/>
                <w:b/>
              </w:rPr>
            </w:pPr>
            <w:r w:rsidRPr="00171848">
              <w:rPr>
                <w:rFonts w:cs="Times New Roman"/>
                <w:b/>
              </w:rPr>
              <w:t>Division:</w:t>
            </w:r>
          </w:p>
          <w:p w14:paraId="28824057" w14:textId="77777777" w:rsidR="00F806FD" w:rsidRPr="00171848" w:rsidRDefault="00F806FD" w:rsidP="001E2055">
            <w:pPr>
              <w:ind w:left="720"/>
              <w:rPr>
                <w:rFonts w:cs="Times New Roman"/>
              </w:rPr>
            </w:pPr>
            <w:r>
              <w:t>Administration &amp; Finance</w:t>
            </w:r>
          </w:p>
        </w:tc>
      </w:tr>
      <w:tr w:rsidR="00F806FD" w:rsidRPr="00171848" w14:paraId="798E0EA2" w14:textId="77777777" w:rsidTr="001E2055">
        <w:tc>
          <w:tcPr>
            <w:tcW w:w="9350" w:type="dxa"/>
            <w:shd w:val="clear" w:color="auto" w:fill="E0DEFE"/>
          </w:tcPr>
          <w:p w14:paraId="01F26725" w14:textId="77777777" w:rsidR="00F806FD" w:rsidRPr="00171848" w:rsidRDefault="00F806FD" w:rsidP="001E2055">
            <w:pPr>
              <w:ind w:left="720"/>
              <w:rPr>
                <w:rFonts w:cs="Times New Roman"/>
                <w:b/>
              </w:rPr>
            </w:pPr>
            <w:r>
              <w:rPr>
                <w:rFonts w:cs="Times New Roman"/>
                <w:b/>
              </w:rPr>
              <w:t>Department</w:t>
            </w:r>
            <w:r w:rsidRPr="00171848">
              <w:rPr>
                <w:rFonts w:cs="Times New Roman"/>
                <w:b/>
              </w:rPr>
              <w:t>:</w:t>
            </w:r>
          </w:p>
          <w:p w14:paraId="4B6B9709" w14:textId="77777777" w:rsidR="00F806FD" w:rsidRPr="00171848" w:rsidRDefault="00F806FD" w:rsidP="001E2055">
            <w:pPr>
              <w:ind w:left="720"/>
              <w:rPr>
                <w:rFonts w:cs="Times New Roman"/>
              </w:rPr>
            </w:pPr>
            <w:r>
              <w:t>Physical Planning &amp; Development</w:t>
            </w:r>
          </w:p>
        </w:tc>
      </w:tr>
      <w:tr w:rsidR="00F806FD" w:rsidRPr="00171848" w14:paraId="77948FFF" w14:textId="77777777" w:rsidTr="001E2055">
        <w:tc>
          <w:tcPr>
            <w:tcW w:w="9350" w:type="dxa"/>
            <w:shd w:val="clear" w:color="auto" w:fill="E0DEFE"/>
          </w:tcPr>
          <w:p w14:paraId="59D44FF1" w14:textId="77777777" w:rsidR="00F806FD" w:rsidRPr="00171848" w:rsidRDefault="00F806FD" w:rsidP="001E2055">
            <w:pPr>
              <w:ind w:left="720"/>
              <w:rPr>
                <w:rFonts w:cs="Times New Roman"/>
                <w:b/>
              </w:rPr>
            </w:pPr>
            <w:r>
              <w:rPr>
                <w:rFonts w:cs="Times New Roman"/>
                <w:b/>
              </w:rPr>
              <w:t>Contact Information</w:t>
            </w:r>
            <w:r w:rsidRPr="00171848">
              <w:rPr>
                <w:rFonts w:cs="Times New Roman"/>
                <w:b/>
              </w:rPr>
              <w:t>:</w:t>
            </w:r>
          </w:p>
          <w:p w14:paraId="410BAA64" w14:textId="77777777" w:rsidR="00F806FD" w:rsidRPr="00171848" w:rsidRDefault="00F806FD" w:rsidP="001E2055">
            <w:pPr>
              <w:ind w:left="720"/>
              <w:rPr>
                <w:rFonts w:cs="Times New Roman"/>
              </w:rPr>
            </w:pPr>
            <w:r>
              <w:t xml:space="preserve">(Custodial Services Manager / Shelley Cole / </w:t>
            </w:r>
            <w:r w:rsidRPr="00B26854">
              <w:t>(415) 405-3677</w:t>
            </w:r>
            <w:r>
              <w:t xml:space="preserve"> / </w:t>
            </w:r>
            <w:hyperlink r:id="rId6" w:history="1">
              <w:r w:rsidRPr="00B26854">
                <w:rPr>
                  <w:rStyle w:val="Hyperlink"/>
                </w:rPr>
                <w:t>shelleyc@sfsu.edu</w:t>
              </w:r>
            </w:hyperlink>
            <w:r>
              <w:t>)</w:t>
            </w:r>
          </w:p>
        </w:tc>
      </w:tr>
      <w:tr w:rsidR="00F806FD" w:rsidRPr="00171848" w14:paraId="4AEB8635" w14:textId="77777777" w:rsidTr="001E2055">
        <w:tc>
          <w:tcPr>
            <w:tcW w:w="9350" w:type="dxa"/>
            <w:shd w:val="clear" w:color="auto" w:fill="E0DEFE"/>
          </w:tcPr>
          <w:p w14:paraId="19652964" w14:textId="77777777" w:rsidR="00F806FD" w:rsidRPr="00171848" w:rsidRDefault="00F806FD" w:rsidP="001E2055">
            <w:pPr>
              <w:ind w:left="720"/>
              <w:rPr>
                <w:rFonts w:cs="Times New Roman"/>
                <w:b/>
              </w:rPr>
            </w:pPr>
            <w:r>
              <w:rPr>
                <w:rFonts w:cs="Times New Roman"/>
                <w:b/>
              </w:rPr>
              <w:t>Effective Date</w:t>
            </w:r>
            <w:r w:rsidRPr="00171848">
              <w:rPr>
                <w:rFonts w:cs="Times New Roman"/>
                <w:b/>
              </w:rPr>
              <w:t>:</w:t>
            </w:r>
          </w:p>
          <w:p w14:paraId="58F1AFA1" w14:textId="77777777" w:rsidR="00F806FD" w:rsidRPr="00171848" w:rsidRDefault="00F806FD" w:rsidP="001E2055">
            <w:pPr>
              <w:ind w:left="720"/>
              <w:rPr>
                <w:rFonts w:cs="Times New Roman"/>
              </w:rPr>
            </w:pPr>
            <w:r>
              <w:t xml:space="preserve"> </w:t>
            </w:r>
          </w:p>
        </w:tc>
      </w:tr>
      <w:tr w:rsidR="00F806FD" w:rsidRPr="00171848" w14:paraId="061ADAFB" w14:textId="77777777" w:rsidTr="001E2055">
        <w:tc>
          <w:tcPr>
            <w:tcW w:w="9350" w:type="dxa"/>
            <w:shd w:val="clear" w:color="auto" w:fill="E0DEFE"/>
          </w:tcPr>
          <w:p w14:paraId="48888D79" w14:textId="77777777" w:rsidR="00F806FD" w:rsidRPr="00171848" w:rsidRDefault="00F806FD" w:rsidP="001E2055">
            <w:pPr>
              <w:ind w:left="720"/>
              <w:rPr>
                <w:rFonts w:cs="Times New Roman"/>
                <w:b/>
              </w:rPr>
            </w:pPr>
            <w:r>
              <w:rPr>
                <w:rFonts w:cs="Times New Roman"/>
                <w:b/>
              </w:rPr>
              <w:t>Revised Date</w:t>
            </w:r>
            <w:r w:rsidRPr="00171848">
              <w:rPr>
                <w:rFonts w:cs="Times New Roman"/>
                <w:b/>
              </w:rPr>
              <w:t>:</w:t>
            </w:r>
          </w:p>
          <w:p w14:paraId="39A83C37" w14:textId="77777777" w:rsidR="00F806FD" w:rsidRPr="00171848" w:rsidRDefault="00F806FD" w:rsidP="001E2055">
            <w:pPr>
              <w:ind w:left="720"/>
              <w:rPr>
                <w:rFonts w:cs="Times New Roman"/>
              </w:rPr>
            </w:pPr>
            <w:r>
              <w:rPr>
                <w:rFonts w:cs="Times New Roman"/>
              </w:rPr>
              <w:t xml:space="preserve"> </w:t>
            </w:r>
          </w:p>
        </w:tc>
      </w:tr>
    </w:tbl>
    <w:p w14:paraId="4F4F9039" w14:textId="77777777" w:rsidR="00F806FD" w:rsidRPr="00AF7DDA" w:rsidRDefault="00F806FD" w:rsidP="00F806FD">
      <w:pPr>
        <w:rPr>
          <w:rFonts w:cs="Times New Roman"/>
          <w:b/>
        </w:rPr>
      </w:pPr>
      <w:r w:rsidRPr="00171848">
        <w:rPr>
          <w:rFonts w:cs="Times New Roman"/>
          <w:b/>
        </w:rPr>
        <w:t xml:space="preserve">          </w:t>
      </w:r>
    </w:p>
    <w:p w14:paraId="3A5CA7A9" w14:textId="77777777" w:rsidR="00F806FD" w:rsidRDefault="00F806FD" w:rsidP="00F806FD">
      <w:pPr>
        <w:pStyle w:val="Heading2"/>
        <w:rPr>
          <w:rFonts w:cs="Times New Roman"/>
        </w:rPr>
      </w:pPr>
      <w:r>
        <w:rPr>
          <w:rFonts w:cs="Times New Roman"/>
        </w:rPr>
        <w:t>Authority (i.e., Executive Order, ICSUAM, Delegations of Authority):</w:t>
      </w:r>
    </w:p>
    <w:p w14:paraId="0F98C6C7" w14:textId="4F9824D4" w:rsidR="00F806FD" w:rsidRPr="00F957C3" w:rsidRDefault="00F957C3" w:rsidP="00F806FD">
      <w:r w:rsidRPr="00F957C3">
        <w:t>CSU Sustainability Policy</w:t>
      </w:r>
      <w:r w:rsidR="004A7C74">
        <w:t xml:space="preserve"> </w:t>
      </w:r>
      <w:r w:rsidR="004A7C74" w:rsidRPr="004A7C74">
        <w:t>(RJEP/CPBG 05-14-01) </w:t>
      </w:r>
      <w:r w:rsidR="00565DDA">
        <w:t xml:space="preserve">: </w:t>
      </w:r>
      <w:hyperlink r:id="rId7" w:history="1">
        <w:r w:rsidR="00565DDA" w:rsidRPr="00565DDA">
          <w:rPr>
            <w:rStyle w:val="Hyperlink"/>
          </w:rPr>
          <w:t>http://www.calstate.edu/cpdc/sustainability/policies-reports/</w:t>
        </w:r>
      </w:hyperlink>
    </w:p>
    <w:p w14:paraId="730E8599" w14:textId="77777777" w:rsidR="00F806FD" w:rsidRPr="00171848" w:rsidRDefault="00F806FD" w:rsidP="00F806FD">
      <w:pPr>
        <w:rPr>
          <w:rFonts w:cs="Times New Roman"/>
          <w:b/>
        </w:rPr>
      </w:pPr>
    </w:p>
    <w:p w14:paraId="0F283F76" w14:textId="77777777" w:rsidR="00F806FD" w:rsidRDefault="00F806FD" w:rsidP="00F806FD">
      <w:pPr>
        <w:pStyle w:val="Heading2"/>
        <w:rPr>
          <w:rFonts w:cs="Times New Roman"/>
        </w:rPr>
      </w:pPr>
      <w:r>
        <w:rPr>
          <w:rFonts w:cs="Times New Roman"/>
        </w:rPr>
        <w:t>Objective</w:t>
      </w:r>
      <w:r w:rsidRPr="00171848">
        <w:rPr>
          <w:rFonts w:cs="Times New Roman"/>
        </w:rPr>
        <w:t>:</w:t>
      </w:r>
    </w:p>
    <w:p w14:paraId="16175588" w14:textId="290A8AF8" w:rsidR="00F806FD" w:rsidRPr="0022233A" w:rsidRDefault="00F806FD" w:rsidP="00F806FD">
      <w:r>
        <w:t>The objective of this</w:t>
      </w:r>
      <w:r w:rsidRPr="0022233A">
        <w:t xml:space="preserve"> practice directive is to ensure that the cleaning procedures, cleaning material purchases, cleaning equipment purchases, and cleaning services that occur inside and on the building site and grounds </w:t>
      </w:r>
      <w:r>
        <w:t xml:space="preserve">of </w:t>
      </w:r>
      <w:r w:rsidRPr="0022233A">
        <w:t xml:space="preserve">San Francisco State University </w:t>
      </w:r>
      <w:r>
        <w:t xml:space="preserve">meet sustainability criteria. This practice directive is </w:t>
      </w:r>
      <w:r w:rsidRPr="0022233A">
        <w:t>intended</w:t>
      </w:r>
      <w:r>
        <w:t xml:space="preserve"> to qualify San Francisco State University for LEED and AASHE STARS.</w:t>
      </w:r>
      <w:r w:rsidR="00D912D7">
        <w:t xml:space="preserve"> See </w:t>
      </w:r>
      <w:hyperlink r:id="rId8" w:history="1">
        <w:r w:rsidR="00D912D7" w:rsidRPr="00D912D7">
          <w:rPr>
            <w:rStyle w:val="Hyperlink"/>
          </w:rPr>
          <w:t>http://www.usgbc.org/credits/eq31</w:t>
        </w:r>
      </w:hyperlink>
      <w:r w:rsidR="00D912D7">
        <w:t xml:space="preserve"> for more information.</w:t>
      </w:r>
    </w:p>
    <w:p w14:paraId="1838F6B5" w14:textId="77777777" w:rsidR="00F806FD" w:rsidRPr="00D12668" w:rsidRDefault="00F806FD" w:rsidP="00F806FD"/>
    <w:p w14:paraId="5C5D4F59" w14:textId="77777777" w:rsidR="00F806FD" w:rsidRDefault="00F806FD" w:rsidP="00F806FD">
      <w:pPr>
        <w:pStyle w:val="Heading2"/>
        <w:spacing w:line="240" w:lineRule="auto"/>
        <w:rPr>
          <w:rFonts w:cs="Times New Roman"/>
        </w:rPr>
      </w:pPr>
      <w:r>
        <w:rPr>
          <w:rFonts w:cs="Times New Roman"/>
        </w:rPr>
        <w:t>Statement</w:t>
      </w:r>
      <w:r w:rsidRPr="00171848">
        <w:rPr>
          <w:rFonts w:cs="Times New Roman"/>
        </w:rPr>
        <w:t>:</w:t>
      </w:r>
    </w:p>
    <w:p w14:paraId="02BA021F" w14:textId="77777777" w:rsidR="00F806FD" w:rsidRDefault="00F806FD" w:rsidP="00F806FD">
      <w:pPr>
        <w:rPr>
          <w:b/>
          <w:sz w:val="20"/>
          <w:szCs w:val="20"/>
          <w:u w:val="single"/>
        </w:rPr>
      </w:pPr>
    </w:p>
    <w:p w14:paraId="34F00B3F" w14:textId="77777777" w:rsidR="00F806FD" w:rsidRDefault="00F806FD" w:rsidP="00F806FD">
      <w:r>
        <w:rPr>
          <w:b/>
          <w:sz w:val="20"/>
          <w:szCs w:val="20"/>
          <w:u w:val="single"/>
        </w:rPr>
        <w:t>i. Scope</w:t>
      </w:r>
    </w:p>
    <w:p w14:paraId="77EC3B44" w14:textId="77777777" w:rsidR="00F806FD" w:rsidRPr="0022233A" w:rsidRDefault="00F806FD" w:rsidP="00F806FD">
      <w:r>
        <w:t>T</w:t>
      </w:r>
      <w:r w:rsidRPr="0022233A">
        <w:t>his practice directive covers the following:</w:t>
      </w:r>
    </w:p>
    <w:p w14:paraId="3CAA8635" w14:textId="77777777" w:rsidR="00F806FD" w:rsidRPr="0022233A" w:rsidRDefault="00F806FD" w:rsidP="00F806FD">
      <w:pPr>
        <w:numPr>
          <w:ilvl w:val="0"/>
          <w:numId w:val="1"/>
        </w:numPr>
        <w:spacing w:after="0" w:line="276" w:lineRule="auto"/>
        <w:ind w:hanging="360"/>
        <w:contextualSpacing/>
      </w:pPr>
      <w:r w:rsidRPr="0022233A">
        <w:t>The purchase of sustainable cleaning products and materials</w:t>
      </w:r>
    </w:p>
    <w:p w14:paraId="74EB654F" w14:textId="77777777" w:rsidR="00F806FD" w:rsidRPr="0022233A" w:rsidRDefault="00F806FD" w:rsidP="00F806FD">
      <w:pPr>
        <w:numPr>
          <w:ilvl w:val="0"/>
          <w:numId w:val="1"/>
        </w:numPr>
        <w:spacing w:after="0" w:line="276" w:lineRule="auto"/>
        <w:ind w:hanging="360"/>
        <w:contextualSpacing/>
      </w:pPr>
      <w:r w:rsidRPr="0022233A">
        <w:t>The purchase of sustainable cleaning equipment</w:t>
      </w:r>
    </w:p>
    <w:p w14:paraId="059A8189" w14:textId="77777777" w:rsidR="00F806FD" w:rsidRPr="0022233A" w:rsidRDefault="00F806FD" w:rsidP="00F806FD">
      <w:pPr>
        <w:numPr>
          <w:ilvl w:val="0"/>
          <w:numId w:val="1"/>
        </w:numPr>
        <w:spacing w:after="0" w:line="276" w:lineRule="auto"/>
        <w:ind w:hanging="360"/>
        <w:contextualSpacing/>
      </w:pPr>
      <w:r w:rsidRPr="0022233A">
        <w:t>Standard operating procedures for effective hard floor and carpet maintenance</w:t>
      </w:r>
    </w:p>
    <w:p w14:paraId="136825BC" w14:textId="77777777" w:rsidR="00F806FD" w:rsidRPr="0022233A" w:rsidRDefault="00F806FD" w:rsidP="00F806FD">
      <w:pPr>
        <w:numPr>
          <w:ilvl w:val="0"/>
          <w:numId w:val="1"/>
        </w:numPr>
        <w:spacing w:after="0" w:line="276" w:lineRule="auto"/>
        <w:ind w:hanging="360"/>
        <w:contextualSpacing/>
      </w:pPr>
      <w:r w:rsidRPr="0022233A">
        <w:t>Cleaning to protect vulnerable occupants</w:t>
      </w:r>
    </w:p>
    <w:p w14:paraId="1D7C6348" w14:textId="77777777" w:rsidR="00F806FD" w:rsidRPr="0022233A" w:rsidRDefault="00F806FD" w:rsidP="00F806FD">
      <w:pPr>
        <w:numPr>
          <w:ilvl w:val="0"/>
          <w:numId w:val="1"/>
        </w:numPr>
        <w:spacing w:after="0" w:line="276" w:lineRule="auto"/>
        <w:ind w:hanging="360"/>
        <w:contextualSpacing/>
      </w:pPr>
      <w:r w:rsidRPr="0022233A">
        <w:t>Hand hygiene</w:t>
      </w:r>
    </w:p>
    <w:p w14:paraId="47F98DA8" w14:textId="77777777" w:rsidR="00F806FD" w:rsidRPr="0022233A" w:rsidRDefault="00F806FD" w:rsidP="00F806FD">
      <w:pPr>
        <w:numPr>
          <w:ilvl w:val="0"/>
          <w:numId w:val="1"/>
        </w:numPr>
        <w:spacing w:after="0" w:line="276" w:lineRule="auto"/>
        <w:ind w:hanging="360"/>
        <w:contextualSpacing/>
      </w:pPr>
      <w:r w:rsidRPr="0022233A">
        <w:t>The safe handling and storage of cleaning chemicals and a plan for managing hazardous spills</w:t>
      </w:r>
    </w:p>
    <w:p w14:paraId="4BBC5154" w14:textId="77777777" w:rsidR="00F806FD" w:rsidRPr="0022233A" w:rsidRDefault="00F806FD" w:rsidP="00F806FD">
      <w:pPr>
        <w:numPr>
          <w:ilvl w:val="0"/>
          <w:numId w:val="1"/>
        </w:numPr>
        <w:spacing w:after="0" w:line="276" w:lineRule="auto"/>
        <w:ind w:hanging="360"/>
        <w:contextualSpacing/>
      </w:pPr>
      <w:r w:rsidRPr="0022233A">
        <w:t>The use of chemical concentrates</w:t>
      </w:r>
    </w:p>
    <w:p w14:paraId="1288E18E" w14:textId="77777777" w:rsidR="00F806FD" w:rsidRPr="0022233A" w:rsidRDefault="00F806FD" w:rsidP="00F806FD">
      <w:pPr>
        <w:numPr>
          <w:ilvl w:val="0"/>
          <w:numId w:val="1"/>
        </w:numPr>
        <w:spacing w:after="0" w:line="276" w:lineRule="auto"/>
        <w:ind w:hanging="360"/>
        <w:contextualSpacing/>
      </w:pPr>
      <w:r w:rsidRPr="0022233A">
        <w:t>Staffing and training requirements</w:t>
      </w:r>
    </w:p>
    <w:p w14:paraId="2841B67D" w14:textId="77777777" w:rsidR="00F806FD" w:rsidRPr="0022233A" w:rsidRDefault="00F806FD" w:rsidP="00F806FD">
      <w:pPr>
        <w:numPr>
          <w:ilvl w:val="0"/>
          <w:numId w:val="1"/>
        </w:numPr>
        <w:spacing w:after="0" w:line="276" w:lineRule="auto"/>
        <w:ind w:hanging="360"/>
        <w:contextualSpacing/>
      </w:pPr>
      <w:r w:rsidRPr="0022233A">
        <w:lastRenderedPageBreak/>
        <w:t>Provisions for collecting occupant feedback and continuous improvement to evaluate new technologies, procedures, and processes</w:t>
      </w:r>
    </w:p>
    <w:p w14:paraId="7C02B232" w14:textId="77777777" w:rsidR="00F806FD" w:rsidRDefault="00F806FD" w:rsidP="00F806FD">
      <w:r>
        <w:rPr>
          <w:b/>
          <w:sz w:val="20"/>
          <w:szCs w:val="20"/>
        </w:rPr>
        <w:t xml:space="preserve"> </w:t>
      </w:r>
    </w:p>
    <w:p w14:paraId="0E7B31BC" w14:textId="77777777" w:rsidR="00F806FD" w:rsidRDefault="00F806FD" w:rsidP="00F806FD">
      <w:r>
        <w:rPr>
          <w:b/>
          <w:sz w:val="20"/>
          <w:szCs w:val="20"/>
          <w:u w:val="single"/>
        </w:rPr>
        <w:t>ii. Goals and Performance Metrics</w:t>
      </w:r>
    </w:p>
    <w:p w14:paraId="272FBFA8" w14:textId="77777777" w:rsidR="00F806FD" w:rsidRPr="0022233A" w:rsidRDefault="00F806FD" w:rsidP="00F806FD">
      <w:r w:rsidRPr="0022233A">
        <w:t xml:space="preserve">This </w:t>
      </w:r>
      <w:r>
        <w:t>practice directive</w:t>
      </w:r>
      <w:r w:rsidRPr="0022233A">
        <w:t xml:space="preserve"> will be fully implemented starting on the effective date.</w:t>
      </w:r>
    </w:p>
    <w:p w14:paraId="6DD85902" w14:textId="77777777" w:rsidR="00F806FD" w:rsidRDefault="00F806FD" w:rsidP="00F806FD">
      <w:r>
        <w:rPr>
          <w:b/>
          <w:sz w:val="20"/>
          <w:szCs w:val="20"/>
        </w:rPr>
        <w:t xml:space="preserve"> </w:t>
      </w:r>
    </w:p>
    <w:tbl>
      <w:tblPr>
        <w:tblW w:w="912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3000"/>
        <w:gridCol w:w="3045"/>
        <w:gridCol w:w="3075"/>
      </w:tblGrid>
      <w:tr w:rsidR="00F806FD" w14:paraId="0EE496A0" w14:textId="77777777" w:rsidTr="001E2055">
        <w:tc>
          <w:tcPr>
            <w:tcW w:w="30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FDB9EC9" w14:textId="77777777" w:rsidR="00F806FD" w:rsidRDefault="00F806FD" w:rsidP="001E2055">
            <w:r>
              <w:rPr>
                <w:b/>
                <w:sz w:val="20"/>
                <w:szCs w:val="20"/>
                <w:u w:val="single"/>
              </w:rPr>
              <w:t>Category</w:t>
            </w:r>
          </w:p>
        </w:tc>
        <w:tc>
          <w:tcPr>
            <w:tcW w:w="3045"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47673EA4" w14:textId="77777777" w:rsidR="00F806FD" w:rsidRDefault="00F806FD" w:rsidP="001E2055">
            <w:r>
              <w:rPr>
                <w:b/>
                <w:sz w:val="20"/>
                <w:szCs w:val="20"/>
                <w:u w:val="single"/>
              </w:rPr>
              <w:t>Goal</w:t>
            </w:r>
          </w:p>
        </w:tc>
        <w:tc>
          <w:tcPr>
            <w:tcW w:w="3075"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5EDAE734" w14:textId="77777777" w:rsidR="00F806FD" w:rsidRDefault="00F806FD" w:rsidP="001E2055">
            <w:r>
              <w:rPr>
                <w:b/>
                <w:sz w:val="20"/>
                <w:szCs w:val="20"/>
                <w:u w:val="single"/>
              </w:rPr>
              <w:t>Performance measurement unit</w:t>
            </w:r>
          </w:p>
        </w:tc>
      </w:tr>
      <w:tr w:rsidR="00F806FD" w14:paraId="7D72292E" w14:textId="77777777" w:rsidTr="001E2055">
        <w:tc>
          <w:tcPr>
            <w:tcW w:w="300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72733EB4" w14:textId="77777777" w:rsidR="00F806FD" w:rsidRDefault="00F806FD" w:rsidP="001E2055">
            <w:r>
              <w:rPr>
                <w:sz w:val="20"/>
                <w:szCs w:val="20"/>
              </w:rPr>
              <w:t>Cleaning products and materials purchases</w:t>
            </w:r>
          </w:p>
        </w:tc>
        <w:tc>
          <w:tcPr>
            <w:tcW w:w="3045" w:type="dxa"/>
            <w:tcBorders>
              <w:bottom w:val="single" w:sz="8" w:space="0" w:color="000000"/>
              <w:right w:val="single" w:sz="8" w:space="0" w:color="000000"/>
            </w:tcBorders>
            <w:tcMar>
              <w:top w:w="100" w:type="dxa"/>
              <w:left w:w="100" w:type="dxa"/>
              <w:bottom w:w="100" w:type="dxa"/>
              <w:right w:w="100" w:type="dxa"/>
            </w:tcMar>
          </w:tcPr>
          <w:p w14:paraId="4A3983A4" w14:textId="39E610AD" w:rsidR="00F806FD" w:rsidRDefault="00F806FD" w:rsidP="00B039E6">
            <w:r>
              <w:rPr>
                <w:sz w:val="20"/>
                <w:szCs w:val="20"/>
              </w:rPr>
              <w:t>8</w:t>
            </w:r>
            <w:r w:rsidR="00B039E6">
              <w:rPr>
                <w:sz w:val="20"/>
                <w:szCs w:val="20"/>
              </w:rPr>
              <w:t>0</w:t>
            </w:r>
            <w:r>
              <w:rPr>
                <w:sz w:val="20"/>
                <w:szCs w:val="20"/>
              </w:rPr>
              <w:t>% meet sustainability criteria</w:t>
            </w:r>
          </w:p>
        </w:tc>
        <w:tc>
          <w:tcPr>
            <w:tcW w:w="3075" w:type="dxa"/>
            <w:tcBorders>
              <w:bottom w:val="single" w:sz="8" w:space="0" w:color="000000"/>
              <w:right w:val="single" w:sz="8" w:space="0" w:color="000000"/>
            </w:tcBorders>
            <w:tcMar>
              <w:top w:w="100" w:type="dxa"/>
              <w:left w:w="100" w:type="dxa"/>
              <w:bottom w:w="100" w:type="dxa"/>
              <w:right w:w="100" w:type="dxa"/>
            </w:tcMar>
          </w:tcPr>
          <w:p w14:paraId="1B7BF4FC" w14:textId="77777777" w:rsidR="00F806FD" w:rsidRDefault="00F806FD" w:rsidP="001E2055">
            <w:r>
              <w:rPr>
                <w:sz w:val="20"/>
                <w:szCs w:val="20"/>
              </w:rPr>
              <w:t>Cost</w:t>
            </w:r>
          </w:p>
        </w:tc>
      </w:tr>
      <w:tr w:rsidR="00F806FD" w14:paraId="3A21333A" w14:textId="77777777" w:rsidTr="001E2055">
        <w:tc>
          <w:tcPr>
            <w:tcW w:w="300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1FA2CE69" w14:textId="77777777" w:rsidR="00F806FD" w:rsidRDefault="00F806FD" w:rsidP="001E2055">
            <w:r>
              <w:rPr>
                <w:sz w:val="20"/>
                <w:szCs w:val="20"/>
              </w:rPr>
              <w:t>Cleaning equipment purchases</w:t>
            </w:r>
          </w:p>
        </w:tc>
        <w:tc>
          <w:tcPr>
            <w:tcW w:w="3045" w:type="dxa"/>
            <w:tcBorders>
              <w:bottom w:val="single" w:sz="8" w:space="0" w:color="000000"/>
              <w:right w:val="single" w:sz="8" w:space="0" w:color="000000"/>
            </w:tcBorders>
            <w:tcMar>
              <w:top w:w="100" w:type="dxa"/>
              <w:left w:w="100" w:type="dxa"/>
              <w:bottom w:w="100" w:type="dxa"/>
              <w:right w:w="100" w:type="dxa"/>
            </w:tcMar>
          </w:tcPr>
          <w:p w14:paraId="43D55FFF" w14:textId="12D944E5" w:rsidR="00F806FD" w:rsidRDefault="00B039E6" w:rsidP="001E2055">
            <w:r>
              <w:rPr>
                <w:sz w:val="20"/>
                <w:szCs w:val="20"/>
              </w:rPr>
              <w:t>80</w:t>
            </w:r>
            <w:r w:rsidR="00F806FD">
              <w:rPr>
                <w:sz w:val="20"/>
                <w:szCs w:val="20"/>
              </w:rPr>
              <w:t>% meet sustainability criteria</w:t>
            </w:r>
          </w:p>
        </w:tc>
        <w:tc>
          <w:tcPr>
            <w:tcW w:w="3075" w:type="dxa"/>
            <w:tcBorders>
              <w:bottom w:val="single" w:sz="8" w:space="0" w:color="000000"/>
              <w:right w:val="single" w:sz="8" w:space="0" w:color="000000"/>
            </w:tcBorders>
            <w:tcMar>
              <w:top w:w="100" w:type="dxa"/>
              <w:left w:w="100" w:type="dxa"/>
              <w:bottom w:w="100" w:type="dxa"/>
              <w:right w:w="100" w:type="dxa"/>
            </w:tcMar>
          </w:tcPr>
          <w:p w14:paraId="6BD088E9" w14:textId="77777777" w:rsidR="00F806FD" w:rsidRDefault="00F806FD" w:rsidP="001E2055">
            <w:r>
              <w:rPr>
                <w:sz w:val="20"/>
                <w:szCs w:val="20"/>
              </w:rPr>
              <w:t>Number of equipment items</w:t>
            </w:r>
          </w:p>
        </w:tc>
      </w:tr>
    </w:tbl>
    <w:p w14:paraId="26B71728" w14:textId="77777777" w:rsidR="00F806FD" w:rsidRDefault="00F806FD" w:rsidP="00F806FD">
      <w:r>
        <w:rPr>
          <w:b/>
          <w:sz w:val="20"/>
          <w:szCs w:val="20"/>
        </w:rPr>
        <w:t xml:space="preserve"> </w:t>
      </w:r>
    </w:p>
    <w:p w14:paraId="59002043" w14:textId="77777777" w:rsidR="00F806FD" w:rsidRDefault="00F806FD" w:rsidP="00F806FD">
      <w:pPr>
        <w:rPr>
          <w:b/>
          <w:sz w:val="20"/>
          <w:szCs w:val="20"/>
          <w:u w:val="single"/>
        </w:rPr>
      </w:pPr>
    </w:p>
    <w:p w14:paraId="74E29629" w14:textId="77777777" w:rsidR="00F806FD" w:rsidRDefault="00F806FD" w:rsidP="00F806FD">
      <w:r>
        <w:rPr>
          <w:b/>
          <w:sz w:val="20"/>
          <w:szCs w:val="20"/>
          <w:u w:val="single"/>
        </w:rPr>
        <w:t>iii. Responsible Party</w:t>
      </w:r>
    </w:p>
    <w:p w14:paraId="33A78B58" w14:textId="77777777" w:rsidR="00F806FD" w:rsidRPr="0022233A" w:rsidRDefault="00F806FD" w:rsidP="00F806FD">
      <w:r>
        <w:t>The contact person listed above</w:t>
      </w:r>
      <w:r w:rsidRPr="0022233A">
        <w:t xml:space="preserve"> is responsible for ensuring that this policy is executed and that any contracted cleaning vendors under ma</w:t>
      </w:r>
      <w:bookmarkStart w:id="0" w:name="_GoBack"/>
      <w:bookmarkEnd w:id="0"/>
      <w:r w:rsidRPr="0022233A">
        <w:t>nagement’s control are aware of and fully trained on the procedures outlined in this policy. Further, the Property Manager is responsible for sharing this policy with the building tenant representatives and encouraging policy adoption accordingly. He</w:t>
      </w:r>
      <w:r>
        <w:t xml:space="preserve"> or she</w:t>
      </w:r>
      <w:r w:rsidRPr="0022233A">
        <w:t xml:space="preserve"> is responsible for reviewing this policy for any significant changes on the interval specified in the quality assurance section. If at any time updates are required to this policy, he</w:t>
      </w:r>
      <w:r>
        <w:t xml:space="preserve"> or she</w:t>
      </w:r>
      <w:r w:rsidRPr="0022233A">
        <w:t xml:space="preserve"> will ensure that the appropriate individuals are informed of the updates.</w:t>
      </w:r>
    </w:p>
    <w:p w14:paraId="3D9990E7" w14:textId="77777777" w:rsidR="00F806FD" w:rsidRDefault="00F806FD" w:rsidP="00F806FD">
      <w:r>
        <w:rPr>
          <w:b/>
          <w:sz w:val="20"/>
          <w:szCs w:val="20"/>
        </w:rPr>
        <w:t xml:space="preserve"> </w:t>
      </w:r>
    </w:p>
    <w:p w14:paraId="4758B0E7" w14:textId="77777777" w:rsidR="00F806FD" w:rsidRPr="005F346A" w:rsidRDefault="00F806FD" w:rsidP="00F806FD">
      <w:pPr>
        <w:rPr>
          <w:u w:val="single"/>
        </w:rPr>
      </w:pPr>
      <w:r w:rsidRPr="005F346A">
        <w:rPr>
          <w:b/>
          <w:sz w:val="20"/>
          <w:szCs w:val="20"/>
          <w:u w:val="single"/>
        </w:rPr>
        <w:t>iv. Tracking plan for cleaning product and cleaning equipment purchases:</w:t>
      </w:r>
    </w:p>
    <w:p w14:paraId="30877698" w14:textId="77777777" w:rsidR="00F806FD" w:rsidRPr="0022233A" w:rsidRDefault="00F806FD" w:rsidP="00F806FD">
      <w:r w:rsidRPr="0022233A">
        <w:t>-       All cleaning product and cleaning equipment purchases, made by either by the cleaning vendor for use in the building or made by the building management, will be recorded in the purchasing log.</w:t>
      </w:r>
    </w:p>
    <w:p w14:paraId="57DD758A" w14:textId="77777777" w:rsidR="00F806FD" w:rsidRPr="0022233A" w:rsidRDefault="00F806FD" w:rsidP="00F806FD">
      <w:r w:rsidRPr="0022233A">
        <w:t xml:space="preserve">-       On a yearly basis, the responsible party will review all purchases and compare against the policy goals. If the policy goals are not being met, the responsible party will take corrective action, typically in the form of providing education to the individuals in charge of procurement on the goals and sustainability criteria outlined in this </w:t>
      </w:r>
      <w:r>
        <w:t>practice directive</w:t>
      </w:r>
      <w:r w:rsidRPr="0022233A">
        <w:t>.</w:t>
      </w:r>
    </w:p>
    <w:p w14:paraId="65F3248B" w14:textId="77777777" w:rsidR="00F806FD" w:rsidRDefault="00F806FD" w:rsidP="00F806FD">
      <w:pPr>
        <w:rPr>
          <w:b/>
          <w:sz w:val="20"/>
          <w:szCs w:val="20"/>
          <w:u w:val="single"/>
        </w:rPr>
      </w:pPr>
    </w:p>
    <w:p w14:paraId="3BCDDA8A" w14:textId="77777777" w:rsidR="00F806FD" w:rsidRDefault="00F806FD" w:rsidP="00F806FD">
      <w:r>
        <w:rPr>
          <w:b/>
          <w:sz w:val="20"/>
          <w:szCs w:val="20"/>
          <w:u w:val="single"/>
        </w:rPr>
        <w:t>v. Quality Assurance/Quality Control Processes</w:t>
      </w:r>
    </w:p>
    <w:p w14:paraId="6345A524" w14:textId="77777777" w:rsidR="00F806FD" w:rsidRPr="00A0602B" w:rsidRDefault="00F806FD" w:rsidP="00F806FD">
      <w:r w:rsidRPr="00A0602B">
        <w:t>The responsible party will evaluate the green cleaning policy on a quarterly basis to evaluate progress towards the implementation goals. If any cleaning product or equipment purchases are not being recorded properly, the responsible party will inform the appropriate individuals to ensure that activities are recorded moving forward. The responsible party will evaluate the results of the cleaning audits to determine whether the building is being sufficiently cleaned and whether the standard cleaning procedures are being properly executed. As necessary, the responsible party will revise the green cleaning policy to include additional cleaning strategies or modify existing cleaning strategies.</w:t>
      </w:r>
    </w:p>
    <w:p w14:paraId="01DD3B16" w14:textId="77777777" w:rsidR="00F806FD" w:rsidRPr="00A0602B" w:rsidRDefault="00F806FD" w:rsidP="00F806FD">
      <w:r w:rsidRPr="00A0602B">
        <w:lastRenderedPageBreak/>
        <w:t xml:space="preserve"> </w:t>
      </w:r>
    </w:p>
    <w:p w14:paraId="1F3068C7" w14:textId="77777777" w:rsidR="00F806FD" w:rsidRPr="00A0602B" w:rsidRDefault="00F806FD" w:rsidP="00F806FD">
      <w:r w:rsidRPr="00A0602B">
        <w:t>In addition, if any implementation goals are not being met, the responsible party will investigate the situation and will work with the individuals purchasing the materials and equipment or using the equipment. The responsible party will evaluate whether updates are necessary to the in order to achieve the implementation goals.</w:t>
      </w:r>
    </w:p>
    <w:p w14:paraId="1F304D19" w14:textId="77777777" w:rsidR="00F806FD" w:rsidRPr="00A0602B" w:rsidRDefault="00F806FD" w:rsidP="00F806FD">
      <w:r w:rsidRPr="00A0602B">
        <w:t>Any revisions that are made to the policy will be incorporated into the next training cycle for the cleaning staff.</w:t>
      </w:r>
    </w:p>
    <w:p w14:paraId="1B0A8868" w14:textId="77777777" w:rsidR="00F806FD" w:rsidRPr="008C3565" w:rsidRDefault="00F806FD" w:rsidP="00F806FD"/>
    <w:p w14:paraId="7E1FCCD4" w14:textId="77777777" w:rsidR="00F806FD" w:rsidRDefault="00F806FD" w:rsidP="00F806FD">
      <w:pPr>
        <w:pStyle w:val="Heading2"/>
        <w:rPr>
          <w:rFonts w:cs="Times New Roman"/>
        </w:rPr>
      </w:pPr>
    </w:p>
    <w:p w14:paraId="2501D30F" w14:textId="77777777" w:rsidR="00F806FD" w:rsidRDefault="00F806FD" w:rsidP="00F806FD">
      <w:pPr>
        <w:pStyle w:val="Heading2"/>
        <w:rPr>
          <w:rFonts w:cs="Times New Roman"/>
        </w:rPr>
      </w:pPr>
      <w:r>
        <w:rPr>
          <w:rFonts w:cs="Times New Roman"/>
        </w:rPr>
        <w:t>Procedures (hyperlink):</w:t>
      </w:r>
    </w:p>
    <w:p w14:paraId="520AAB9B" w14:textId="77777777" w:rsidR="00F806FD" w:rsidRDefault="00F806FD" w:rsidP="00F806FD">
      <w:r>
        <w:t>&lt;insert link to procedures here&gt;</w:t>
      </w:r>
    </w:p>
    <w:p w14:paraId="7E664C3F" w14:textId="77777777" w:rsidR="00F806FD" w:rsidRDefault="00F806FD" w:rsidP="00F806FD"/>
    <w:p w14:paraId="3587FF27" w14:textId="77777777" w:rsidR="00F806FD" w:rsidRDefault="00F806FD" w:rsidP="00F806FD">
      <w:pPr>
        <w:pStyle w:val="Heading2"/>
        <w:spacing w:line="240" w:lineRule="auto"/>
        <w:rPr>
          <w:rFonts w:cs="Times New Roman"/>
        </w:rPr>
      </w:pPr>
    </w:p>
    <w:p w14:paraId="3D545528" w14:textId="77777777" w:rsidR="00F806FD" w:rsidRDefault="00F806FD" w:rsidP="00F806FD">
      <w:pPr>
        <w:pStyle w:val="Heading2"/>
        <w:spacing w:line="240" w:lineRule="auto"/>
        <w:rPr>
          <w:rFonts w:cs="Times New Roman"/>
        </w:rPr>
      </w:pPr>
      <w:r>
        <w:rPr>
          <w:rFonts w:cs="Times New Roman"/>
        </w:rPr>
        <w:t>Searchable Words</w:t>
      </w:r>
      <w:r w:rsidRPr="00171848">
        <w:rPr>
          <w:rFonts w:cs="Times New Roman"/>
        </w:rPr>
        <w:t>:</w:t>
      </w:r>
    </w:p>
    <w:p w14:paraId="6753BF23" w14:textId="77777777" w:rsidR="00F806FD" w:rsidRDefault="00F806FD" w:rsidP="00F806FD">
      <w:r>
        <w:t>Green cleaning, sustainability, custodial services</w:t>
      </w:r>
    </w:p>
    <w:p w14:paraId="12D8993B" w14:textId="77777777" w:rsidR="00F806FD" w:rsidRPr="00A51E74" w:rsidRDefault="00F806FD" w:rsidP="00F806FD"/>
    <w:p w14:paraId="1A7B150C" w14:textId="77777777" w:rsidR="00F806FD" w:rsidRPr="009D0B25" w:rsidRDefault="00F806FD" w:rsidP="00F806FD">
      <w:pPr>
        <w:rPr>
          <w:rFonts w:cs="Times New Roman"/>
          <w:b/>
          <w:sz w:val="26"/>
          <w:szCs w:val="26"/>
        </w:rPr>
      </w:pPr>
    </w:p>
    <w:p w14:paraId="7EE33211" w14:textId="77777777" w:rsidR="00113E33" w:rsidRDefault="00113E33"/>
    <w:sectPr w:rsidR="00113E33" w:rsidSect="00E40CAF">
      <w:pgSz w:w="12240" w:h="15840"/>
      <w:pgMar w:top="1152" w:right="1440"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0705B28"/>
    <w:multiLevelType w:val="multilevel"/>
    <w:tmpl w:val="89DADD2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3"/>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06FD"/>
    <w:rsid w:val="00113E33"/>
    <w:rsid w:val="004A7C74"/>
    <w:rsid w:val="00565DDA"/>
    <w:rsid w:val="00B039E6"/>
    <w:rsid w:val="00D728F9"/>
    <w:rsid w:val="00D912D7"/>
    <w:rsid w:val="00F806FD"/>
    <w:rsid w:val="00F957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C66262"/>
  <w15:chartTrackingRefBased/>
  <w15:docId w15:val="{3C413D1E-3675-4C49-9FAC-493A98668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06FD"/>
    <w:rPr>
      <w:rFonts w:ascii="Times New Roman" w:hAnsi="Times New Roman"/>
    </w:rPr>
  </w:style>
  <w:style w:type="paragraph" w:styleId="Heading1">
    <w:name w:val="heading 1"/>
    <w:basedOn w:val="Normal"/>
    <w:next w:val="Normal"/>
    <w:link w:val="Heading1Char"/>
    <w:uiPriority w:val="9"/>
    <w:qFormat/>
    <w:rsid w:val="00F806FD"/>
    <w:pPr>
      <w:keepNext/>
      <w:keepLines/>
      <w:spacing w:before="240" w:after="0"/>
      <w:outlineLvl w:val="0"/>
    </w:pPr>
    <w:rPr>
      <w:rFonts w:eastAsiaTheme="majorEastAsia" w:cstheme="majorBidi"/>
      <w:b/>
      <w:color w:val="3A1498"/>
      <w:sz w:val="32"/>
      <w:szCs w:val="32"/>
    </w:rPr>
  </w:style>
  <w:style w:type="paragraph" w:styleId="Heading2">
    <w:name w:val="heading 2"/>
    <w:basedOn w:val="Normal"/>
    <w:next w:val="Normal"/>
    <w:link w:val="Heading2Char"/>
    <w:uiPriority w:val="9"/>
    <w:unhideWhenUsed/>
    <w:qFormat/>
    <w:rsid w:val="00F806FD"/>
    <w:pPr>
      <w:keepNext/>
      <w:keepLines/>
      <w:spacing w:before="40" w:after="0"/>
      <w:outlineLvl w:val="1"/>
    </w:pPr>
    <w:rPr>
      <w:rFonts w:eastAsiaTheme="majorEastAsia" w:cstheme="majorBidi"/>
      <w:color w:val="3A1498"/>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806FD"/>
    <w:rPr>
      <w:rFonts w:ascii="Times New Roman" w:eastAsiaTheme="majorEastAsia" w:hAnsi="Times New Roman" w:cstheme="majorBidi"/>
      <w:b/>
      <w:color w:val="3A1498"/>
      <w:sz w:val="32"/>
      <w:szCs w:val="32"/>
    </w:rPr>
  </w:style>
  <w:style w:type="character" w:customStyle="1" w:styleId="Heading2Char">
    <w:name w:val="Heading 2 Char"/>
    <w:basedOn w:val="DefaultParagraphFont"/>
    <w:link w:val="Heading2"/>
    <w:uiPriority w:val="9"/>
    <w:rsid w:val="00F806FD"/>
    <w:rPr>
      <w:rFonts w:ascii="Times New Roman" w:eastAsiaTheme="majorEastAsia" w:hAnsi="Times New Roman" w:cstheme="majorBidi"/>
      <w:color w:val="3A1498"/>
      <w:sz w:val="26"/>
      <w:szCs w:val="26"/>
    </w:rPr>
  </w:style>
  <w:style w:type="table" w:styleId="TableGrid">
    <w:name w:val="Table Grid"/>
    <w:basedOn w:val="TableNormal"/>
    <w:uiPriority w:val="39"/>
    <w:rsid w:val="00F806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806FD"/>
    <w:rPr>
      <w:color w:val="0563C1" w:themeColor="hyperlink"/>
      <w:u w:val="single"/>
    </w:rPr>
  </w:style>
  <w:style w:type="character" w:styleId="CommentReference">
    <w:name w:val="annotation reference"/>
    <w:basedOn w:val="DefaultParagraphFont"/>
    <w:uiPriority w:val="99"/>
    <w:semiHidden/>
    <w:unhideWhenUsed/>
    <w:rsid w:val="00F806FD"/>
    <w:rPr>
      <w:sz w:val="16"/>
      <w:szCs w:val="16"/>
    </w:rPr>
  </w:style>
  <w:style w:type="paragraph" w:styleId="CommentText">
    <w:name w:val="annotation text"/>
    <w:basedOn w:val="Normal"/>
    <w:link w:val="CommentTextChar"/>
    <w:uiPriority w:val="99"/>
    <w:semiHidden/>
    <w:unhideWhenUsed/>
    <w:rsid w:val="00F806FD"/>
    <w:pPr>
      <w:spacing w:line="240" w:lineRule="auto"/>
    </w:pPr>
    <w:rPr>
      <w:sz w:val="20"/>
      <w:szCs w:val="20"/>
    </w:rPr>
  </w:style>
  <w:style w:type="character" w:customStyle="1" w:styleId="CommentTextChar">
    <w:name w:val="Comment Text Char"/>
    <w:basedOn w:val="DefaultParagraphFont"/>
    <w:link w:val="CommentText"/>
    <w:uiPriority w:val="99"/>
    <w:semiHidden/>
    <w:rsid w:val="00F806FD"/>
    <w:rPr>
      <w:rFonts w:ascii="Times New Roman" w:hAnsi="Times New Roman"/>
      <w:sz w:val="20"/>
      <w:szCs w:val="20"/>
    </w:rPr>
  </w:style>
  <w:style w:type="paragraph" w:styleId="BalloonText">
    <w:name w:val="Balloon Text"/>
    <w:basedOn w:val="Normal"/>
    <w:link w:val="BalloonTextChar"/>
    <w:uiPriority w:val="99"/>
    <w:semiHidden/>
    <w:unhideWhenUsed/>
    <w:rsid w:val="00F806F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06F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sgbc.org/credits/eq31%20" TargetMode="External"/><Relationship Id="rId3" Type="http://schemas.openxmlformats.org/officeDocument/2006/relationships/settings" Target="settings.xml"/><Relationship Id="rId7" Type="http://schemas.openxmlformats.org/officeDocument/2006/relationships/hyperlink" Target="http://www.calstate.edu/cpdc/sustainability/policies-report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helleyc@sfsu.edu"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3</Pages>
  <Words>698</Words>
  <Characters>3981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Whipple</dc:creator>
  <cp:keywords/>
  <dc:description/>
  <cp:lastModifiedBy>Nick Kordesch</cp:lastModifiedBy>
  <cp:revision>7</cp:revision>
  <cp:lastPrinted>2017-03-20T18:25:00Z</cp:lastPrinted>
  <dcterms:created xsi:type="dcterms:W3CDTF">2017-03-20T16:38:00Z</dcterms:created>
  <dcterms:modified xsi:type="dcterms:W3CDTF">2017-11-09T22:52:00Z</dcterms:modified>
</cp:coreProperties>
</file>