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7B" w:rsidRPr="00DA0004" w:rsidRDefault="0090767B" w:rsidP="0090767B">
      <w:pPr>
        <w:jc w:val="center"/>
        <w:rPr>
          <w:rFonts w:ascii="Arial" w:hAnsi="Arial" w:cs="Arial"/>
          <w:b/>
          <w:bCs/>
        </w:rPr>
      </w:pPr>
      <w:r w:rsidRPr="00DA0004">
        <w:rPr>
          <w:rFonts w:ascii="Arial" w:hAnsi="Arial" w:cs="Arial"/>
          <w:b/>
          <w:bCs/>
        </w:rPr>
        <w:t>Sustainability Course Offerings and Descriptions</w:t>
      </w:r>
    </w:p>
    <w:p w:rsidR="00DA0004" w:rsidRPr="00DA0004" w:rsidRDefault="00DA0004" w:rsidP="0090767B">
      <w:pPr>
        <w:jc w:val="center"/>
        <w:rPr>
          <w:rFonts w:ascii="Arial" w:hAnsi="Arial" w:cs="Arial"/>
        </w:rPr>
      </w:pPr>
    </w:p>
    <w:tbl>
      <w:tblPr>
        <w:tblStyle w:val="TableGrid"/>
        <w:tblW w:w="14035" w:type="dxa"/>
        <w:tblLook w:val="04A0" w:firstRow="1" w:lastRow="0" w:firstColumn="1" w:lastColumn="0" w:noHBand="0" w:noVBand="1"/>
      </w:tblPr>
      <w:tblGrid>
        <w:gridCol w:w="1172"/>
        <w:gridCol w:w="2192"/>
        <w:gridCol w:w="1748"/>
        <w:gridCol w:w="4021"/>
        <w:gridCol w:w="2451"/>
        <w:gridCol w:w="2451"/>
      </w:tblGrid>
      <w:tr w:rsidR="00EF710C" w:rsidRPr="00EF710C" w:rsidTr="00EF710C">
        <w:tc>
          <w:tcPr>
            <w:tcW w:w="985" w:type="dxa"/>
          </w:tcPr>
          <w:p w:rsidR="00DA0004" w:rsidRPr="00EF710C" w:rsidRDefault="00EF710C" w:rsidP="00DA0004">
            <w:pPr>
              <w:jc w:val="center"/>
              <w:rPr>
                <w:rFonts w:ascii="Arial" w:hAnsi="Arial" w:cs="Arial"/>
                <w:b/>
              </w:rPr>
            </w:pPr>
            <w:r w:rsidRPr="00EF710C">
              <w:rPr>
                <w:rFonts w:ascii="Arial" w:hAnsi="Arial" w:cs="Arial"/>
                <w:b/>
              </w:rPr>
              <w:t>COURSE</w:t>
            </w:r>
          </w:p>
        </w:tc>
        <w:tc>
          <w:tcPr>
            <w:tcW w:w="2219" w:type="dxa"/>
          </w:tcPr>
          <w:p w:rsidR="00DA0004" w:rsidRPr="00EF710C" w:rsidRDefault="00EF710C" w:rsidP="0090767B">
            <w:pPr>
              <w:jc w:val="center"/>
              <w:rPr>
                <w:rFonts w:ascii="Arial" w:hAnsi="Arial" w:cs="Arial"/>
                <w:b/>
              </w:rPr>
            </w:pPr>
            <w:r w:rsidRPr="00EF710C">
              <w:rPr>
                <w:rFonts w:ascii="Arial" w:hAnsi="Arial" w:cs="Arial"/>
                <w:b/>
              </w:rPr>
              <w:t>TITLE</w:t>
            </w:r>
          </w:p>
        </w:tc>
        <w:tc>
          <w:tcPr>
            <w:tcW w:w="1753" w:type="dxa"/>
          </w:tcPr>
          <w:p w:rsidR="00DA0004" w:rsidRPr="00EF710C" w:rsidRDefault="00EF710C" w:rsidP="0090767B">
            <w:pPr>
              <w:jc w:val="center"/>
              <w:rPr>
                <w:rFonts w:ascii="Arial" w:hAnsi="Arial" w:cs="Arial"/>
                <w:b/>
              </w:rPr>
            </w:pPr>
            <w:r w:rsidRPr="00EF710C">
              <w:rPr>
                <w:rFonts w:ascii="Arial" w:hAnsi="Arial" w:cs="Arial"/>
                <w:b/>
              </w:rPr>
              <w:t>DIVISION</w:t>
            </w:r>
          </w:p>
        </w:tc>
        <w:tc>
          <w:tcPr>
            <w:tcW w:w="4132" w:type="dxa"/>
          </w:tcPr>
          <w:p w:rsidR="00DA0004" w:rsidRPr="00EF710C" w:rsidRDefault="00EF710C" w:rsidP="006F0A0D">
            <w:pPr>
              <w:jc w:val="center"/>
              <w:rPr>
                <w:rFonts w:ascii="Arial" w:hAnsi="Arial" w:cs="Arial"/>
                <w:b/>
              </w:rPr>
            </w:pPr>
            <w:r w:rsidRPr="00EF710C">
              <w:rPr>
                <w:rFonts w:ascii="Arial" w:hAnsi="Arial" w:cs="Arial"/>
                <w:b/>
              </w:rPr>
              <w:t>DESCRIPTION</w:t>
            </w:r>
          </w:p>
        </w:tc>
        <w:tc>
          <w:tcPr>
            <w:tcW w:w="2473" w:type="dxa"/>
          </w:tcPr>
          <w:p w:rsidR="00DA0004" w:rsidRPr="00EF710C" w:rsidRDefault="00EF710C" w:rsidP="0090767B">
            <w:pPr>
              <w:jc w:val="center"/>
              <w:rPr>
                <w:rFonts w:ascii="Arial" w:hAnsi="Arial" w:cs="Arial"/>
                <w:b/>
              </w:rPr>
            </w:pPr>
            <w:r w:rsidRPr="00EF710C">
              <w:rPr>
                <w:rFonts w:ascii="Arial" w:hAnsi="Arial" w:cs="Arial"/>
                <w:b/>
              </w:rPr>
              <w:t>SUSTAINABILITY COURSE</w:t>
            </w:r>
          </w:p>
        </w:tc>
        <w:tc>
          <w:tcPr>
            <w:tcW w:w="2473" w:type="dxa"/>
          </w:tcPr>
          <w:p w:rsidR="00DA0004" w:rsidRPr="00EF710C" w:rsidRDefault="00EF710C" w:rsidP="0090767B">
            <w:pPr>
              <w:jc w:val="center"/>
              <w:rPr>
                <w:rFonts w:ascii="Arial" w:hAnsi="Arial" w:cs="Arial"/>
                <w:b/>
              </w:rPr>
            </w:pPr>
            <w:r w:rsidRPr="00EF710C">
              <w:rPr>
                <w:rFonts w:ascii="Arial" w:hAnsi="Arial" w:cs="Arial"/>
                <w:b/>
              </w:rPr>
              <w:t>COURSE INCLUDES SUSTAINABILITY</w:t>
            </w:r>
          </w:p>
        </w:tc>
      </w:tr>
      <w:tr w:rsidR="00EF710C" w:rsidRPr="00EF710C" w:rsidTr="00EF710C">
        <w:tc>
          <w:tcPr>
            <w:tcW w:w="985" w:type="dxa"/>
          </w:tcPr>
          <w:p w:rsidR="006F0A0D" w:rsidRPr="00EF710C" w:rsidRDefault="00B54BC5" w:rsidP="00EF710C">
            <w:pPr>
              <w:rPr>
                <w:rFonts w:ascii="Arial" w:hAnsi="Arial" w:cs="Arial"/>
                <w:sz w:val="20"/>
                <w:szCs w:val="20"/>
              </w:rPr>
            </w:pPr>
            <w:r w:rsidRPr="00EF710C">
              <w:rPr>
                <w:rFonts w:ascii="Arial" w:hAnsi="Arial" w:cs="Arial"/>
                <w:sz w:val="20"/>
                <w:szCs w:val="20"/>
              </w:rPr>
              <w:t>EVS120</w:t>
            </w:r>
          </w:p>
        </w:tc>
        <w:tc>
          <w:tcPr>
            <w:tcW w:w="2219" w:type="dxa"/>
          </w:tcPr>
          <w:p w:rsidR="006F0A0D" w:rsidRPr="00EF710C" w:rsidRDefault="00B54BC5" w:rsidP="00EF710C">
            <w:pPr>
              <w:rPr>
                <w:rFonts w:ascii="Arial" w:hAnsi="Arial" w:cs="Arial"/>
                <w:sz w:val="20"/>
                <w:szCs w:val="20"/>
              </w:rPr>
            </w:pPr>
            <w:r w:rsidRPr="00EF710C">
              <w:rPr>
                <w:rFonts w:ascii="Arial" w:hAnsi="Arial" w:cs="Arial"/>
                <w:sz w:val="20"/>
                <w:szCs w:val="20"/>
              </w:rPr>
              <w:t>Field Methods</w:t>
            </w:r>
          </w:p>
        </w:tc>
        <w:tc>
          <w:tcPr>
            <w:tcW w:w="1753" w:type="dxa"/>
          </w:tcPr>
          <w:p w:rsidR="006F0A0D" w:rsidRPr="00EF710C" w:rsidRDefault="00B54BC5" w:rsidP="00EF710C">
            <w:pPr>
              <w:rPr>
                <w:rFonts w:ascii="Arial" w:hAnsi="Arial" w:cs="Arial"/>
                <w:sz w:val="20"/>
                <w:szCs w:val="20"/>
              </w:rPr>
            </w:pPr>
            <w:r w:rsidRPr="00EF710C">
              <w:rPr>
                <w:rFonts w:ascii="Arial" w:hAnsi="Arial" w:cs="Arial"/>
                <w:sz w:val="20"/>
                <w:szCs w:val="20"/>
              </w:rPr>
              <w:t>Biology and Environmental Science/Studies</w:t>
            </w:r>
          </w:p>
        </w:tc>
        <w:tc>
          <w:tcPr>
            <w:tcW w:w="4132" w:type="dxa"/>
          </w:tcPr>
          <w:p w:rsidR="006F0A0D" w:rsidRPr="00EF710C" w:rsidRDefault="00B54BC5" w:rsidP="00EF710C">
            <w:pPr>
              <w:rPr>
                <w:rFonts w:ascii="Arial" w:hAnsi="Arial" w:cs="Arial"/>
                <w:sz w:val="20"/>
                <w:szCs w:val="20"/>
              </w:rPr>
            </w:pPr>
            <w:r w:rsidRPr="00EF710C">
              <w:rPr>
                <w:rFonts w:ascii="Arial" w:hAnsi="Arial" w:cs="Arial"/>
                <w:sz w:val="20"/>
                <w:szCs w:val="20"/>
              </w:rPr>
              <w:t xml:space="preserve">In an intensive three-week format, we will explore aspects of field biology, including research design, data collection, and taxon-specific methodologies. Students will be expected to participate in water sampling, fish collection, small mammal trapping and handling, bird observation, and herpetological methods. We will be working at </w:t>
            </w:r>
            <w:proofErr w:type="spellStart"/>
            <w:r w:rsidRPr="00EF710C">
              <w:rPr>
                <w:rFonts w:ascii="Arial" w:hAnsi="Arial" w:cs="Arial"/>
                <w:sz w:val="20"/>
                <w:szCs w:val="20"/>
              </w:rPr>
              <w:t>Therkildsen</w:t>
            </w:r>
            <w:proofErr w:type="spellEnd"/>
            <w:r w:rsidRPr="00EF710C">
              <w:rPr>
                <w:rFonts w:ascii="Arial" w:hAnsi="Arial" w:cs="Arial"/>
                <w:sz w:val="20"/>
                <w:szCs w:val="20"/>
              </w:rPr>
              <w:t xml:space="preserve"> Field Station for one week of this course for access to lake and wetland habitats, in addition to use of the labs and equipment</w:t>
            </w:r>
          </w:p>
        </w:tc>
        <w:tc>
          <w:tcPr>
            <w:tcW w:w="2473" w:type="dxa"/>
          </w:tcPr>
          <w:p w:rsidR="006F0A0D" w:rsidRPr="00EF710C" w:rsidRDefault="006F0A0D" w:rsidP="00EF710C">
            <w:pPr>
              <w:jc w:val="center"/>
              <w:rPr>
                <w:rFonts w:ascii="Arial" w:hAnsi="Arial" w:cs="Arial"/>
                <w:sz w:val="24"/>
                <w:szCs w:val="24"/>
              </w:rPr>
            </w:pPr>
          </w:p>
        </w:tc>
        <w:tc>
          <w:tcPr>
            <w:tcW w:w="2473" w:type="dxa"/>
          </w:tcPr>
          <w:p w:rsidR="006F0A0D" w:rsidRPr="00EF710C" w:rsidRDefault="00B54BC5"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6F0A0D" w:rsidRPr="00EF710C" w:rsidRDefault="006F0A0D" w:rsidP="00EF710C">
            <w:pPr>
              <w:rPr>
                <w:rFonts w:ascii="Arial" w:hAnsi="Arial" w:cs="Arial"/>
                <w:sz w:val="20"/>
                <w:szCs w:val="20"/>
              </w:rPr>
            </w:pPr>
            <w:r w:rsidRPr="00EF710C">
              <w:rPr>
                <w:rFonts w:ascii="Arial" w:hAnsi="Arial" w:cs="Arial"/>
                <w:sz w:val="20"/>
                <w:szCs w:val="20"/>
              </w:rPr>
              <w:t>EVS21</w:t>
            </w:r>
          </w:p>
        </w:tc>
        <w:tc>
          <w:tcPr>
            <w:tcW w:w="2219"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Biology</w:t>
            </w:r>
          </w:p>
        </w:tc>
        <w:tc>
          <w:tcPr>
            <w:tcW w:w="1753"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6F0A0D" w:rsidRPr="00EF710C" w:rsidRDefault="006F0A0D" w:rsidP="00EF710C">
            <w:pPr>
              <w:rPr>
                <w:rFonts w:ascii="Arial" w:hAnsi="Arial" w:cs="Arial"/>
                <w:sz w:val="20"/>
                <w:szCs w:val="20"/>
              </w:rPr>
            </w:pPr>
            <w:r w:rsidRPr="00EF710C">
              <w:rPr>
                <w:rFonts w:ascii="Arial" w:hAnsi="Arial" w:cs="Arial"/>
                <w:sz w:val="20"/>
                <w:szCs w:val="20"/>
              </w:rPr>
              <w:t>A survey of the biological portion of our environment. Students will explore how life works and gain an understanding of the forces that generate and maintain the diversity of life on our planet. Topics include: evolution, cell structure and function, ecology, and genetics. The laboratory portion of the course is inquiry-based and includes field trips and outside field study. Designed with the Environmental Science and Environmental Studies majors in mind, but open to all students. Lecture and Laboratory. Cross-listed as BIO121. Scientific Literacy Capability course.</w:t>
            </w:r>
          </w:p>
        </w:tc>
        <w:tc>
          <w:tcPr>
            <w:tcW w:w="2473" w:type="dxa"/>
          </w:tcPr>
          <w:p w:rsidR="006F0A0D" w:rsidRPr="00EF710C" w:rsidRDefault="006F0A0D" w:rsidP="00EF710C">
            <w:pPr>
              <w:jc w:val="center"/>
              <w:rPr>
                <w:rFonts w:ascii="Arial" w:hAnsi="Arial" w:cs="Arial"/>
                <w:sz w:val="24"/>
                <w:szCs w:val="24"/>
              </w:rPr>
            </w:pPr>
          </w:p>
        </w:tc>
        <w:tc>
          <w:tcPr>
            <w:tcW w:w="2473" w:type="dxa"/>
          </w:tcPr>
          <w:p w:rsidR="006F0A0D" w:rsidRPr="00EF710C" w:rsidRDefault="00B54BC5"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6F0A0D" w:rsidRPr="00EF710C" w:rsidRDefault="006F0A0D" w:rsidP="00EF710C">
            <w:pPr>
              <w:rPr>
                <w:rFonts w:ascii="Arial" w:hAnsi="Arial" w:cs="Arial"/>
                <w:sz w:val="20"/>
                <w:szCs w:val="20"/>
              </w:rPr>
            </w:pPr>
            <w:r w:rsidRPr="00EF710C">
              <w:rPr>
                <w:rFonts w:ascii="Arial" w:hAnsi="Arial" w:cs="Arial"/>
                <w:sz w:val="20"/>
                <w:szCs w:val="20"/>
              </w:rPr>
              <w:t>EVS151</w:t>
            </w:r>
          </w:p>
        </w:tc>
        <w:tc>
          <w:tcPr>
            <w:tcW w:w="2219" w:type="dxa"/>
          </w:tcPr>
          <w:p w:rsidR="006F0A0D" w:rsidRPr="00EF710C" w:rsidRDefault="006F0A0D" w:rsidP="00EF710C">
            <w:pPr>
              <w:rPr>
                <w:rFonts w:ascii="Arial" w:hAnsi="Arial" w:cs="Arial"/>
                <w:sz w:val="20"/>
                <w:szCs w:val="20"/>
              </w:rPr>
            </w:pPr>
            <w:r w:rsidRPr="00EF710C">
              <w:rPr>
                <w:rFonts w:ascii="Arial" w:hAnsi="Arial" w:cs="Arial"/>
                <w:sz w:val="20"/>
                <w:szCs w:val="20"/>
              </w:rPr>
              <w:t>Intro to Environmental Science and Policy</w:t>
            </w:r>
          </w:p>
        </w:tc>
        <w:tc>
          <w:tcPr>
            <w:tcW w:w="1753"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6F0A0D" w:rsidRPr="00EF710C" w:rsidRDefault="006F0A0D" w:rsidP="00EF710C">
            <w:pPr>
              <w:tabs>
                <w:tab w:val="left" w:pos="960"/>
              </w:tabs>
              <w:rPr>
                <w:rFonts w:ascii="Arial" w:hAnsi="Arial" w:cs="Arial"/>
                <w:sz w:val="20"/>
                <w:szCs w:val="20"/>
              </w:rPr>
            </w:pPr>
            <w:r w:rsidRPr="00EF710C">
              <w:rPr>
                <w:rFonts w:ascii="Arial" w:hAnsi="Arial" w:cs="Arial"/>
                <w:sz w:val="20"/>
                <w:szCs w:val="20"/>
              </w:rPr>
              <w:tab/>
            </w:r>
            <w:r w:rsidRPr="00EF710C">
              <w:rPr>
                <w:rFonts w:ascii="Arial" w:hAnsi="Arial" w:cs="Arial"/>
                <w:sz w:val="20"/>
                <w:szCs w:val="20"/>
              </w:rPr>
              <w:t xml:space="preserve">Provides students with an overview of current environmental issues from the local to the global scale. Students will examine the science behind our understanding of current environmental issues, and discuss the potential solutions to these issues. We will also address </w:t>
            </w:r>
            <w:r w:rsidRPr="00EF710C">
              <w:rPr>
                <w:rFonts w:ascii="Arial" w:hAnsi="Arial" w:cs="Arial"/>
                <w:sz w:val="20"/>
                <w:szCs w:val="20"/>
              </w:rPr>
              <w:lastRenderedPageBreak/>
              <w:t>economic, political, and social factors that influence environmental change and decision making. This course serves as the foundation for the Environmental Science and Environmental Studies majors and the Environmental Studies minor. Lecture and Laboratory. Scientific Literacy Capability course.</w:t>
            </w:r>
          </w:p>
        </w:tc>
        <w:tc>
          <w:tcPr>
            <w:tcW w:w="2473" w:type="dxa"/>
          </w:tcPr>
          <w:p w:rsidR="006F0A0D" w:rsidRPr="00EF710C" w:rsidRDefault="00B54BC5" w:rsidP="00EF710C">
            <w:pPr>
              <w:jc w:val="center"/>
              <w:rPr>
                <w:rFonts w:ascii="Arial" w:hAnsi="Arial" w:cs="Arial"/>
                <w:sz w:val="24"/>
                <w:szCs w:val="24"/>
              </w:rPr>
            </w:pPr>
            <w:r w:rsidRPr="00EF710C">
              <w:rPr>
                <w:rFonts w:ascii="Arial" w:hAnsi="Arial" w:cs="Arial"/>
                <w:sz w:val="24"/>
                <w:szCs w:val="24"/>
              </w:rPr>
              <w:lastRenderedPageBreak/>
              <w:t>X</w:t>
            </w:r>
          </w:p>
        </w:tc>
        <w:tc>
          <w:tcPr>
            <w:tcW w:w="2473" w:type="dxa"/>
          </w:tcPr>
          <w:p w:rsidR="006F0A0D" w:rsidRPr="00EF710C" w:rsidRDefault="006F0A0D" w:rsidP="00EF710C">
            <w:pPr>
              <w:jc w:val="center"/>
              <w:rPr>
                <w:rFonts w:ascii="Arial" w:hAnsi="Arial" w:cs="Arial"/>
                <w:sz w:val="24"/>
                <w:szCs w:val="24"/>
              </w:rPr>
            </w:pPr>
          </w:p>
        </w:tc>
      </w:tr>
      <w:tr w:rsidR="00EF710C" w:rsidRPr="00EF710C" w:rsidTr="00EF710C">
        <w:tc>
          <w:tcPr>
            <w:tcW w:w="985" w:type="dxa"/>
          </w:tcPr>
          <w:p w:rsidR="006F0A0D" w:rsidRPr="00EF710C" w:rsidRDefault="006F0A0D" w:rsidP="00EF710C">
            <w:pPr>
              <w:rPr>
                <w:rFonts w:ascii="Arial" w:hAnsi="Arial" w:cs="Arial"/>
                <w:sz w:val="20"/>
                <w:szCs w:val="20"/>
              </w:rPr>
            </w:pPr>
            <w:r w:rsidRPr="00EF710C">
              <w:rPr>
                <w:rFonts w:ascii="Arial" w:hAnsi="Arial" w:cs="Arial"/>
                <w:sz w:val="20"/>
                <w:szCs w:val="20"/>
              </w:rPr>
              <w:t>EVS170</w:t>
            </w:r>
          </w:p>
        </w:tc>
        <w:tc>
          <w:tcPr>
            <w:tcW w:w="2219" w:type="dxa"/>
          </w:tcPr>
          <w:p w:rsidR="006F0A0D" w:rsidRPr="00EF710C" w:rsidRDefault="006F0A0D" w:rsidP="00EF710C">
            <w:pPr>
              <w:rPr>
                <w:rFonts w:ascii="Arial" w:hAnsi="Arial" w:cs="Arial"/>
                <w:sz w:val="20"/>
                <w:szCs w:val="20"/>
              </w:rPr>
            </w:pPr>
            <w:r w:rsidRPr="00EF710C">
              <w:rPr>
                <w:rFonts w:ascii="Arial" w:hAnsi="Arial" w:cs="Arial"/>
                <w:sz w:val="20"/>
                <w:szCs w:val="20"/>
              </w:rPr>
              <w:t>Horticulture for Health and Wellbeing</w:t>
            </w:r>
          </w:p>
        </w:tc>
        <w:tc>
          <w:tcPr>
            <w:tcW w:w="1753"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6F0A0D" w:rsidRPr="00EF710C" w:rsidRDefault="00861691" w:rsidP="00EF710C">
            <w:pPr>
              <w:rPr>
                <w:rFonts w:ascii="Arial" w:hAnsi="Arial" w:cs="Arial"/>
                <w:sz w:val="20"/>
                <w:szCs w:val="20"/>
              </w:rPr>
            </w:pPr>
            <w:r w:rsidRPr="00EF710C">
              <w:rPr>
                <w:rFonts w:ascii="Arial" w:eastAsia="MS Mincho" w:hAnsi="Arial" w:cs="Arial"/>
                <w:sz w:val="20"/>
                <w:szCs w:val="20"/>
              </w:rPr>
              <w:t>This course is designed to give a broad overview of horticulture through native plant management on campus, including concepts, theory, and research. Gardening as a form of exercise for both physical and mental health is not a new field, but one in which many students have little to no experience. Managing native plants to promote physical and mental health merges topics of biodiversity conservation and human well-being. Students will participate in various outdoor activities using basic gardening tools, primarily on the Eureka College campus and will be required to develop a health behavior change plan to demonstrate capability</w:t>
            </w:r>
          </w:p>
        </w:tc>
        <w:tc>
          <w:tcPr>
            <w:tcW w:w="2473" w:type="dxa"/>
          </w:tcPr>
          <w:p w:rsidR="006F0A0D" w:rsidRPr="00EF710C" w:rsidRDefault="00B54BC5" w:rsidP="00EF710C">
            <w:pPr>
              <w:jc w:val="center"/>
              <w:rPr>
                <w:rFonts w:ascii="Arial" w:hAnsi="Arial" w:cs="Arial"/>
                <w:sz w:val="24"/>
                <w:szCs w:val="24"/>
              </w:rPr>
            </w:pPr>
            <w:r w:rsidRPr="00EF710C">
              <w:rPr>
                <w:rFonts w:ascii="Arial" w:hAnsi="Arial" w:cs="Arial"/>
                <w:sz w:val="24"/>
                <w:szCs w:val="24"/>
              </w:rPr>
              <w:t>X</w:t>
            </w:r>
          </w:p>
        </w:tc>
        <w:tc>
          <w:tcPr>
            <w:tcW w:w="2473" w:type="dxa"/>
          </w:tcPr>
          <w:p w:rsidR="006F0A0D" w:rsidRPr="00EF710C" w:rsidRDefault="006F0A0D" w:rsidP="00EF710C">
            <w:pPr>
              <w:jc w:val="center"/>
              <w:rPr>
                <w:rFonts w:ascii="Arial" w:hAnsi="Arial" w:cs="Arial"/>
                <w:sz w:val="24"/>
                <w:szCs w:val="24"/>
              </w:rPr>
            </w:pPr>
          </w:p>
        </w:tc>
      </w:tr>
      <w:tr w:rsidR="00EF710C" w:rsidRPr="00EF710C" w:rsidTr="00EF710C">
        <w:tc>
          <w:tcPr>
            <w:tcW w:w="985" w:type="dxa"/>
          </w:tcPr>
          <w:p w:rsidR="006F0A0D" w:rsidRPr="00EF710C" w:rsidRDefault="006F0A0D" w:rsidP="00EF710C">
            <w:pPr>
              <w:rPr>
                <w:rFonts w:ascii="Arial" w:hAnsi="Arial" w:cs="Arial"/>
                <w:sz w:val="20"/>
                <w:szCs w:val="20"/>
              </w:rPr>
            </w:pPr>
            <w:r w:rsidRPr="00EF710C">
              <w:rPr>
                <w:rFonts w:ascii="Arial" w:hAnsi="Arial" w:cs="Arial"/>
                <w:sz w:val="20"/>
                <w:szCs w:val="20"/>
              </w:rPr>
              <w:t>EVS260</w:t>
            </w:r>
          </w:p>
        </w:tc>
        <w:tc>
          <w:tcPr>
            <w:tcW w:w="2219" w:type="dxa"/>
          </w:tcPr>
          <w:p w:rsidR="006F0A0D" w:rsidRPr="00EF710C" w:rsidRDefault="006F0A0D" w:rsidP="00EF710C">
            <w:pPr>
              <w:rPr>
                <w:rFonts w:ascii="Arial" w:hAnsi="Arial" w:cs="Arial"/>
                <w:sz w:val="20"/>
                <w:szCs w:val="20"/>
              </w:rPr>
            </w:pPr>
            <w:r w:rsidRPr="00EF710C">
              <w:rPr>
                <w:rFonts w:ascii="Arial" w:hAnsi="Arial" w:cs="Arial"/>
                <w:sz w:val="20"/>
                <w:szCs w:val="20"/>
              </w:rPr>
              <w:t>Introduction to Sustainability</w:t>
            </w:r>
          </w:p>
        </w:tc>
        <w:tc>
          <w:tcPr>
            <w:tcW w:w="1753"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6F0A0D" w:rsidRPr="00EF710C" w:rsidRDefault="006F0A0D" w:rsidP="00EF710C">
            <w:pPr>
              <w:rPr>
                <w:rFonts w:ascii="Arial" w:hAnsi="Arial" w:cs="Arial"/>
                <w:sz w:val="20"/>
                <w:szCs w:val="20"/>
              </w:rPr>
            </w:pPr>
            <w:r w:rsidRPr="00EF710C">
              <w:rPr>
                <w:rFonts w:ascii="Arial" w:hAnsi="Arial" w:cs="Arial"/>
                <w:sz w:val="20"/>
                <w:szCs w:val="20"/>
              </w:rPr>
              <w:t>This course will explore the discipline of sustainability science from an integrative natural and social science approach. Students will be introduced to the principles of sustainability and given the opportunity to learn various interpretations and applications, including the role of technology in addressing sustainability issues and the importance of campus sustainability projects. Students will gain experience communicating and collaborating with faculty and staff across disciplines to improve Eureka College's sustainability rating.</w:t>
            </w:r>
            <w:r w:rsidRPr="00EF710C">
              <w:rPr>
                <w:rFonts w:ascii="Arial" w:hAnsi="Arial" w:cs="Arial"/>
                <w:sz w:val="20"/>
                <w:szCs w:val="20"/>
              </w:rPr>
              <w:t xml:space="preserve"> </w:t>
            </w:r>
            <w:r w:rsidRPr="00EF710C">
              <w:rPr>
                <w:rFonts w:ascii="Arial" w:hAnsi="Arial" w:cs="Arial"/>
                <w:sz w:val="20"/>
                <w:szCs w:val="20"/>
              </w:rPr>
              <w:t>Sustainable Practices and Environmental Conscience Capability course.</w:t>
            </w:r>
          </w:p>
        </w:tc>
        <w:tc>
          <w:tcPr>
            <w:tcW w:w="2473" w:type="dxa"/>
          </w:tcPr>
          <w:p w:rsidR="006F0A0D" w:rsidRPr="00EF710C" w:rsidRDefault="00B54BC5" w:rsidP="00EF710C">
            <w:pPr>
              <w:jc w:val="center"/>
              <w:rPr>
                <w:rFonts w:ascii="Arial" w:hAnsi="Arial" w:cs="Arial"/>
                <w:sz w:val="24"/>
                <w:szCs w:val="24"/>
              </w:rPr>
            </w:pPr>
            <w:r w:rsidRPr="00EF710C">
              <w:rPr>
                <w:rFonts w:ascii="Arial" w:hAnsi="Arial" w:cs="Arial"/>
                <w:sz w:val="24"/>
                <w:szCs w:val="24"/>
              </w:rPr>
              <w:t>X</w:t>
            </w:r>
          </w:p>
        </w:tc>
        <w:tc>
          <w:tcPr>
            <w:tcW w:w="2473" w:type="dxa"/>
          </w:tcPr>
          <w:p w:rsidR="006F0A0D" w:rsidRPr="00EF710C" w:rsidRDefault="006F0A0D" w:rsidP="00EF710C">
            <w:pPr>
              <w:jc w:val="center"/>
              <w:rPr>
                <w:rFonts w:ascii="Arial" w:hAnsi="Arial" w:cs="Arial"/>
                <w:sz w:val="24"/>
                <w:szCs w:val="24"/>
              </w:rPr>
            </w:pPr>
          </w:p>
        </w:tc>
      </w:tr>
      <w:tr w:rsidR="00EF710C" w:rsidRPr="00EF710C" w:rsidTr="00EF710C">
        <w:tc>
          <w:tcPr>
            <w:tcW w:w="985" w:type="dxa"/>
          </w:tcPr>
          <w:p w:rsidR="006F0A0D" w:rsidRPr="00EF710C" w:rsidRDefault="006F0A0D" w:rsidP="00EF710C">
            <w:pPr>
              <w:rPr>
                <w:rFonts w:ascii="Arial" w:hAnsi="Arial" w:cs="Arial"/>
                <w:sz w:val="20"/>
                <w:szCs w:val="20"/>
              </w:rPr>
            </w:pPr>
            <w:r w:rsidRPr="00EF710C">
              <w:rPr>
                <w:rFonts w:ascii="Arial" w:hAnsi="Arial" w:cs="Arial"/>
                <w:sz w:val="20"/>
                <w:szCs w:val="20"/>
              </w:rPr>
              <w:lastRenderedPageBreak/>
              <w:t>EVS305</w:t>
            </w:r>
          </w:p>
        </w:tc>
        <w:tc>
          <w:tcPr>
            <w:tcW w:w="2219" w:type="dxa"/>
          </w:tcPr>
          <w:p w:rsidR="006F0A0D" w:rsidRPr="00EF710C" w:rsidRDefault="006F0A0D" w:rsidP="00EF710C">
            <w:pPr>
              <w:rPr>
                <w:rFonts w:ascii="Arial" w:hAnsi="Arial" w:cs="Arial"/>
                <w:sz w:val="20"/>
                <w:szCs w:val="20"/>
              </w:rPr>
            </w:pPr>
            <w:r w:rsidRPr="00EF710C">
              <w:rPr>
                <w:rFonts w:ascii="Arial" w:hAnsi="Arial" w:cs="Arial"/>
                <w:sz w:val="20"/>
                <w:szCs w:val="20"/>
              </w:rPr>
              <w:t>Conservation Biology</w:t>
            </w:r>
          </w:p>
        </w:tc>
        <w:tc>
          <w:tcPr>
            <w:tcW w:w="1753"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6F0A0D" w:rsidRPr="00EF710C" w:rsidRDefault="006F0A0D" w:rsidP="00EF710C">
            <w:pPr>
              <w:rPr>
                <w:rFonts w:ascii="Arial" w:hAnsi="Arial" w:cs="Arial"/>
                <w:sz w:val="20"/>
                <w:szCs w:val="20"/>
              </w:rPr>
            </w:pPr>
            <w:r w:rsidRPr="00EF710C">
              <w:rPr>
                <w:rFonts w:ascii="Arial" w:hAnsi="Arial" w:cs="Arial"/>
                <w:sz w:val="20"/>
                <w:szCs w:val="20"/>
              </w:rPr>
              <w:t>Biodiversity conservation is the study and application of scientific principles to the protection and management of Earth’s biological diversity and ecosystem services. It is an integrative discipline combining disparate fields as genetics, ecology, anthropology, sociology, economics, political science, and ethics. This course is designed to be highly participatory, with students being actively involved in the selection of topics to be covered and in discussions of the current issues and controversies in the field. The laboratory portion of the course will involve some outdoor fieldwork with occasional travel. Lecture and Laboratory.</w:t>
            </w:r>
          </w:p>
        </w:tc>
        <w:tc>
          <w:tcPr>
            <w:tcW w:w="2473" w:type="dxa"/>
          </w:tcPr>
          <w:p w:rsidR="006F0A0D" w:rsidRPr="00EF710C" w:rsidRDefault="00B54BC5" w:rsidP="00EF710C">
            <w:pPr>
              <w:jc w:val="center"/>
              <w:rPr>
                <w:rFonts w:ascii="Arial" w:hAnsi="Arial" w:cs="Arial"/>
                <w:sz w:val="24"/>
                <w:szCs w:val="24"/>
              </w:rPr>
            </w:pPr>
            <w:r w:rsidRPr="00EF710C">
              <w:rPr>
                <w:rFonts w:ascii="Arial" w:hAnsi="Arial" w:cs="Arial"/>
                <w:sz w:val="24"/>
                <w:szCs w:val="24"/>
              </w:rPr>
              <w:t>X</w:t>
            </w:r>
          </w:p>
        </w:tc>
        <w:tc>
          <w:tcPr>
            <w:tcW w:w="2473" w:type="dxa"/>
          </w:tcPr>
          <w:p w:rsidR="006F0A0D" w:rsidRPr="00EF710C" w:rsidRDefault="006F0A0D" w:rsidP="00EF710C">
            <w:pPr>
              <w:jc w:val="center"/>
              <w:rPr>
                <w:rFonts w:ascii="Arial" w:hAnsi="Arial" w:cs="Arial"/>
                <w:sz w:val="24"/>
                <w:szCs w:val="24"/>
              </w:rPr>
            </w:pPr>
          </w:p>
        </w:tc>
      </w:tr>
      <w:tr w:rsidR="00EF710C" w:rsidRPr="00EF710C" w:rsidTr="00EF710C">
        <w:tc>
          <w:tcPr>
            <w:tcW w:w="985" w:type="dxa"/>
          </w:tcPr>
          <w:p w:rsidR="006F0A0D" w:rsidRPr="00EF710C" w:rsidRDefault="006F0A0D" w:rsidP="00EF710C">
            <w:pPr>
              <w:rPr>
                <w:rFonts w:ascii="Arial" w:hAnsi="Arial" w:cs="Arial"/>
                <w:sz w:val="20"/>
                <w:szCs w:val="20"/>
              </w:rPr>
            </w:pPr>
            <w:r w:rsidRPr="00EF710C">
              <w:rPr>
                <w:rFonts w:ascii="Arial" w:hAnsi="Arial" w:cs="Arial"/>
                <w:sz w:val="20"/>
                <w:szCs w:val="20"/>
              </w:rPr>
              <w:t>EVS385</w:t>
            </w:r>
          </w:p>
        </w:tc>
        <w:tc>
          <w:tcPr>
            <w:tcW w:w="2219"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Studies Seminar</w:t>
            </w:r>
          </w:p>
        </w:tc>
        <w:tc>
          <w:tcPr>
            <w:tcW w:w="1753" w:type="dxa"/>
          </w:tcPr>
          <w:p w:rsidR="006F0A0D"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6F0A0D" w:rsidRPr="00EF710C" w:rsidRDefault="006F0A0D" w:rsidP="00EF710C">
            <w:pPr>
              <w:rPr>
                <w:rFonts w:ascii="Arial" w:hAnsi="Arial" w:cs="Arial"/>
                <w:sz w:val="20"/>
                <w:szCs w:val="20"/>
              </w:rPr>
            </w:pPr>
            <w:r w:rsidRPr="00EF710C">
              <w:rPr>
                <w:rFonts w:ascii="Arial" w:hAnsi="Arial" w:cs="Arial"/>
                <w:sz w:val="20"/>
                <w:szCs w:val="20"/>
              </w:rPr>
              <w:t xml:space="preserve">The Environmental Studies Seminar brings together upper-division students and faculty from at least two disciplines to study and discuss an environmental issue from multiple perspectives. </w:t>
            </w:r>
            <w:r w:rsidRPr="00EF710C">
              <w:rPr>
                <w:rFonts w:ascii="Arial" w:hAnsi="Arial" w:cs="Arial"/>
                <w:sz w:val="20"/>
                <w:szCs w:val="20"/>
              </w:rPr>
              <w:t xml:space="preserve">Current Topic: </w:t>
            </w:r>
            <w:r w:rsidRPr="00EF710C">
              <w:rPr>
                <w:rFonts w:ascii="Arial" w:hAnsi="Arial" w:cs="Arial"/>
                <w:sz w:val="20"/>
                <w:szCs w:val="20"/>
              </w:rPr>
              <w:t>Food Systems</w:t>
            </w:r>
            <w:r w:rsidRPr="00EF710C">
              <w:rPr>
                <w:rFonts w:ascii="Arial" w:hAnsi="Arial" w:cs="Arial"/>
                <w:sz w:val="20"/>
                <w:szCs w:val="20"/>
              </w:rPr>
              <w:t xml:space="preserve"> and Food Justice</w:t>
            </w:r>
            <w:r w:rsidRPr="00EF710C">
              <w:rPr>
                <w:rFonts w:ascii="Arial" w:hAnsi="Arial" w:cs="Arial"/>
                <w:sz w:val="20"/>
                <w:szCs w:val="20"/>
              </w:rPr>
              <w:t>. Sustainable Practices and Environmental Conscience Capability course.</w:t>
            </w:r>
          </w:p>
        </w:tc>
        <w:tc>
          <w:tcPr>
            <w:tcW w:w="2473" w:type="dxa"/>
          </w:tcPr>
          <w:p w:rsidR="006F0A0D" w:rsidRPr="00EF710C" w:rsidRDefault="00B54BC5" w:rsidP="00EF710C">
            <w:pPr>
              <w:jc w:val="center"/>
              <w:rPr>
                <w:rFonts w:ascii="Arial" w:hAnsi="Arial" w:cs="Arial"/>
                <w:sz w:val="24"/>
                <w:szCs w:val="24"/>
              </w:rPr>
            </w:pPr>
            <w:r w:rsidRPr="00EF710C">
              <w:rPr>
                <w:rFonts w:ascii="Arial" w:hAnsi="Arial" w:cs="Arial"/>
                <w:sz w:val="24"/>
                <w:szCs w:val="24"/>
              </w:rPr>
              <w:t>X</w:t>
            </w:r>
          </w:p>
        </w:tc>
        <w:tc>
          <w:tcPr>
            <w:tcW w:w="2473" w:type="dxa"/>
          </w:tcPr>
          <w:p w:rsidR="006F0A0D" w:rsidRPr="00EF710C" w:rsidRDefault="006F0A0D" w:rsidP="00EF710C">
            <w:pPr>
              <w:jc w:val="center"/>
              <w:rPr>
                <w:rFonts w:ascii="Arial" w:hAnsi="Arial" w:cs="Arial"/>
                <w:sz w:val="24"/>
                <w:szCs w:val="24"/>
              </w:rPr>
            </w:pPr>
          </w:p>
        </w:tc>
      </w:tr>
      <w:tr w:rsidR="00EF710C" w:rsidRPr="00EF710C" w:rsidTr="00EF710C">
        <w:trPr>
          <w:trHeight w:val="1592"/>
        </w:trPr>
        <w:tc>
          <w:tcPr>
            <w:tcW w:w="985" w:type="dxa"/>
          </w:tcPr>
          <w:p w:rsidR="00432C51" w:rsidRPr="00EF710C" w:rsidRDefault="006F0A0D" w:rsidP="00EF710C">
            <w:pPr>
              <w:rPr>
                <w:rFonts w:ascii="Arial" w:hAnsi="Arial" w:cs="Arial"/>
                <w:sz w:val="20"/>
                <w:szCs w:val="20"/>
              </w:rPr>
            </w:pPr>
            <w:r w:rsidRPr="00EF710C">
              <w:rPr>
                <w:rFonts w:ascii="Arial" w:hAnsi="Arial" w:cs="Arial"/>
                <w:sz w:val="20"/>
                <w:szCs w:val="20"/>
              </w:rPr>
              <w:t>EVS426</w:t>
            </w:r>
          </w:p>
        </w:tc>
        <w:tc>
          <w:tcPr>
            <w:tcW w:w="2219" w:type="dxa"/>
          </w:tcPr>
          <w:p w:rsidR="00432C51" w:rsidRPr="00EF710C" w:rsidRDefault="006F0A0D" w:rsidP="00EF710C">
            <w:pPr>
              <w:rPr>
                <w:rFonts w:ascii="Arial" w:hAnsi="Arial" w:cs="Arial"/>
                <w:sz w:val="20"/>
                <w:szCs w:val="20"/>
              </w:rPr>
            </w:pPr>
            <w:r w:rsidRPr="00EF710C">
              <w:rPr>
                <w:rFonts w:ascii="Arial" w:hAnsi="Arial" w:cs="Arial"/>
                <w:sz w:val="20"/>
                <w:szCs w:val="20"/>
              </w:rPr>
              <w:t>Environmental Studies Capstone</w:t>
            </w:r>
          </w:p>
        </w:tc>
        <w:tc>
          <w:tcPr>
            <w:tcW w:w="1753" w:type="dxa"/>
          </w:tcPr>
          <w:p w:rsidR="00432C51"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EF710C" w:rsidRPr="00EF710C" w:rsidRDefault="00EF710C" w:rsidP="00EF710C">
            <w:pPr>
              <w:rPr>
                <w:rFonts w:ascii="Arial" w:eastAsia="Times New Roman" w:hAnsi="Arial" w:cs="Arial"/>
                <w:color w:val="222222"/>
                <w:sz w:val="20"/>
                <w:szCs w:val="20"/>
              </w:rPr>
            </w:pPr>
            <w:r w:rsidRPr="00EF710C">
              <w:rPr>
                <w:rFonts w:ascii="Arial" w:hAnsi="Arial" w:cs="Arial"/>
                <w:color w:val="222222"/>
                <w:sz w:val="20"/>
                <w:szCs w:val="20"/>
              </w:rPr>
              <w:t xml:space="preserve">The Senior Capstone in Environmental Studies brings advanced environmental studies students together to solve local environmental problems. Under the guidance of your professor/advisor (and potentially a site mentor/collaborator as well), you will work collaboratively (and in special cases, individually), on an environmental project that benefits your community (campus, town of Eureka, or in special cases, your hometown).  Applying your knowledge and skills in the area of environmental studies, you will be expected to research and characterize the problem, analyze possible solutions, and publicly present the results in an </w:t>
            </w:r>
            <w:r w:rsidRPr="00EF710C">
              <w:rPr>
                <w:rFonts w:ascii="Arial" w:hAnsi="Arial" w:cs="Arial"/>
                <w:color w:val="222222"/>
                <w:sz w:val="20"/>
                <w:szCs w:val="20"/>
              </w:rPr>
              <w:lastRenderedPageBreak/>
              <w:t>appropriate format</w:t>
            </w:r>
            <w:r w:rsidRPr="00EF710C">
              <w:rPr>
                <w:rFonts w:ascii="Arial" w:hAnsi="Arial" w:cs="Arial"/>
                <w:sz w:val="20"/>
                <w:szCs w:val="20"/>
              </w:rPr>
              <w:t>.</w:t>
            </w:r>
            <w:r w:rsidRPr="00EF710C">
              <w:rPr>
                <w:rFonts w:ascii="Arial" w:eastAsia="Times New Roman" w:hAnsi="Arial" w:cs="Arial"/>
                <w:color w:val="222222"/>
                <w:sz w:val="20"/>
                <w:szCs w:val="20"/>
              </w:rPr>
              <w:t xml:space="preserve"> The sustainable practices and environmental conscience competency will be strengthened through environmental problem solving on campus and/or in our local community.</w:t>
            </w:r>
          </w:p>
          <w:p w:rsidR="00432C51" w:rsidRPr="00EF710C" w:rsidRDefault="00432C51" w:rsidP="00EF710C">
            <w:pPr>
              <w:rPr>
                <w:rFonts w:ascii="Arial" w:hAnsi="Arial" w:cs="Arial"/>
                <w:sz w:val="20"/>
                <w:szCs w:val="20"/>
              </w:rPr>
            </w:pPr>
          </w:p>
        </w:tc>
        <w:tc>
          <w:tcPr>
            <w:tcW w:w="2473" w:type="dxa"/>
          </w:tcPr>
          <w:p w:rsidR="00432C51" w:rsidRPr="00EF710C" w:rsidRDefault="00740A12" w:rsidP="00EF710C">
            <w:pPr>
              <w:jc w:val="center"/>
              <w:rPr>
                <w:rFonts w:ascii="Arial" w:hAnsi="Arial" w:cs="Arial"/>
                <w:sz w:val="24"/>
                <w:szCs w:val="24"/>
              </w:rPr>
            </w:pPr>
            <w:r w:rsidRPr="00EF710C">
              <w:rPr>
                <w:rFonts w:ascii="Arial" w:hAnsi="Arial" w:cs="Arial"/>
                <w:sz w:val="24"/>
                <w:szCs w:val="24"/>
              </w:rPr>
              <w:lastRenderedPageBreak/>
              <w:t>X</w:t>
            </w:r>
          </w:p>
        </w:tc>
        <w:tc>
          <w:tcPr>
            <w:tcW w:w="2473" w:type="dxa"/>
          </w:tcPr>
          <w:p w:rsidR="00432C51" w:rsidRPr="00EF710C" w:rsidRDefault="00432C51" w:rsidP="00EF710C">
            <w:pPr>
              <w:jc w:val="center"/>
              <w:rPr>
                <w:rFonts w:ascii="Arial" w:hAnsi="Arial" w:cs="Arial"/>
                <w:sz w:val="24"/>
                <w:szCs w:val="24"/>
              </w:rPr>
            </w:pPr>
          </w:p>
        </w:tc>
      </w:tr>
      <w:tr w:rsidR="00EF710C" w:rsidRPr="00EF710C" w:rsidTr="00EF710C">
        <w:trPr>
          <w:trHeight w:val="1592"/>
        </w:trPr>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HIS225</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Global Environmental History</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History</w:t>
            </w:r>
          </w:p>
        </w:tc>
        <w:tc>
          <w:tcPr>
            <w:tcW w:w="4132" w:type="dxa"/>
          </w:tcPr>
          <w:p w:rsidR="00DA0004" w:rsidRPr="00EF710C" w:rsidRDefault="00432C51" w:rsidP="00EF710C">
            <w:pPr>
              <w:rPr>
                <w:rFonts w:ascii="Arial" w:hAnsi="Arial" w:cs="Arial"/>
                <w:sz w:val="20"/>
                <w:szCs w:val="20"/>
              </w:rPr>
            </w:pPr>
            <w:r w:rsidRPr="00EF710C">
              <w:rPr>
                <w:rFonts w:ascii="Arial" w:hAnsi="Arial" w:cs="Arial"/>
                <w:sz w:val="20"/>
                <w:szCs w:val="20"/>
              </w:rPr>
              <w:t>Survey of twentieth-century environmental history presented as a new historical era, the Anthropocene. Focus on industrialization, legacies of imperialism, issues of development, and resource distribution. Examination of the interrelationship between political, economic, social and environmental injustice.</w:t>
            </w: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c>
          <w:tcPr>
            <w:tcW w:w="2473" w:type="dxa"/>
          </w:tcPr>
          <w:p w:rsidR="00DA0004" w:rsidRPr="00EF710C" w:rsidRDefault="00DA0004" w:rsidP="00EF710C">
            <w:pPr>
              <w:jc w:val="center"/>
              <w:rPr>
                <w:rFonts w:ascii="Arial" w:hAnsi="Arial" w:cs="Arial"/>
                <w:sz w:val="24"/>
                <w:szCs w:val="24"/>
              </w:rPr>
            </w:pP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ECC101</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Environmental Racism</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Environmental Science/Studies</w:t>
            </w:r>
          </w:p>
        </w:tc>
        <w:tc>
          <w:tcPr>
            <w:tcW w:w="4132" w:type="dxa"/>
          </w:tcPr>
          <w:p w:rsidR="00DA0004" w:rsidRPr="00EF710C" w:rsidRDefault="00861691" w:rsidP="00EF710C">
            <w:pPr>
              <w:rPr>
                <w:rFonts w:ascii="Arial" w:hAnsi="Arial" w:cs="Arial"/>
                <w:sz w:val="20"/>
                <w:szCs w:val="20"/>
              </w:rPr>
            </w:pPr>
            <w:r w:rsidRPr="00EF710C">
              <w:rPr>
                <w:rFonts w:ascii="Arial" w:eastAsia="Times New Roman" w:hAnsi="Arial" w:cs="Arial"/>
                <w:color w:val="222222"/>
                <w:sz w:val="20"/>
                <w:szCs w:val="20"/>
              </w:rPr>
              <w:t>This course examines the concepts of environmental justice and environmental racism. Students will examine the challenges and controversies associated with the unequal distribution of environmental contamination and hazards across communities. This course will demonstrate evidence to the statistics that people who live, work, and play in America’s most polluted environments are commonly people of color and the poor, hence the term “environmental racism”. We will explore the social, industrial, and political forces that create inequitable burdens of environmental pollution as well as movements to address and reduce such burdens.</w:t>
            </w:r>
          </w:p>
        </w:tc>
        <w:tc>
          <w:tcPr>
            <w:tcW w:w="2473" w:type="dxa"/>
          </w:tcPr>
          <w:p w:rsidR="00DA0004" w:rsidRPr="00EF710C" w:rsidRDefault="00DA0004" w:rsidP="00EF710C">
            <w:pPr>
              <w:jc w:val="center"/>
              <w:rPr>
                <w:rFonts w:ascii="Arial" w:hAnsi="Arial" w:cs="Arial"/>
                <w:sz w:val="24"/>
                <w:szCs w:val="24"/>
              </w:rPr>
            </w:pP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ECC101</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Environmental Justice</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History/Political Science</w:t>
            </w:r>
          </w:p>
        </w:tc>
        <w:tc>
          <w:tcPr>
            <w:tcW w:w="4132" w:type="dxa"/>
          </w:tcPr>
          <w:p w:rsidR="00DA0004" w:rsidRPr="00EF710C" w:rsidRDefault="00861691" w:rsidP="00EF710C">
            <w:pPr>
              <w:rPr>
                <w:rFonts w:ascii="Arial" w:hAnsi="Arial" w:cs="Arial"/>
                <w:sz w:val="20"/>
                <w:szCs w:val="20"/>
              </w:rPr>
            </w:pPr>
            <w:r w:rsidRPr="00861691">
              <w:rPr>
                <w:rFonts w:ascii="Arial" w:eastAsia="Times New Roman" w:hAnsi="Arial" w:cs="Arial"/>
                <w:sz w:val="20"/>
                <w:szCs w:val="20"/>
              </w:rPr>
              <w:t>This class will examine how space and place affects human and environmental well-being.   We will also investigate your own relationship to the natural world.</w:t>
            </w:r>
            <w:r w:rsidR="00EF710C">
              <w:rPr>
                <w:rFonts w:ascii="Arial" w:eastAsia="Times New Roman" w:hAnsi="Arial" w:cs="Arial"/>
                <w:sz w:val="20"/>
                <w:szCs w:val="20"/>
              </w:rPr>
              <w:t xml:space="preserve"> </w:t>
            </w:r>
            <w:r w:rsidRPr="00861691">
              <w:rPr>
                <w:rFonts w:ascii="Arial" w:eastAsia="Times New Roman" w:hAnsi="Arial" w:cs="Arial"/>
                <w:sz w:val="20"/>
                <w:szCs w:val="20"/>
              </w:rPr>
              <w:t xml:space="preserve">By taking this course you will develop a critical understanding of what constitutes environmental privilege and oppression by </w:t>
            </w:r>
            <w:r w:rsidRPr="00861691">
              <w:rPr>
                <w:rFonts w:ascii="Arial" w:eastAsia="Times New Roman" w:hAnsi="Arial" w:cs="Arial"/>
                <w:sz w:val="20"/>
                <w:szCs w:val="20"/>
              </w:rPr>
              <w:lastRenderedPageBreak/>
              <w:t xml:space="preserve">examining the historical roots of current, persistent, environmental inequalities across the globe. What are the historical roots of environmental inequality? Is social justice essential to, or at odds with efforts to build a sustainable world?  Additionally, we will investigate these issues through a personal lens.  </w:t>
            </w: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lastRenderedPageBreak/>
              <w:t>X</w:t>
            </w:r>
          </w:p>
        </w:tc>
        <w:tc>
          <w:tcPr>
            <w:tcW w:w="2473" w:type="dxa"/>
          </w:tcPr>
          <w:p w:rsidR="00DA0004" w:rsidRPr="00EF710C" w:rsidRDefault="00DA0004" w:rsidP="00EF710C">
            <w:pPr>
              <w:jc w:val="center"/>
              <w:rPr>
                <w:rFonts w:ascii="Arial" w:hAnsi="Arial" w:cs="Arial"/>
                <w:sz w:val="24"/>
                <w:szCs w:val="24"/>
              </w:rPr>
            </w:pP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ENG264</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Nature Writing: A Field Course</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English</w:t>
            </w:r>
          </w:p>
        </w:tc>
        <w:tc>
          <w:tcPr>
            <w:tcW w:w="4132" w:type="dxa"/>
          </w:tcPr>
          <w:p w:rsidR="00DA0004" w:rsidRPr="00EF710C" w:rsidRDefault="006F0A0D" w:rsidP="00EF710C">
            <w:pPr>
              <w:rPr>
                <w:rFonts w:ascii="Arial" w:hAnsi="Arial" w:cs="Arial"/>
                <w:sz w:val="20"/>
                <w:szCs w:val="20"/>
              </w:rPr>
            </w:pPr>
            <w:r w:rsidRPr="00EF710C">
              <w:rPr>
                <w:rFonts w:ascii="Arial" w:hAnsi="Arial" w:cs="Arial"/>
                <w:sz w:val="20"/>
                <w:szCs w:val="20"/>
              </w:rPr>
              <w:t>Writing workshop focused on the single topic of nature, stressing invention, production, revision, and peer- as well as self-evaluation of writing in a variety of genres and its production. Class presentations and discussions of works in progress. As a field course, much of the instructional time will be spent outdoors. Lecture. Sustainable Practices and Environmental Conscience Capability course.</w:t>
            </w:r>
          </w:p>
        </w:tc>
        <w:tc>
          <w:tcPr>
            <w:tcW w:w="2473" w:type="dxa"/>
          </w:tcPr>
          <w:p w:rsidR="00DA0004" w:rsidRPr="00EF710C" w:rsidRDefault="00DA0004" w:rsidP="00EF710C">
            <w:pPr>
              <w:jc w:val="center"/>
              <w:rPr>
                <w:rFonts w:ascii="Arial" w:hAnsi="Arial" w:cs="Arial"/>
                <w:sz w:val="24"/>
                <w:szCs w:val="24"/>
              </w:rPr>
            </w:pP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ENG274</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American Nature Writers</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English</w:t>
            </w:r>
          </w:p>
        </w:tc>
        <w:tc>
          <w:tcPr>
            <w:tcW w:w="4132" w:type="dxa"/>
          </w:tcPr>
          <w:p w:rsidR="00DA0004" w:rsidRPr="00EF710C" w:rsidRDefault="006F0A0D" w:rsidP="00EF710C">
            <w:pPr>
              <w:rPr>
                <w:rFonts w:ascii="Arial" w:hAnsi="Arial" w:cs="Arial"/>
                <w:sz w:val="20"/>
                <w:szCs w:val="20"/>
              </w:rPr>
            </w:pPr>
            <w:r w:rsidRPr="00EF710C">
              <w:rPr>
                <w:rFonts w:ascii="Arial" w:hAnsi="Arial" w:cs="Arial"/>
                <w:sz w:val="20"/>
                <w:szCs w:val="20"/>
              </w:rPr>
              <w:t>A survey of the nature writing of American authors, beginning with Thoreau and moving into the present. Lecture. Sustainable Practices and Environmental Conscious Capability course.</w:t>
            </w:r>
          </w:p>
        </w:tc>
        <w:tc>
          <w:tcPr>
            <w:tcW w:w="2473" w:type="dxa"/>
          </w:tcPr>
          <w:p w:rsidR="00DA0004" w:rsidRPr="00EF710C" w:rsidRDefault="00DA0004" w:rsidP="00EF710C">
            <w:pPr>
              <w:jc w:val="center"/>
              <w:rPr>
                <w:rFonts w:ascii="Arial" w:hAnsi="Arial" w:cs="Arial"/>
                <w:sz w:val="24"/>
                <w:szCs w:val="24"/>
              </w:rPr>
            </w:pP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BU</w:t>
            </w:r>
            <w:r w:rsidR="00740A12" w:rsidRPr="00EF710C">
              <w:rPr>
                <w:rFonts w:ascii="Arial" w:hAnsi="Arial" w:cs="Arial"/>
                <w:sz w:val="20"/>
                <w:szCs w:val="20"/>
              </w:rPr>
              <w:t>A312</w:t>
            </w:r>
          </w:p>
        </w:tc>
        <w:tc>
          <w:tcPr>
            <w:tcW w:w="2219" w:type="dxa"/>
          </w:tcPr>
          <w:p w:rsidR="00DA0004" w:rsidRPr="00EF710C" w:rsidRDefault="00740A12" w:rsidP="00EF710C">
            <w:pPr>
              <w:rPr>
                <w:rFonts w:ascii="Arial" w:hAnsi="Arial" w:cs="Arial"/>
                <w:sz w:val="20"/>
                <w:szCs w:val="20"/>
              </w:rPr>
            </w:pPr>
            <w:r w:rsidRPr="00EF710C">
              <w:rPr>
                <w:rFonts w:ascii="Arial" w:hAnsi="Arial" w:cs="Arial"/>
                <w:sz w:val="20"/>
                <w:szCs w:val="20"/>
              </w:rPr>
              <w:t>Business Ethics and Social Responsibility</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Business</w:t>
            </w:r>
          </w:p>
        </w:tc>
        <w:tc>
          <w:tcPr>
            <w:tcW w:w="4132" w:type="dxa"/>
          </w:tcPr>
          <w:p w:rsidR="00DA0004" w:rsidRPr="00EF710C" w:rsidRDefault="00740A12" w:rsidP="00EF710C">
            <w:pPr>
              <w:rPr>
                <w:rFonts w:ascii="Arial" w:hAnsi="Arial" w:cs="Arial"/>
                <w:sz w:val="20"/>
                <w:szCs w:val="20"/>
              </w:rPr>
            </w:pPr>
            <w:r w:rsidRPr="00EF710C">
              <w:rPr>
                <w:rFonts w:ascii="Arial" w:hAnsi="Arial" w:cs="Arial"/>
                <w:sz w:val="20"/>
                <w:szCs w:val="20"/>
              </w:rPr>
              <w:t>A series of case studies that examines the range of corporate responsibility from economic to legal, ethical and finally to philanthropic behavior in today’s business environment. Special emphasis is placed upon the examination of the consumer movement, community relations, environmental issues and workplace diversity as areas of dilemma for the corporate executive trying to balance social responsibility and profitability.</w:t>
            </w:r>
          </w:p>
        </w:tc>
        <w:tc>
          <w:tcPr>
            <w:tcW w:w="2473" w:type="dxa"/>
          </w:tcPr>
          <w:p w:rsidR="00DA0004" w:rsidRPr="00EF710C" w:rsidRDefault="00DA0004" w:rsidP="00EF710C">
            <w:pPr>
              <w:jc w:val="center"/>
              <w:rPr>
                <w:rFonts w:ascii="Arial" w:hAnsi="Arial" w:cs="Arial"/>
                <w:sz w:val="24"/>
                <w:szCs w:val="24"/>
              </w:rPr>
            </w:pP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740A12" w:rsidRPr="00EF710C" w:rsidRDefault="00740A12" w:rsidP="00EF710C">
            <w:pPr>
              <w:rPr>
                <w:rFonts w:ascii="Arial" w:hAnsi="Arial" w:cs="Arial"/>
                <w:sz w:val="20"/>
                <w:szCs w:val="20"/>
              </w:rPr>
            </w:pPr>
            <w:r w:rsidRPr="00EF710C">
              <w:rPr>
                <w:rFonts w:ascii="Arial" w:hAnsi="Arial" w:cs="Arial"/>
                <w:sz w:val="20"/>
                <w:szCs w:val="20"/>
              </w:rPr>
              <w:t>BIO380</w:t>
            </w:r>
          </w:p>
        </w:tc>
        <w:tc>
          <w:tcPr>
            <w:tcW w:w="2219" w:type="dxa"/>
          </w:tcPr>
          <w:p w:rsidR="00740A12" w:rsidRPr="00EF710C" w:rsidRDefault="00740A12" w:rsidP="00EF710C">
            <w:pPr>
              <w:rPr>
                <w:rFonts w:ascii="Arial" w:hAnsi="Arial" w:cs="Arial"/>
                <w:sz w:val="20"/>
                <w:szCs w:val="20"/>
              </w:rPr>
            </w:pPr>
            <w:r w:rsidRPr="00EF710C">
              <w:rPr>
                <w:rFonts w:ascii="Arial" w:hAnsi="Arial" w:cs="Arial"/>
                <w:sz w:val="20"/>
                <w:szCs w:val="20"/>
              </w:rPr>
              <w:t>Wildlife in America</w:t>
            </w:r>
          </w:p>
        </w:tc>
        <w:tc>
          <w:tcPr>
            <w:tcW w:w="1753" w:type="dxa"/>
          </w:tcPr>
          <w:p w:rsidR="00740A12" w:rsidRPr="00EF710C" w:rsidRDefault="00740A12" w:rsidP="00EF710C">
            <w:pPr>
              <w:rPr>
                <w:rFonts w:ascii="Arial" w:hAnsi="Arial" w:cs="Arial"/>
                <w:sz w:val="20"/>
                <w:szCs w:val="20"/>
              </w:rPr>
            </w:pPr>
            <w:r w:rsidRPr="00EF710C">
              <w:rPr>
                <w:rFonts w:ascii="Arial" w:hAnsi="Arial" w:cs="Arial"/>
                <w:sz w:val="20"/>
                <w:szCs w:val="20"/>
              </w:rPr>
              <w:t>Biology</w:t>
            </w:r>
          </w:p>
        </w:tc>
        <w:tc>
          <w:tcPr>
            <w:tcW w:w="4132" w:type="dxa"/>
          </w:tcPr>
          <w:p w:rsidR="00740A12" w:rsidRPr="00EF710C" w:rsidRDefault="00EF710C" w:rsidP="00EF710C">
            <w:pPr>
              <w:rPr>
                <w:rFonts w:ascii="Arial" w:hAnsi="Arial" w:cs="Arial"/>
                <w:sz w:val="20"/>
                <w:szCs w:val="20"/>
              </w:rPr>
            </w:pPr>
            <w:r>
              <w:rPr>
                <w:rFonts w:ascii="Arial" w:hAnsi="Arial" w:cs="Arial"/>
                <w:sz w:val="20"/>
                <w:szCs w:val="20"/>
              </w:rPr>
              <w:t xml:space="preserve"> This field-based course will focus on conservation and biology of wildlife found in North America.  </w:t>
            </w:r>
          </w:p>
        </w:tc>
        <w:tc>
          <w:tcPr>
            <w:tcW w:w="2473" w:type="dxa"/>
          </w:tcPr>
          <w:p w:rsidR="00740A12" w:rsidRPr="00EF710C" w:rsidRDefault="00740A12" w:rsidP="00EF710C">
            <w:pPr>
              <w:jc w:val="center"/>
              <w:rPr>
                <w:rFonts w:ascii="Arial" w:hAnsi="Arial" w:cs="Arial"/>
                <w:sz w:val="24"/>
                <w:szCs w:val="24"/>
              </w:rPr>
            </w:pPr>
          </w:p>
        </w:tc>
        <w:tc>
          <w:tcPr>
            <w:tcW w:w="2473" w:type="dxa"/>
          </w:tcPr>
          <w:p w:rsidR="00740A12"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BIO300</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Ecology</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Biology</w:t>
            </w:r>
          </w:p>
        </w:tc>
        <w:tc>
          <w:tcPr>
            <w:tcW w:w="4132" w:type="dxa"/>
          </w:tcPr>
          <w:p w:rsidR="00DA0004" w:rsidRPr="00EF710C" w:rsidRDefault="00740A12" w:rsidP="00EF710C">
            <w:pPr>
              <w:rPr>
                <w:rFonts w:ascii="Arial" w:hAnsi="Arial" w:cs="Arial"/>
                <w:sz w:val="20"/>
                <w:szCs w:val="20"/>
              </w:rPr>
            </w:pPr>
            <w:r w:rsidRPr="00EF710C">
              <w:rPr>
                <w:rFonts w:ascii="Arial" w:hAnsi="Arial" w:cs="Arial"/>
                <w:sz w:val="20"/>
                <w:szCs w:val="20"/>
              </w:rPr>
              <w:t xml:space="preserve">Scientific study of the factors affecting organismal distribution and abundance. </w:t>
            </w:r>
            <w:r w:rsidRPr="00EF710C">
              <w:rPr>
                <w:rFonts w:ascii="Arial" w:hAnsi="Arial" w:cs="Arial"/>
                <w:sz w:val="20"/>
                <w:szCs w:val="20"/>
              </w:rPr>
              <w:lastRenderedPageBreak/>
              <w:t>Topics include dispersal, habitat selection, population growth, population interactions, community structure, nutrient cycling and energy flow.</w:t>
            </w:r>
          </w:p>
        </w:tc>
        <w:tc>
          <w:tcPr>
            <w:tcW w:w="2473" w:type="dxa"/>
          </w:tcPr>
          <w:p w:rsidR="00DA0004" w:rsidRPr="00EF710C" w:rsidRDefault="00DA0004" w:rsidP="00EF710C">
            <w:pPr>
              <w:jc w:val="center"/>
              <w:rPr>
                <w:rFonts w:ascii="Arial" w:hAnsi="Arial" w:cs="Arial"/>
                <w:sz w:val="24"/>
                <w:szCs w:val="24"/>
              </w:rPr>
            </w:pP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CHEM131</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General Chemistry I</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Chemistry</w:t>
            </w:r>
          </w:p>
        </w:tc>
        <w:tc>
          <w:tcPr>
            <w:tcW w:w="4132" w:type="dxa"/>
          </w:tcPr>
          <w:p w:rsidR="00DA0004" w:rsidRPr="00EF710C" w:rsidRDefault="00740A12" w:rsidP="00EF710C">
            <w:pPr>
              <w:rPr>
                <w:rFonts w:ascii="Arial" w:hAnsi="Arial" w:cs="Arial"/>
                <w:sz w:val="20"/>
                <w:szCs w:val="20"/>
              </w:rPr>
            </w:pPr>
            <w:r w:rsidRPr="00EF710C">
              <w:rPr>
                <w:rFonts w:ascii="Arial" w:hAnsi="Arial" w:cs="Arial"/>
                <w:sz w:val="20"/>
                <w:szCs w:val="20"/>
              </w:rPr>
              <w:t>Examines the nature of matter: atomic and molecular structure, chemical bonding, gas laws, chemical reactions, and stoichiometry. Lecture and Laboratory. Sustainable Practices and Environmental Conscience Capability course.</w:t>
            </w:r>
          </w:p>
        </w:tc>
        <w:tc>
          <w:tcPr>
            <w:tcW w:w="2473" w:type="dxa"/>
          </w:tcPr>
          <w:p w:rsidR="00DA0004" w:rsidRPr="00EF710C" w:rsidRDefault="00DA0004" w:rsidP="00EF710C">
            <w:pPr>
              <w:jc w:val="center"/>
              <w:rPr>
                <w:rFonts w:ascii="Arial" w:hAnsi="Arial" w:cs="Arial"/>
                <w:sz w:val="24"/>
                <w:szCs w:val="24"/>
              </w:rPr>
            </w:pP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CHM191</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Environmental Chemistry</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Chemistry</w:t>
            </w:r>
          </w:p>
        </w:tc>
        <w:tc>
          <w:tcPr>
            <w:tcW w:w="4132" w:type="dxa"/>
          </w:tcPr>
          <w:p w:rsidR="00DA0004" w:rsidRPr="00EF710C" w:rsidRDefault="00740A12" w:rsidP="00EF710C">
            <w:pPr>
              <w:rPr>
                <w:rFonts w:ascii="Arial" w:hAnsi="Arial" w:cs="Arial"/>
                <w:sz w:val="20"/>
                <w:szCs w:val="20"/>
              </w:rPr>
            </w:pPr>
            <w:r w:rsidRPr="00EF710C">
              <w:rPr>
                <w:rFonts w:ascii="Arial" w:hAnsi="Arial" w:cs="Arial"/>
                <w:sz w:val="20"/>
                <w:szCs w:val="20"/>
              </w:rPr>
              <w:t>Chemical concepts are covered and applied to understanding and analyzing current environmental issues including air and water pollution, nuclear power, energy usage, climate change, and recycling.</w:t>
            </w: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c>
          <w:tcPr>
            <w:tcW w:w="2473" w:type="dxa"/>
          </w:tcPr>
          <w:p w:rsidR="00DA0004" w:rsidRPr="00EF710C" w:rsidRDefault="00DA0004" w:rsidP="00EF710C">
            <w:pPr>
              <w:jc w:val="center"/>
              <w:rPr>
                <w:rFonts w:ascii="Arial" w:hAnsi="Arial" w:cs="Arial"/>
                <w:sz w:val="24"/>
                <w:szCs w:val="24"/>
              </w:rPr>
            </w:pP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ECC490</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Sustainable Food Systems</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History</w:t>
            </w:r>
          </w:p>
        </w:tc>
        <w:tc>
          <w:tcPr>
            <w:tcW w:w="4132" w:type="dxa"/>
          </w:tcPr>
          <w:p w:rsidR="00DA0004" w:rsidRPr="00EF710C" w:rsidRDefault="00861691" w:rsidP="00EF710C">
            <w:pPr>
              <w:rPr>
                <w:rFonts w:ascii="Arial" w:hAnsi="Arial" w:cs="Arial"/>
                <w:sz w:val="20"/>
                <w:szCs w:val="20"/>
              </w:rPr>
            </w:pPr>
            <w:r w:rsidRPr="00EF710C">
              <w:rPr>
                <w:rFonts w:ascii="Arial" w:hAnsi="Arial" w:cs="Arial"/>
                <w:sz w:val="20"/>
                <w:szCs w:val="20"/>
              </w:rPr>
              <w:t>This particular seminar focuses on our relationship to food. The food choices we make have economic, socio-political, environmental, and health outcomes that may be hidden from first glance (or bite). What do we eat? Where does it come from? How is it produced? Does it support our health? That of the environment? How are our food choices shaped by larger socio-political structures?</w:t>
            </w: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c>
          <w:tcPr>
            <w:tcW w:w="2473" w:type="dxa"/>
          </w:tcPr>
          <w:p w:rsidR="00DA0004" w:rsidRPr="00EF710C" w:rsidRDefault="00DA0004" w:rsidP="00EF710C">
            <w:pPr>
              <w:jc w:val="center"/>
              <w:rPr>
                <w:rFonts w:ascii="Arial" w:hAnsi="Arial" w:cs="Arial"/>
                <w:sz w:val="24"/>
                <w:szCs w:val="24"/>
              </w:rPr>
            </w:pP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ECC490</w:t>
            </w:r>
          </w:p>
        </w:tc>
        <w:tc>
          <w:tcPr>
            <w:tcW w:w="2219" w:type="dxa"/>
          </w:tcPr>
          <w:p w:rsidR="00DA0004" w:rsidRPr="00EF710C" w:rsidRDefault="00740A12" w:rsidP="00EF710C">
            <w:pPr>
              <w:rPr>
                <w:rFonts w:ascii="Arial" w:hAnsi="Arial" w:cs="Arial"/>
                <w:sz w:val="20"/>
                <w:szCs w:val="20"/>
              </w:rPr>
            </w:pPr>
            <w:r w:rsidRPr="00EF710C">
              <w:rPr>
                <w:rFonts w:ascii="Arial" w:hAnsi="Arial" w:cs="Arial"/>
                <w:sz w:val="20"/>
                <w:szCs w:val="20"/>
              </w:rPr>
              <w:t>Environmental Justice: Waste and Recycling</w:t>
            </w:r>
          </w:p>
        </w:tc>
        <w:tc>
          <w:tcPr>
            <w:tcW w:w="1753" w:type="dxa"/>
          </w:tcPr>
          <w:p w:rsidR="00DA0004" w:rsidRPr="00EF710C" w:rsidRDefault="00740A12" w:rsidP="00EF710C">
            <w:pPr>
              <w:rPr>
                <w:rFonts w:ascii="Arial" w:hAnsi="Arial" w:cs="Arial"/>
                <w:sz w:val="20"/>
                <w:szCs w:val="20"/>
              </w:rPr>
            </w:pPr>
            <w:r w:rsidRPr="00EF710C">
              <w:rPr>
                <w:rFonts w:ascii="Arial" w:hAnsi="Arial" w:cs="Arial"/>
                <w:sz w:val="20"/>
                <w:szCs w:val="20"/>
              </w:rPr>
              <w:t>Environmental Science and Studies</w:t>
            </w:r>
          </w:p>
        </w:tc>
        <w:tc>
          <w:tcPr>
            <w:tcW w:w="4132" w:type="dxa"/>
          </w:tcPr>
          <w:p w:rsidR="00DA0004" w:rsidRPr="00EF710C" w:rsidRDefault="00861691" w:rsidP="00EF710C">
            <w:pPr>
              <w:rPr>
                <w:rFonts w:ascii="Arial" w:hAnsi="Arial" w:cs="Arial"/>
                <w:sz w:val="20"/>
                <w:szCs w:val="20"/>
              </w:rPr>
            </w:pPr>
            <w:r w:rsidRPr="00EF710C">
              <w:rPr>
                <w:rFonts w:ascii="Arial" w:hAnsi="Arial" w:cs="Arial"/>
                <w:sz w:val="20"/>
                <w:szCs w:val="20"/>
              </w:rPr>
              <w:t>This course examines the history of waste management and resource recovery in the United States as an issue of environmental justice.  As a senior seminar, students will be called on to incorporate current political scenarios, relevant legislation and/or trade relationships relative to the course topic, and how global environmental issues like climate change may impact resource recovery in the future.  Students will also reflect on the impact of daily choices and single use plastics, as well as out take-make-toss culture in the US.</w:t>
            </w: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c>
          <w:tcPr>
            <w:tcW w:w="2473" w:type="dxa"/>
          </w:tcPr>
          <w:p w:rsidR="00DA0004" w:rsidRPr="00EF710C" w:rsidRDefault="00DA0004" w:rsidP="00EF710C">
            <w:pPr>
              <w:jc w:val="center"/>
              <w:rPr>
                <w:rFonts w:ascii="Arial" w:hAnsi="Arial" w:cs="Arial"/>
                <w:sz w:val="24"/>
                <w:szCs w:val="24"/>
              </w:rPr>
            </w:pPr>
          </w:p>
        </w:tc>
      </w:tr>
      <w:tr w:rsidR="00EF710C" w:rsidRPr="00EF710C" w:rsidTr="00EF710C">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ECO490W</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Environmental Economics</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Economics</w:t>
            </w:r>
          </w:p>
        </w:tc>
        <w:tc>
          <w:tcPr>
            <w:tcW w:w="4132" w:type="dxa"/>
          </w:tcPr>
          <w:p w:rsidR="00DA0004" w:rsidRPr="003960A3" w:rsidRDefault="00B54BC5" w:rsidP="00EF710C">
            <w:pPr>
              <w:rPr>
                <w:rFonts w:ascii="Arial" w:hAnsi="Arial" w:cs="Arial"/>
                <w:color w:val="000000" w:themeColor="text1"/>
                <w:sz w:val="20"/>
                <w:szCs w:val="20"/>
              </w:rPr>
            </w:pPr>
            <w:r w:rsidRPr="003960A3">
              <w:rPr>
                <w:rFonts w:ascii="Arial" w:hAnsi="Arial" w:cs="Arial"/>
                <w:color w:val="000000" w:themeColor="text1"/>
                <w:sz w:val="20"/>
                <w:szCs w:val="20"/>
              </w:rPr>
              <w:t xml:space="preserve">The course examines the continuing conflict between market forces and </w:t>
            </w:r>
            <w:r w:rsidRPr="003960A3">
              <w:rPr>
                <w:rFonts w:ascii="Arial" w:hAnsi="Arial" w:cs="Arial"/>
                <w:color w:val="000000" w:themeColor="text1"/>
                <w:sz w:val="20"/>
                <w:szCs w:val="20"/>
              </w:rPr>
              <w:lastRenderedPageBreak/>
              <w:t>environmental integrity and explains how economic theory views the relationship between economic activity and the natural world. Examples of local, regional, national, and international issues are presented and discussed.</w:t>
            </w:r>
          </w:p>
        </w:tc>
        <w:tc>
          <w:tcPr>
            <w:tcW w:w="2473" w:type="dxa"/>
          </w:tcPr>
          <w:p w:rsidR="00DA0004" w:rsidRPr="00EF710C" w:rsidRDefault="003960A3" w:rsidP="00EF710C">
            <w:pPr>
              <w:jc w:val="center"/>
              <w:rPr>
                <w:rFonts w:ascii="Arial" w:hAnsi="Arial" w:cs="Arial"/>
                <w:sz w:val="24"/>
                <w:szCs w:val="24"/>
              </w:rPr>
            </w:pPr>
            <w:r>
              <w:rPr>
                <w:rFonts w:ascii="Arial" w:hAnsi="Arial" w:cs="Arial"/>
                <w:sz w:val="24"/>
                <w:szCs w:val="24"/>
              </w:rPr>
              <w:lastRenderedPageBreak/>
              <w:t>X</w:t>
            </w:r>
            <w:bookmarkStart w:id="0" w:name="_GoBack"/>
            <w:bookmarkEnd w:id="0"/>
          </w:p>
        </w:tc>
        <w:tc>
          <w:tcPr>
            <w:tcW w:w="2473" w:type="dxa"/>
          </w:tcPr>
          <w:p w:rsidR="00DA0004" w:rsidRPr="00EF710C" w:rsidRDefault="00DA0004" w:rsidP="00EF710C">
            <w:pPr>
              <w:jc w:val="center"/>
              <w:rPr>
                <w:rFonts w:ascii="Arial" w:hAnsi="Arial" w:cs="Arial"/>
                <w:sz w:val="24"/>
                <w:szCs w:val="24"/>
              </w:rPr>
            </w:pPr>
          </w:p>
        </w:tc>
      </w:tr>
      <w:tr w:rsidR="00EF710C" w:rsidRPr="00EF710C" w:rsidTr="003960A3">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EDU351</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Language and Diversity in Education</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Education</w:t>
            </w:r>
          </w:p>
        </w:tc>
        <w:tc>
          <w:tcPr>
            <w:tcW w:w="4132" w:type="dxa"/>
            <w:shd w:val="clear" w:color="auto" w:fill="FFFFFF" w:themeFill="background1"/>
          </w:tcPr>
          <w:p w:rsidR="00DA0004" w:rsidRPr="003960A3" w:rsidRDefault="003960A3" w:rsidP="00EF710C">
            <w:pPr>
              <w:rPr>
                <w:rFonts w:ascii="Arial" w:hAnsi="Arial" w:cs="Arial"/>
                <w:color w:val="000000" w:themeColor="text1"/>
                <w:sz w:val="20"/>
                <w:szCs w:val="20"/>
              </w:rPr>
            </w:pPr>
            <w:r w:rsidRPr="003960A3">
              <w:rPr>
                <w:rFonts w:ascii="Arial" w:hAnsi="Arial" w:cs="Arial"/>
                <w:color w:val="000000" w:themeColor="text1"/>
                <w:sz w:val="20"/>
                <w:szCs w:val="20"/>
              </w:rPr>
              <w:t>T</w:t>
            </w:r>
            <w:r w:rsidRPr="003960A3">
              <w:rPr>
                <w:rFonts w:ascii="Arial" w:hAnsi="Arial" w:cs="Arial"/>
                <w:color w:val="000000" w:themeColor="text1"/>
                <w:sz w:val="20"/>
                <w:szCs w:val="20"/>
                <w:shd w:val="clear" w:color="auto" w:fill="EBEBEB"/>
              </w:rPr>
              <w:t xml:space="preserve">his course examines </w:t>
            </w:r>
            <w:r>
              <w:rPr>
                <w:rFonts w:ascii="Arial" w:hAnsi="Arial" w:cs="Arial"/>
                <w:color w:val="000000" w:themeColor="text1"/>
                <w:sz w:val="20"/>
                <w:szCs w:val="20"/>
                <w:shd w:val="clear" w:color="auto" w:fill="EBEBEB"/>
              </w:rPr>
              <w:t>linguistic a</w:t>
            </w:r>
            <w:r w:rsidRPr="003960A3">
              <w:rPr>
                <w:rFonts w:ascii="Arial" w:hAnsi="Arial" w:cs="Arial"/>
                <w:color w:val="000000" w:themeColor="text1"/>
                <w:sz w:val="20"/>
                <w:szCs w:val="20"/>
                <w:shd w:val="clear" w:color="auto" w:fill="EBEBEB"/>
              </w:rPr>
              <w:t>nd educational issues related to students who are members of minority groups including racial and ethnic minorities, immigrants and refugees, members of the LGBTQ+ community, members of religious minorities, and students from other marginalized groups.</w:t>
            </w:r>
            <w:r w:rsidR="00DA0004" w:rsidRPr="003960A3">
              <w:rPr>
                <w:rFonts w:ascii="Arial" w:hAnsi="Arial" w:cs="Arial"/>
                <w:color w:val="000000" w:themeColor="text1"/>
                <w:sz w:val="20"/>
                <w:szCs w:val="20"/>
              </w:rPr>
              <w:t xml:space="preserve"> </w:t>
            </w:r>
            <w:r>
              <w:rPr>
                <w:rFonts w:ascii="Arial" w:hAnsi="Arial" w:cs="Arial"/>
                <w:color w:val="000000" w:themeColor="text1"/>
                <w:sz w:val="20"/>
                <w:szCs w:val="20"/>
              </w:rPr>
              <w:t>This course will challenge students to think about the ethics of their cultural assumptions.</w:t>
            </w:r>
          </w:p>
        </w:tc>
        <w:tc>
          <w:tcPr>
            <w:tcW w:w="2473" w:type="dxa"/>
            <w:shd w:val="clear" w:color="auto" w:fill="auto"/>
          </w:tcPr>
          <w:p w:rsidR="00DA0004" w:rsidRPr="003960A3" w:rsidRDefault="00DA0004" w:rsidP="00EF710C">
            <w:pPr>
              <w:jc w:val="center"/>
              <w:rPr>
                <w:rFonts w:ascii="Arial" w:hAnsi="Arial" w:cs="Arial"/>
                <w:sz w:val="20"/>
                <w:szCs w:val="20"/>
              </w:rPr>
            </w:pP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r>
      <w:tr w:rsidR="00EF710C" w:rsidRPr="00EF710C" w:rsidTr="00EF710C">
        <w:trPr>
          <w:trHeight w:val="70"/>
        </w:trPr>
        <w:tc>
          <w:tcPr>
            <w:tcW w:w="985" w:type="dxa"/>
          </w:tcPr>
          <w:p w:rsidR="00DA0004" w:rsidRPr="00EF710C" w:rsidRDefault="00DA0004" w:rsidP="00EF710C">
            <w:pPr>
              <w:rPr>
                <w:rFonts w:ascii="Arial" w:hAnsi="Arial" w:cs="Arial"/>
                <w:sz w:val="20"/>
                <w:szCs w:val="20"/>
              </w:rPr>
            </w:pPr>
            <w:r w:rsidRPr="00EF710C">
              <w:rPr>
                <w:rFonts w:ascii="Arial" w:hAnsi="Arial" w:cs="Arial"/>
                <w:sz w:val="20"/>
                <w:szCs w:val="20"/>
              </w:rPr>
              <w:t>ART370</w:t>
            </w:r>
          </w:p>
        </w:tc>
        <w:tc>
          <w:tcPr>
            <w:tcW w:w="2219" w:type="dxa"/>
          </w:tcPr>
          <w:p w:rsidR="00DA0004" w:rsidRPr="00EF710C" w:rsidRDefault="00DA0004" w:rsidP="00EF710C">
            <w:pPr>
              <w:rPr>
                <w:rFonts w:ascii="Arial" w:hAnsi="Arial" w:cs="Arial"/>
                <w:sz w:val="20"/>
                <w:szCs w:val="20"/>
              </w:rPr>
            </w:pPr>
            <w:r w:rsidRPr="00EF710C">
              <w:rPr>
                <w:rFonts w:ascii="Arial" w:hAnsi="Arial" w:cs="Arial"/>
                <w:sz w:val="20"/>
                <w:szCs w:val="20"/>
              </w:rPr>
              <w:t>Environmentally-Based Art</w:t>
            </w:r>
          </w:p>
        </w:tc>
        <w:tc>
          <w:tcPr>
            <w:tcW w:w="1753" w:type="dxa"/>
          </w:tcPr>
          <w:p w:rsidR="00DA0004" w:rsidRPr="00EF710C" w:rsidRDefault="006F0A0D" w:rsidP="00EF710C">
            <w:pPr>
              <w:rPr>
                <w:rFonts w:ascii="Arial" w:hAnsi="Arial" w:cs="Arial"/>
                <w:sz w:val="20"/>
                <w:szCs w:val="20"/>
              </w:rPr>
            </w:pPr>
            <w:r w:rsidRPr="00EF710C">
              <w:rPr>
                <w:rFonts w:ascii="Arial" w:hAnsi="Arial" w:cs="Arial"/>
                <w:sz w:val="20"/>
                <w:szCs w:val="20"/>
              </w:rPr>
              <w:t>Art</w:t>
            </w:r>
          </w:p>
        </w:tc>
        <w:tc>
          <w:tcPr>
            <w:tcW w:w="4132" w:type="dxa"/>
          </w:tcPr>
          <w:p w:rsidR="00DA0004" w:rsidRPr="00EF710C" w:rsidRDefault="00861691" w:rsidP="00EF710C">
            <w:pPr>
              <w:rPr>
                <w:rFonts w:ascii="Arial" w:eastAsia="Tahoma" w:hAnsi="Arial" w:cs="Arial"/>
                <w:sz w:val="20"/>
                <w:szCs w:val="20"/>
              </w:rPr>
            </w:pPr>
            <w:r w:rsidRPr="00EF710C">
              <w:rPr>
                <w:rFonts w:ascii="Arial" w:eastAsia="Tahoma" w:hAnsi="Arial" w:cs="Arial"/>
                <w:sz w:val="20"/>
                <w:szCs w:val="20"/>
              </w:rPr>
              <w:t>We will study environmental topics and the ways in which art media is applied to address environmental concerns.  You will research and present information from sources such as the Science section of the New York Times, National Geographic &amp; Audubon Magazines, websites and videos. We will learn about significant environmental artists and explore different media choices.  Our Signature Assignment is to produce group projects that demonstrate how art can work to make a difference in increasing environmental awareness.</w:t>
            </w:r>
          </w:p>
        </w:tc>
        <w:tc>
          <w:tcPr>
            <w:tcW w:w="2473" w:type="dxa"/>
          </w:tcPr>
          <w:p w:rsidR="00DA0004" w:rsidRPr="00EF710C" w:rsidRDefault="00740A12" w:rsidP="00EF710C">
            <w:pPr>
              <w:jc w:val="center"/>
              <w:rPr>
                <w:rFonts w:ascii="Arial" w:hAnsi="Arial" w:cs="Arial"/>
                <w:sz w:val="24"/>
                <w:szCs w:val="24"/>
              </w:rPr>
            </w:pPr>
            <w:r w:rsidRPr="00EF710C">
              <w:rPr>
                <w:rFonts w:ascii="Arial" w:hAnsi="Arial" w:cs="Arial"/>
                <w:sz w:val="24"/>
                <w:szCs w:val="24"/>
              </w:rPr>
              <w:t>X</w:t>
            </w:r>
          </w:p>
        </w:tc>
        <w:tc>
          <w:tcPr>
            <w:tcW w:w="2473" w:type="dxa"/>
          </w:tcPr>
          <w:p w:rsidR="00DA0004" w:rsidRPr="00EF710C" w:rsidRDefault="00DA0004" w:rsidP="00EF710C">
            <w:pPr>
              <w:jc w:val="center"/>
              <w:rPr>
                <w:rFonts w:ascii="Arial" w:hAnsi="Arial" w:cs="Arial"/>
                <w:sz w:val="24"/>
                <w:szCs w:val="24"/>
              </w:rPr>
            </w:pPr>
          </w:p>
        </w:tc>
      </w:tr>
    </w:tbl>
    <w:p w:rsidR="00DA0004" w:rsidRPr="00EF710C" w:rsidRDefault="00DA0004" w:rsidP="00EF710C">
      <w:pPr>
        <w:rPr>
          <w:rFonts w:ascii="Arial" w:hAnsi="Arial" w:cs="Arial"/>
          <w:sz w:val="20"/>
          <w:szCs w:val="20"/>
        </w:rPr>
      </w:pPr>
    </w:p>
    <w:p w:rsidR="0090767B" w:rsidRPr="00EF710C" w:rsidRDefault="0090767B" w:rsidP="00EF710C">
      <w:pPr>
        <w:spacing w:after="0"/>
        <w:rPr>
          <w:rFonts w:ascii="Arial" w:hAnsi="Arial" w:cs="Arial"/>
          <w:sz w:val="20"/>
          <w:szCs w:val="20"/>
        </w:rPr>
      </w:pPr>
    </w:p>
    <w:sectPr w:rsidR="0090767B" w:rsidRPr="00EF710C" w:rsidSect="00DA0004">
      <w:pgSz w:w="15840" w:h="12240" w:orient="landscape"/>
      <w:pgMar w:top="1440" w:right="6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C4CFB"/>
    <w:multiLevelType w:val="hybridMultilevel"/>
    <w:tmpl w:val="CD0CF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7B"/>
    <w:rsid w:val="001760EC"/>
    <w:rsid w:val="003960A3"/>
    <w:rsid w:val="00432C51"/>
    <w:rsid w:val="00473422"/>
    <w:rsid w:val="006F0A0D"/>
    <w:rsid w:val="00740A12"/>
    <w:rsid w:val="00861691"/>
    <w:rsid w:val="0090767B"/>
    <w:rsid w:val="00B54BC5"/>
    <w:rsid w:val="00BD2BDA"/>
    <w:rsid w:val="00DA0004"/>
    <w:rsid w:val="00EF710C"/>
    <w:rsid w:val="00FA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E8F1"/>
  <w15:chartTrackingRefBased/>
  <w15:docId w15:val="{5718BFDE-8280-4D9D-B24D-2DA2004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767B"/>
    <w:rPr>
      <w:b/>
      <w:bCs/>
    </w:rPr>
  </w:style>
  <w:style w:type="paragraph" w:styleId="ListParagraph">
    <w:name w:val="List Paragraph"/>
    <w:basedOn w:val="Normal"/>
    <w:uiPriority w:val="34"/>
    <w:qFormat/>
    <w:rsid w:val="0090767B"/>
    <w:pPr>
      <w:ind w:left="720"/>
      <w:contextualSpacing/>
    </w:pPr>
  </w:style>
  <w:style w:type="paragraph" w:customStyle="1" w:styleId="m-7693870853699275526gmail-msolistparagraph">
    <w:name w:val="m_-7693870853699275526gmail-msolistparagraph"/>
    <w:basedOn w:val="Normal"/>
    <w:rsid w:val="004734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2019-05-13T20:15:00Z</dcterms:created>
  <dcterms:modified xsi:type="dcterms:W3CDTF">2019-05-13T20:15:00Z</dcterms:modified>
</cp:coreProperties>
</file>