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E9A77" w14:textId="1690730E" w:rsidR="00A91A0B" w:rsidRDefault="00211F23" w:rsidP="00211F23">
      <w:pPr>
        <w:spacing w:line="480" w:lineRule="auto"/>
        <w:jc w:val="center"/>
        <w:rPr>
          <w:b/>
          <w:sz w:val="18"/>
          <w:szCs w:val="18"/>
        </w:rPr>
      </w:pPr>
      <w:r>
        <w:rPr>
          <w:b/>
        </w:rPr>
        <w:t xml:space="preserve">       </w:t>
      </w:r>
      <w:r w:rsidR="0097227C" w:rsidRPr="0060681C">
        <w:rPr>
          <w:b/>
        </w:rPr>
        <w:t xml:space="preserve">Data Collection Methods for Categories of Emissions, Choice of Calculator, </w:t>
      </w:r>
      <w:r>
        <w:rPr>
          <w:b/>
        </w:rPr>
        <w:t>D</w:t>
      </w:r>
      <w:r w:rsidR="0097227C" w:rsidRPr="0060681C">
        <w:rPr>
          <w:b/>
        </w:rPr>
        <w:t>ata</w:t>
      </w:r>
      <w:r>
        <w:rPr>
          <w:b/>
        </w:rPr>
        <w:t xml:space="preserve"> </w:t>
      </w:r>
      <w:r w:rsidR="0097227C" w:rsidRPr="0060681C">
        <w:rPr>
          <w:b/>
        </w:rPr>
        <w:t>Requirements, and Objectives</w:t>
      </w:r>
      <w:r w:rsidR="000D760C">
        <w:rPr>
          <w:b/>
        </w:rPr>
        <w:br/>
      </w:r>
      <w:r w:rsidR="00A37572">
        <w:rPr>
          <w:b/>
          <w:sz w:val="18"/>
          <w:szCs w:val="18"/>
        </w:rPr>
        <w:t xml:space="preserve">By Alex Ocanas </w:t>
      </w:r>
      <w:hyperlink r:id="rId8" w:history="1">
        <w:r w:rsidR="00A37572" w:rsidRPr="006B60AE">
          <w:rPr>
            <w:rStyle w:val="Hyperlink"/>
            <w:b/>
            <w:sz w:val="18"/>
            <w:szCs w:val="18"/>
          </w:rPr>
          <w:t>aocanas@austincollege.edu</w:t>
        </w:r>
      </w:hyperlink>
    </w:p>
    <w:p w14:paraId="6AF8A7D0" w14:textId="77777777" w:rsidR="00A37572" w:rsidRPr="00760EB2" w:rsidRDefault="00A37572" w:rsidP="00A37572">
      <w:pPr>
        <w:spacing w:line="480" w:lineRule="auto"/>
        <w:jc w:val="center"/>
        <w:rPr>
          <w:b/>
          <w:sz w:val="18"/>
          <w:szCs w:val="18"/>
        </w:rPr>
      </w:pPr>
    </w:p>
    <w:p w14:paraId="2C60333B" w14:textId="19381AD4" w:rsidR="001904FB" w:rsidRDefault="0097227C" w:rsidP="00321038">
      <w:pPr>
        <w:spacing w:line="480" w:lineRule="auto"/>
        <w:ind w:firstLine="720"/>
        <w:jc w:val="both"/>
      </w:pPr>
      <w:r w:rsidRPr="00760EB2">
        <w:t xml:space="preserve">This </w:t>
      </w:r>
      <w:r w:rsidR="00103CFC" w:rsidRPr="00760EB2">
        <w:t>manual</w:t>
      </w:r>
      <w:r w:rsidRPr="00760EB2">
        <w:t xml:space="preserve"> describes the methods used in collecting and entering the data required by the Campus</w:t>
      </w:r>
      <w:r w:rsidR="006158FC" w:rsidRPr="00760EB2">
        <w:t xml:space="preserve"> Carbon Calculato</w:t>
      </w:r>
      <w:r w:rsidR="00EB5012" w:rsidRPr="00760EB2">
        <w:t>r™</w:t>
      </w:r>
      <w:r w:rsidR="00321038">
        <w:t xml:space="preserve"> (CCC)</w:t>
      </w:r>
      <w:r w:rsidR="00FE6CA3">
        <w:t>, Version 9</w:t>
      </w:r>
      <w:r w:rsidR="00EB5012" w:rsidRPr="00760EB2">
        <w:t>.0</w:t>
      </w:r>
      <w:r w:rsidR="00A37572" w:rsidRPr="00760EB2">
        <w:t>,</w:t>
      </w:r>
      <w:r w:rsidR="00321038">
        <w:t xml:space="preserve"> created and sponsored by the Sustainability Institute at the University of New Hampshire,</w:t>
      </w:r>
      <w:r w:rsidR="00A37572" w:rsidRPr="00760EB2">
        <w:t xml:space="preserve"> for the </w:t>
      </w:r>
      <w:r w:rsidR="000D5559">
        <w:t xml:space="preserve">Austin College </w:t>
      </w:r>
      <w:r w:rsidR="00FE6CA3">
        <w:t>FY 2016</w:t>
      </w:r>
      <w:r w:rsidR="00A37572" w:rsidRPr="00760EB2">
        <w:t xml:space="preserve"> (July 1, </w:t>
      </w:r>
      <w:r w:rsidR="00FE6CA3">
        <w:t>2015 – June 30, 2016</w:t>
      </w:r>
      <w:r w:rsidR="005F11C7" w:rsidRPr="00760EB2">
        <w:t>)</w:t>
      </w:r>
      <w:r w:rsidRPr="00760EB2">
        <w:t xml:space="preserve"> gree</w:t>
      </w:r>
      <w:r w:rsidR="00321038">
        <w:t xml:space="preserve">nhouse gas emissions inventory. </w:t>
      </w:r>
      <w:r w:rsidR="001904FB">
        <w:t>The format, organization, and some of the content of this report (such as</w:t>
      </w:r>
      <w:r w:rsidR="00FE6CA3">
        <w:t xml:space="preserve"> </w:t>
      </w:r>
      <w:r w:rsidR="001904FB">
        <w:t>direc</w:t>
      </w:r>
      <w:r w:rsidR="00FE6CA3">
        <w:t xml:space="preserve">tly financed outsourced travel </w:t>
      </w:r>
      <w:r w:rsidR="001904FB">
        <w:t xml:space="preserve">and a couple of other categories that are announced within this document) are based on the report submitted in FY 2012. Revisions and additions have been made in all possible and necessary areas. </w:t>
      </w:r>
    </w:p>
    <w:p w14:paraId="2D24882B" w14:textId="29FB1BDE" w:rsidR="0097227C" w:rsidRPr="00760EB2" w:rsidRDefault="001904FB">
      <w:pPr>
        <w:spacing w:line="480" w:lineRule="auto"/>
        <w:jc w:val="both"/>
      </w:pPr>
      <w:r>
        <w:t>The</w:t>
      </w:r>
      <w:r w:rsidR="0097227C" w:rsidRPr="00760EB2">
        <w:t xml:space="preserve"> </w:t>
      </w:r>
      <w:r w:rsidR="00321038">
        <w:t xml:space="preserve">Calculator, originally developed by and named after a non-profit called Clean Air - Cool Planet, </w:t>
      </w:r>
      <w:r w:rsidR="00A37572" w:rsidRPr="00760EB2">
        <w:t>is endorsed by Second Nature</w:t>
      </w:r>
      <w:r w:rsidR="00EF7895" w:rsidRPr="00760EB2">
        <w:t xml:space="preserve">, and </w:t>
      </w:r>
      <w:r w:rsidR="0097227C" w:rsidRPr="00760EB2">
        <w:t>facili</w:t>
      </w:r>
      <w:r w:rsidR="00EF7895" w:rsidRPr="00760EB2">
        <w:t>tates comparison with</w:t>
      </w:r>
      <w:r w:rsidR="0097227C" w:rsidRPr="00760EB2">
        <w:t xml:space="preserve"> ot</w:t>
      </w:r>
      <w:r w:rsidR="00EF7895" w:rsidRPr="00760EB2">
        <w:t>her campuses that have used it.</w:t>
      </w:r>
      <w:r w:rsidR="0097227C" w:rsidRPr="00760EB2">
        <w:t xml:space="preserve"> The benefits of the </w:t>
      </w:r>
      <w:r w:rsidR="00321038">
        <w:t>CCC</w:t>
      </w:r>
      <w:r w:rsidR="0097227C" w:rsidRPr="00760EB2">
        <w:t xml:space="preserve"> calculator include the ability of the user to enter categories of emissions in their original measurement units.  For example, purchased electricity is entered in kWh, while natural gas is entered in MMBtu, etc.  The calculator then converts these measures and others into their respective Global Warming Potentials (MT-eCO</w:t>
      </w:r>
      <w:r w:rsidR="0097227C" w:rsidRPr="00760EB2">
        <w:rPr>
          <w:vertAlign w:val="subscript"/>
        </w:rPr>
        <w:t>2</w:t>
      </w:r>
      <w:r w:rsidR="0097227C" w:rsidRPr="00760EB2">
        <w:t>), measurements of the extent to which a particular greenhouse gas (CO</w:t>
      </w:r>
      <w:r w:rsidR="0097227C" w:rsidRPr="00760EB2">
        <w:rPr>
          <w:vertAlign w:val="subscript"/>
        </w:rPr>
        <w:t>2</w:t>
      </w:r>
      <w:r w:rsidR="0097227C" w:rsidRPr="00760EB2">
        <w:t>, CH</w:t>
      </w:r>
      <w:r w:rsidR="0097227C" w:rsidRPr="00760EB2">
        <w:rPr>
          <w:vertAlign w:val="subscript"/>
        </w:rPr>
        <w:t>4</w:t>
      </w:r>
      <w:r w:rsidR="0097227C" w:rsidRPr="00760EB2">
        <w:t xml:space="preserve">, etc.) contributes to anthropogenic climate change.  </w:t>
      </w:r>
    </w:p>
    <w:p w14:paraId="6D88A333" w14:textId="2168D4EA" w:rsidR="0097227C" w:rsidRPr="00760EB2" w:rsidRDefault="0097227C" w:rsidP="0097227C">
      <w:pPr>
        <w:spacing w:line="480" w:lineRule="auto"/>
        <w:jc w:val="both"/>
      </w:pPr>
      <w:r w:rsidRPr="00760EB2">
        <w:tab/>
        <w:t xml:space="preserve">Once </w:t>
      </w:r>
      <w:r w:rsidR="00321038">
        <w:t xml:space="preserve">calculations are complete, the CCC </w:t>
      </w:r>
      <w:r w:rsidRPr="00760EB2">
        <w:t>calculator enables users to view all emissions by source as equivalent to CO</w:t>
      </w:r>
      <w:r w:rsidRPr="00760EB2">
        <w:rPr>
          <w:vertAlign w:val="subscript"/>
        </w:rPr>
        <w:t>2</w:t>
      </w:r>
      <w:r w:rsidRPr="00760EB2">
        <w:t>, CH</w:t>
      </w:r>
      <w:r w:rsidRPr="00760EB2">
        <w:rPr>
          <w:vertAlign w:val="subscript"/>
        </w:rPr>
        <w:t>4</w:t>
      </w:r>
      <w:r w:rsidRPr="00760EB2">
        <w:t>, or N</w:t>
      </w:r>
      <w:r w:rsidRPr="00760EB2">
        <w:rPr>
          <w:vertAlign w:val="subscript"/>
        </w:rPr>
        <w:t>2</w:t>
      </w:r>
      <w:r w:rsidRPr="00760EB2">
        <w:t>O in kg or MMBtu.  Users may also choose to view all categories of emissions in metric tons of CO</w:t>
      </w:r>
      <w:r w:rsidRPr="00760EB2">
        <w:rPr>
          <w:vertAlign w:val="subscript"/>
        </w:rPr>
        <w:t>2</w:t>
      </w:r>
      <w:r w:rsidRPr="00760EB2">
        <w:t xml:space="preserve"> equivalent (MT-eCO</w:t>
      </w:r>
      <w:r w:rsidRPr="00760EB2">
        <w:rPr>
          <w:vertAlign w:val="subscript"/>
        </w:rPr>
        <w:t>2</w:t>
      </w:r>
      <w:r w:rsidRPr="00760EB2">
        <w:t xml:space="preserve">).  This is so that all emissions can be </w:t>
      </w:r>
      <w:r w:rsidR="001904FB" w:rsidRPr="00760EB2">
        <w:t>totaled</w:t>
      </w:r>
      <w:r w:rsidRPr="00760EB2">
        <w:t xml:space="preserve"> and viewed as a single total amount instead of in measures of different greenhouse gases, each of which has a different globa</w:t>
      </w:r>
      <w:r w:rsidR="000938C5" w:rsidRPr="00760EB2">
        <w:t>l warming potential</w:t>
      </w:r>
      <w:r w:rsidRPr="00760EB2">
        <w:t xml:space="preserve">.  The </w:t>
      </w:r>
      <w:r w:rsidR="00321038">
        <w:t>CCC</w:t>
      </w:r>
      <w:r w:rsidRPr="00760EB2">
        <w:t xml:space="preserve"> calculator </w:t>
      </w:r>
      <w:r w:rsidRPr="00760EB2">
        <w:lastRenderedPageBreak/>
        <w:t xml:space="preserve">requires minimal input and no manual conversions; data are simply entered into a series of “Input” worksheets, and the calculator makes all the necessary conversions and calculations. </w:t>
      </w:r>
      <w:r w:rsidR="001904FB">
        <w:t>Although no manual conversions are required, we have made a few of our own minor adjustments to a few of the calculator’s</w:t>
      </w:r>
      <w:r w:rsidRPr="00760EB2">
        <w:t xml:space="preserve"> </w:t>
      </w:r>
      <w:r w:rsidR="001904FB">
        <w:t xml:space="preserve">coefficients; these modifications are listed and explained and the end of this report. </w:t>
      </w:r>
      <w:r w:rsidRPr="00760EB2">
        <w:t xml:space="preserve">Note that greenhouse gas inventories are not comprehensive; while they account for the major categories of the College’s emissions, it would be nearly impossible to track down each and every last emission in a given period of time. </w:t>
      </w:r>
    </w:p>
    <w:p w14:paraId="2DE9C39B" w14:textId="77777777" w:rsidR="0097227C" w:rsidRPr="00760EB2" w:rsidRDefault="0097227C" w:rsidP="0097227C">
      <w:pPr>
        <w:spacing w:line="480" w:lineRule="auto"/>
        <w:jc w:val="both"/>
      </w:pPr>
      <w:r w:rsidRPr="00760EB2">
        <w:tab/>
        <w:t xml:space="preserve">Though the calculator’s interface looks complex, its required data inputs are simple given Austin College’s infrastructure and small campus.  </w:t>
      </w:r>
      <w:r w:rsidR="000938C5" w:rsidRPr="00760EB2">
        <w:t>A table at the end of this document</w:t>
      </w:r>
      <w:r w:rsidRPr="00760EB2">
        <w:t xml:space="preserve"> shows the data that were entered into the calculator as well the staff member(s) who supplied the data.  Some calculator inputs required more advanced procedures other than correspondence with a staff member(s).  These procedures are explained below.          </w:t>
      </w:r>
    </w:p>
    <w:p w14:paraId="7C01D052" w14:textId="77777777" w:rsidR="0097227C" w:rsidRDefault="0097227C" w:rsidP="0097227C">
      <w:pPr>
        <w:spacing w:line="480" w:lineRule="auto"/>
        <w:jc w:val="both"/>
        <w:rPr>
          <w:i/>
        </w:rPr>
      </w:pPr>
    </w:p>
    <w:p w14:paraId="55672446" w14:textId="77777777" w:rsidR="00211F23" w:rsidRDefault="00211F23" w:rsidP="0097227C">
      <w:pPr>
        <w:spacing w:line="480" w:lineRule="auto"/>
        <w:jc w:val="both"/>
        <w:rPr>
          <w:i/>
        </w:rPr>
      </w:pPr>
    </w:p>
    <w:p w14:paraId="70E76DF7" w14:textId="77777777" w:rsidR="00211F23" w:rsidRDefault="00211F23" w:rsidP="0097227C">
      <w:pPr>
        <w:spacing w:line="480" w:lineRule="auto"/>
        <w:jc w:val="both"/>
        <w:rPr>
          <w:i/>
        </w:rPr>
      </w:pPr>
    </w:p>
    <w:p w14:paraId="79728314" w14:textId="77777777" w:rsidR="00211F23" w:rsidRDefault="00211F23" w:rsidP="0097227C">
      <w:pPr>
        <w:spacing w:line="480" w:lineRule="auto"/>
        <w:jc w:val="both"/>
        <w:rPr>
          <w:i/>
        </w:rPr>
      </w:pPr>
    </w:p>
    <w:p w14:paraId="391B9B44" w14:textId="77777777" w:rsidR="00211F23" w:rsidRDefault="00211F23" w:rsidP="0097227C">
      <w:pPr>
        <w:spacing w:line="480" w:lineRule="auto"/>
        <w:jc w:val="both"/>
        <w:rPr>
          <w:i/>
        </w:rPr>
      </w:pPr>
    </w:p>
    <w:p w14:paraId="73204310" w14:textId="77777777" w:rsidR="00211F23" w:rsidRDefault="00211F23" w:rsidP="0097227C">
      <w:pPr>
        <w:spacing w:line="480" w:lineRule="auto"/>
        <w:jc w:val="both"/>
        <w:rPr>
          <w:i/>
        </w:rPr>
      </w:pPr>
    </w:p>
    <w:p w14:paraId="37B9A1F7" w14:textId="77777777" w:rsidR="00211F23" w:rsidRDefault="00211F23" w:rsidP="0097227C">
      <w:pPr>
        <w:spacing w:line="480" w:lineRule="auto"/>
        <w:jc w:val="both"/>
        <w:rPr>
          <w:i/>
        </w:rPr>
      </w:pPr>
    </w:p>
    <w:p w14:paraId="678762F6" w14:textId="77777777" w:rsidR="00211F23" w:rsidRDefault="00211F23" w:rsidP="0097227C">
      <w:pPr>
        <w:spacing w:line="480" w:lineRule="auto"/>
        <w:jc w:val="both"/>
        <w:rPr>
          <w:i/>
        </w:rPr>
      </w:pPr>
    </w:p>
    <w:p w14:paraId="1209C2D4" w14:textId="2F68040B" w:rsidR="006F0057" w:rsidRDefault="006F0057" w:rsidP="0097227C">
      <w:pPr>
        <w:spacing w:line="480" w:lineRule="auto"/>
        <w:jc w:val="both"/>
        <w:rPr>
          <w:i/>
        </w:rPr>
      </w:pPr>
    </w:p>
    <w:p w14:paraId="005C8F9A" w14:textId="77777777" w:rsidR="00FE6CA3" w:rsidRDefault="00FE6CA3" w:rsidP="0097227C">
      <w:pPr>
        <w:spacing w:line="480" w:lineRule="auto"/>
        <w:jc w:val="both"/>
        <w:rPr>
          <w:i/>
        </w:rPr>
      </w:pPr>
    </w:p>
    <w:p w14:paraId="79FDC668" w14:textId="77777777" w:rsidR="00FE6CA3" w:rsidRDefault="00FE6CA3" w:rsidP="0097227C">
      <w:pPr>
        <w:spacing w:line="480" w:lineRule="auto"/>
        <w:jc w:val="both"/>
        <w:rPr>
          <w:i/>
        </w:rPr>
      </w:pPr>
    </w:p>
    <w:p w14:paraId="6CA1D0C6" w14:textId="737304E0" w:rsidR="004447E2" w:rsidRDefault="005F11C7" w:rsidP="0097227C">
      <w:pPr>
        <w:spacing w:line="480" w:lineRule="auto"/>
        <w:jc w:val="both"/>
        <w:rPr>
          <w:i/>
        </w:rPr>
      </w:pPr>
      <w:r>
        <w:rPr>
          <w:i/>
        </w:rPr>
        <w:lastRenderedPageBreak/>
        <w:t>Institutional Data</w:t>
      </w:r>
    </w:p>
    <w:p w14:paraId="1E8EEAD5" w14:textId="6BD39EC1" w:rsidR="006F538D" w:rsidRPr="005F11C7" w:rsidRDefault="006F538D" w:rsidP="00945668">
      <w:pPr>
        <w:spacing w:line="480" w:lineRule="auto"/>
        <w:ind w:firstLine="720"/>
        <w:jc w:val="both"/>
        <w:rPr>
          <w:i/>
        </w:rPr>
      </w:pPr>
      <w:r>
        <w:rPr>
          <w:i/>
        </w:rPr>
        <w:t>Table 1: Enrolled Student Data</w:t>
      </w:r>
    </w:p>
    <w:tbl>
      <w:tblPr>
        <w:tblStyle w:val="TableGrid"/>
        <w:tblW w:w="0" w:type="auto"/>
        <w:tblLook w:val="04A0" w:firstRow="1" w:lastRow="0" w:firstColumn="1" w:lastColumn="0" w:noHBand="0" w:noVBand="1"/>
      </w:tblPr>
      <w:tblGrid>
        <w:gridCol w:w="1285"/>
        <w:gridCol w:w="1454"/>
        <w:gridCol w:w="1454"/>
        <w:gridCol w:w="1599"/>
        <w:gridCol w:w="1110"/>
      </w:tblGrid>
      <w:tr w:rsidR="004447E2" w14:paraId="555E366C" w14:textId="77777777" w:rsidTr="004447E2">
        <w:trPr>
          <w:trHeight w:val="863"/>
        </w:trPr>
        <w:tc>
          <w:tcPr>
            <w:tcW w:w="1285" w:type="dxa"/>
          </w:tcPr>
          <w:p w14:paraId="16D326DB" w14:textId="77777777" w:rsidR="004447E2" w:rsidRPr="004447E2" w:rsidRDefault="004447E2" w:rsidP="004447E2">
            <w:pPr>
              <w:jc w:val="center"/>
              <w:rPr>
                <w:b/>
              </w:rPr>
            </w:pPr>
            <w:r w:rsidRPr="004447E2">
              <w:rPr>
                <w:b/>
              </w:rPr>
              <w:t>Fiscal Year</w:t>
            </w:r>
          </w:p>
        </w:tc>
        <w:tc>
          <w:tcPr>
            <w:tcW w:w="1454" w:type="dxa"/>
          </w:tcPr>
          <w:p w14:paraId="3D865AD4" w14:textId="77777777" w:rsidR="004447E2" w:rsidRPr="004447E2" w:rsidRDefault="004447E2" w:rsidP="004447E2">
            <w:pPr>
              <w:jc w:val="center"/>
              <w:rPr>
                <w:b/>
              </w:rPr>
            </w:pPr>
            <w:r>
              <w:rPr>
                <w:b/>
              </w:rPr>
              <w:t>Full-Time</w:t>
            </w:r>
            <w:r>
              <w:rPr>
                <w:b/>
              </w:rPr>
              <w:br/>
            </w:r>
            <w:r w:rsidRPr="004447E2">
              <w:rPr>
                <w:b/>
              </w:rPr>
              <w:t>Students</w:t>
            </w:r>
          </w:p>
        </w:tc>
        <w:tc>
          <w:tcPr>
            <w:tcW w:w="1454" w:type="dxa"/>
          </w:tcPr>
          <w:p w14:paraId="6657447D" w14:textId="77777777" w:rsidR="004447E2" w:rsidRPr="004447E2" w:rsidRDefault="004447E2" w:rsidP="004447E2">
            <w:pPr>
              <w:jc w:val="center"/>
              <w:rPr>
                <w:b/>
              </w:rPr>
            </w:pPr>
            <w:r w:rsidRPr="004447E2">
              <w:rPr>
                <w:b/>
              </w:rPr>
              <w:t>Part-Time Students</w:t>
            </w:r>
          </w:p>
        </w:tc>
        <w:tc>
          <w:tcPr>
            <w:tcW w:w="1599" w:type="dxa"/>
          </w:tcPr>
          <w:p w14:paraId="3CEB6892" w14:textId="77777777" w:rsidR="004447E2" w:rsidRPr="004447E2" w:rsidRDefault="004447E2" w:rsidP="004447E2">
            <w:pPr>
              <w:jc w:val="center"/>
              <w:rPr>
                <w:b/>
              </w:rPr>
            </w:pPr>
            <w:r w:rsidRPr="004447E2">
              <w:rPr>
                <w:b/>
              </w:rPr>
              <w:t>Residential Students</w:t>
            </w:r>
          </w:p>
        </w:tc>
        <w:tc>
          <w:tcPr>
            <w:tcW w:w="946" w:type="dxa"/>
          </w:tcPr>
          <w:p w14:paraId="2E1777DD" w14:textId="77777777" w:rsidR="004447E2" w:rsidRPr="004447E2" w:rsidRDefault="004447E2" w:rsidP="004447E2">
            <w:pPr>
              <w:jc w:val="center"/>
              <w:rPr>
                <w:b/>
              </w:rPr>
            </w:pPr>
            <w:r>
              <w:rPr>
                <w:b/>
              </w:rPr>
              <w:t>Summer School Students</w:t>
            </w:r>
          </w:p>
        </w:tc>
      </w:tr>
      <w:tr w:rsidR="004447E2" w14:paraId="42C10D2B" w14:textId="77777777" w:rsidTr="004447E2">
        <w:tc>
          <w:tcPr>
            <w:tcW w:w="1285" w:type="dxa"/>
          </w:tcPr>
          <w:p w14:paraId="1A5A9E9C" w14:textId="77777777" w:rsidR="004447E2" w:rsidRPr="004447E2" w:rsidRDefault="004447E2" w:rsidP="004447E2">
            <w:pPr>
              <w:jc w:val="center"/>
              <w:rPr>
                <w:b/>
              </w:rPr>
            </w:pPr>
            <w:r w:rsidRPr="004447E2">
              <w:rPr>
                <w:b/>
              </w:rPr>
              <w:t>FY 2011</w:t>
            </w:r>
          </w:p>
        </w:tc>
        <w:tc>
          <w:tcPr>
            <w:tcW w:w="1454" w:type="dxa"/>
          </w:tcPr>
          <w:p w14:paraId="21838431" w14:textId="77777777" w:rsidR="004447E2" w:rsidRDefault="004447E2" w:rsidP="004447E2">
            <w:pPr>
              <w:jc w:val="center"/>
            </w:pPr>
            <w:r>
              <w:t>1,306</w:t>
            </w:r>
          </w:p>
        </w:tc>
        <w:tc>
          <w:tcPr>
            <w:tcW w:w="1454" w:type="dxa"/>
          </w:tcPr>
          <w:p w14:paraId="4D730425" w14:textId="77777777" w:rsidR="004447E2" w:rsidRDefault="004447E2" w:rsidP="004447E2">
            <w:pPr>
              <w:jc w:val="center"/>
            </w:pPr>
            <w:r>
              <w:t>8</w:t>
            </w:r>
          </w:p>
        </w:tc>
        <w:tc>
          <w:tcPr>
            <w:tcW w:w="1599" w:type="dxa"/>
          </w:tcPr>
          <w:p w14:paraId="5072F00F" w14:textId="77777777" w:rsidR="004447E2" w:rsidRDefault="004447E2" w:rsidP="004447E2">
            <w:pPr>
              <w:jc w:val="center"/>
            </w:pPr>
            <w:r>
              <w:t>N/A</w:t>
            </w:r>
          </w:p>
        </w:tc>
        <w:tc>
          <w:tcPr>
            <w:tcW w:w="946" w:type="dxa"/>
          </w:tcPr>
          <w:p w14:paraId="64704983" w14:textId="77777777" w:rsidR="004447E2" w:rsidRDefault="004447E2" w:rsidP="004447E2">
            <w:pPr>
              <w:jc w:val="center"/>
            </w:pPr>
            <w:r>
              <w:t>100</w:t>
            </w:r>
          </w:p>
        </w:tc>
      </w:tr>
      <w:tr w:rsidR="004447E2" w14:paraId="4AAA7392" w14:textId="77777777" w:rsidTr="004447E2">
        <w:tc>
          <w:tcPr>
            <w:tcW w:w="1285" w:type="dxa"/>
          </w:tcPr>
          <w:p w14:paraId="0322F7A7" w14:textId="77777777" w:rsidR="004447E2" w:rsidRPr="00343877" w:rsidRDefault="004447E2" w:rsidP="004447E2">
            <w:pPr>
              <w:jc w:val="center"/>
              <w:rPr>
                <w:b/>
              </w:rPr>
            </w:pPr>
            <w:r w:rsidRPr="00343877">
              <w:rPr>
                <w:b/>
              </w:rPr>
              <w:t>FY 2012</w:t>
            </w:r>
          </w:p>
        </w:tc>
        <w:tc>
          <w:tcPr>
            <w:tcW w:w="1454" w:type="dxa"/>
          </w:tcPr>
          <w:p w14:paraId="6F836AA7" w14:textId="77777777" w:rsidR="004447E2" w:rsidRPr="00343877" w:rsidRDefault="004447E2" w:rsidP="004447E2">
            <w:pPr>
              <w:jc w:val="center"/>
              <w:rPr>
                <w:b/>
              </w:rPr>
            </w:pPr>
            <w:r w:rsidRPr="00343877">
              <w:rPr>
                <w:b/>
              </w:rPr>
              <w:t>1,338</w:t>
            </w:r>
          </w:p>
        </w:tc>
        <w:tc>
          <w:tcPr>
            <w:tcW w:w="1454" w:type="dxa"/>
          </w:tcPr>
          <w:p w14:paraId="1F9F7039" w14:textId="77777777" w:rsidR="004447E2" w:rsidRPr="00343877" w:rsidRDefault="004447E2" w:rsidP="004447E2">
            <w:pPr>
              <w:jc w:val="center"/>
              <w:rPr>
                <w:b/>
              </w:rPr>
            </w:pPr>
            <w:r w:rsidRPr="00343877">
              <w:rPr>
                <w:b/>
              </w:rPr>
              <w:t>15</w:t>
            </w:r>
          </w:p>
        </w:tc>
        <w:tc>
          <w:tcPr>
            <w:tcW w:w="1599" w:type="dxa"/>
          </w:tcPr>
          <w:p w14:paraId="42A1064F" w14:textId="77777777" w:rsidR="004447E2" w:rsidRPr="00343877" w:rsidRDefault="004447E2" w:rsidP="004447E2">
            <w:pPr>
              <w:jc w:val="center"/>
              <w:rPr>
                <w:b/>
              </w:rPr>
            </w:pPr>
            <w:r w:rsidRPr="00343877">
              <w:rPr>
                <w:b/>
              </w:rPr>
              <w:t>1,030</w:t>
            </w:r>
          </w:p>
        </w:tc>
        <w:tc>
          <w:tcPr>
            <w:tcW w:w="946" w:type="dxa"/>
          </w:tcPr>
          <w:p w14:paraId="367BE91B" w14:textId="77777777" w:rsidR="004447E2" w:rsidRPr="00343877" w:rsidRDefault="004447E2" w:rsidP="004447E2">
            <w:pPr>
              <w:jc w:val="center"/>
              <w:rPr>
                <w:b/>
              </w:rPr>
            </w:pPr>
            <w:r w:rsidRPr="00343877">
              <w:rPr>
                <w:b/>
              </w:rPr>
              <w:t>106</w:t>
            </w:r>
          </w:p>
        </w:tc>
      </w:tr>
      <w:tr w:rsidR="004447E2" w14:paraId="42684309" w14:textId="77777777" w:rsidTr="004447E2">
        <w:tc>
          <w:tcPr>
            <w:tcW w:w="1285" w:type="dxa"/>
          </w:tcPr>
          <w:p w14:paraId="08207BD0" w14:textId="77777777" w:rsidR="004447E2" w:rsidRPr="004447E2" w:rsidRDefault="004447E2" w:rsidP="004447E2">
            <w:pPr>
              <w:jc w:val="center"/>
              <w:rPr>
                <w:b/>
              </w:rPr>
            </w:pPr>
            <w:r w:rsidRPr="004447E2">
              <w:rPr>
                <w:b/>
              </w:rPr>
              <w:t>FY 2013</w:t>
            </w:r>
          </w:p>
        </w:tc>
        <w:tc>
          <w:tcPr>
            <w:tcW w:w="1454" w:type="dxa"/>
          </w:tcPr>
          <w:p w14:paraId="613A90E2" w14:textId="77777777" w:rsidR="004447E2" w:rsidRDefault="004447E2" w:rsidP="004447E2">
            <w:pPr>
              <w:jc w:val="center"/>
            </w:pPr>
            <w:r>
              <w:t>1,253</w:t>
            </w:r>
          </w:p>
        </w:tc>
        <w:tc>
          <w:tcPr>
            <w:tcW w:w="1454" w:type="dxa"/>
          </w:tcPr>
          <w:p w14:paraId="1ED52265" w14:textId="77777777" w:rsidR="004447E2" w:rsidRDefault="004447E2" w:rsidP="004447E2">
            <w:pPr>
              <w:jc w:val="center"/>
            </w:pPr>
            <w:r>
              <w:t>7</w:t>
            </w:r>
          </w:p>
        </w:tc>
        <w:tc>
          <w:tcPr>
            <w:tcW w:w="1599" w:type="dxa"/>
          </w:tcPr>
          <w:p w14:paraId="71952C91" w14:textId="77777777" w:rsidR="004447E2" w:rsidRDefault="004447E2" w:rsidP="004447E2">
            <w:pPr>
              <w:jc w:val="center"/>
            </w:pPr>
            <w:r>
              <w:t>N/A</w:t>
            </w:r>
          </w:p>
        </w:tc>
        <w:tc>
          <w:tcPr>
            <w:tcW w:w="946" w:type="dxa"/>
          </w:tcPr>
          <w:p w14:paraId="02DBB981" w14:textId="77777777" w:rsidR="004447E2" w:rsidRDefault="006E31DB" w:rsidP="004447E2">
            <w:pPr>
              <w:jc w:val="center"/>
            </w:pPr>
            <w:r>
              <w:t>58</w:t>
            </w:r>
          </w:p>
        </w:tc>
      </w:tr>
      <w:tr w:rsidR="00A37572" w14:paraId="091607D7" w14:textId="77777777" w:rsidTr="004447E2">
        <w:tc>
          <w:tcPr>
            <w:tcW w:w="1285" w:type="dxa"/>
          </w:tcPr>
          <w:p w14:paraId="34E07A74" w14:textId="77777777" w:rsidR="00A37572" w:rsidRPr="00FE6CA3" w:rsidRDefault="00A37572" w:rsidP="004447E2">
            <w:pPr>
              <w:jc w:val="center"/>
              <w:rPr>
                <w:b/>
              </w:rPr>
            </w:pPr>
            <w:r w:rsidRPr="00FE6CA3">
              <w:rPr>
                <w:b/>
              </w:rPr>
              <w:t>FY 2014</w:t>
            </w:r>
          </w:p>
        </w:tc>
        <w:tc>
          <w:tcPr>
            <w:tcW w:w="1454" w:type="dxa"/>
          </w:tcPr>
          <w:p w14:paraId="22C677E1" w14:textId="77777777" w:rsidR="00A37572" w:rsidRPr="00FE6CA3" w:rsidRDefault="00A37572" w:rsidP="004447E2">
            <w:pPr>
              <w:jc w:val="center"/>
            </w:pPr>
            <w:r w:rsidRPr="00FE6CA3">
              <w:t>1,222</w:t>
            </w:r>
          </w:p>
        </w:tc>
        <w:tc>
          <w:tcPr>
            <w:tcW w:w="1454" w:type="dxa"/>
          </w:tcPr>
          <w:p w14:paraId="32F1AE02" w14:textId="77777777" w:rsidR="00A37572" w:rsidRPr="00FE6CA3" w:rsidRDefault="00A37572" w:rsidP="004447E2">
            <w:pPr>
              <w:jc w:val="center"/>
            </w:pPr>
            <w:r w:rsidRPr="00FE6CA3">
              <w:t>2</w:t>
            </w:r>
          </w:p>
        </w:tc>
        <w:tc>
          <w:tcPr>
            <w:tcW w:w="1599" w:type="dxa"/>
          </w:tcPr>
          <w:p w14:paraId="7CAD5033" w14:textId="77777777" w:rsidR="00A37572" w:rsidRPr="00FE6CA3" w:rsidRDefault="00A37572" w:rsidP="004447E2">
            <w:pPr>
              <w:jc w:val="center"/>
            </w:pPr>
            <w:r w:rsidRPr="00FE6CA3">
              <w:t>947</w:t>
            </w:r>
          </w:p>
        </w:tc>
        <w:tc>
          <w:tcPr>
            <w:tcW w:w="946" w:type="dxa"/>
          </w:tcPr>
          <w:p w14:paraId="1FEAADB0" w14:textId="77777777" w:rsidR="00A37572" w:rsidRPr="00FE6CA3" w:rsidRDefault="00A37572" w:rsidP="004447E2">
            <w:pPr>
              <w:jc w:val="center"/>
            </w:pPr>
            <w:r w:rsidRPr="00FE6CA3">
              <w:t>69</w:t>
            </w:r>
          </w:p>
        </w:tc>
      </w:tr>
      <w:tr w:rsidR="00FE6CA3" w14:paraId="2B83222F" w14:textId="77777777" w:rsidTr="004447E2">
        <w:tc>
          <w:tcPr>
            <w:tcW w:w="1285" w:type="dxa"/>
          </w:tcPr>
          <w:p w14:paraId="6E54C762" w14:textId="60C32270" w:rsidR="00FE6CA3" w:rsidRPr="00FE6CA3" w:rsidRDefault="00FE6CA3" w:rsidP="004447E2">
            <w:pPr>
              <w:jc w:val="center"/>
              <w:rPr>
                <w:b/>
                <w:color w:val="00B050"/>
              </w:rPr>
            </w:pPr>
            <w:r w:rsidRPr="00FE6CA3">
              <w:rPr>
                <w:b/>
                <w:color w:val="00B050"/>
              </w:rPr>
              <w:t>FY 2016</w:t>
            </w:r>
          </w:p>
        </w:tc>
        <w:tc>
          <w:tcPr>
            <w:tcW w:w="1454" w:type="dxa"/>
          </w:tcPr>
          <w:p w14:paraId="4571F350" w14:textId="390D19D3" w:rsidR="00FE6CA3" w:rsidRPr="00FE6CA3" w:rsidRDefault="00FE6CA3" w:rsidP="004447E2">
            <w:pPr>
              <w:jc w:val="center"/>
              <w:rPr>
                <w:b/>
                <w:color w:val="00B050"/>
              </w:rPr>
            </w:pPr>
            <w:r w:rsidRPr="00FE6CA3">
              <w:rPr>
                <w:b/>
                <w:color w:val="00B050"/>
              </w:rPr>
              <w:t>1226</w:t>
            </w:r>
          </w:p>
        </w:tc>
        <w:tc>
          <w:tcPr>
            <w:tcW w:w="1454" w:type="dxa"/>
          </w:tcPr>
          <w:p w14:paraId="3F900F84" w14:textId="46A48626" w:rsidR="00FE6CA3" w:rsidRPr="00FE6CA3" w:rsidRDefault="00FE6CA3" w:rsidP="004447E2">
            <w:pPr>
              <w:jc w:val="center"/>
              <w:rPr>
                <w:b/>
                <w:color w:val="00B050"/>
              </w:rPr>
            </w:pPr>
            <w:r w:rsidRPr="00FE6CA3">
              <w:rPr>
                <w:b/>
                <w:color w:val="00B050"/>
              </w:rPr>
              <w:t>10</w:t>
            </w:r>
          </w:p>
        </w:tc>
        <w:tc>
          <w:tcPr>
            <w:tcW w:w="1599" w:type="dxa"/>
          </w:tcPr>
          <w:p w14:paraId="14B0116C" w14:textId="30BB391F" w:rsidR="00FE6CA3" w:rsidRPr="00FE6CA3" w:rsidRDefault="00FE6CA3" w:rsidP="004447E2">
            <w:pPr>
              <w:jc w:val="center"/>
              <w:rPr>
                <w:b/>
                <w:color w:val="00B050"/>
              </w:rPr>
            </w:pPr>
            <w:r w:rsidRPr="00FE6CA3">
              <w:rPr>
                <w:b/>
                <w:color w:val="00B050"/>
              </w:rPr>
              <w:t>990</w:t>
            </w:r>
          </w:p>
        </w:tc>
        <w:tc>
          <w:tcPr>
            <w:tcW w:w="946" w:type="dxa"/>
          </w:tcPr>
          <w:p w14:paraId="4199273D" w14:textId="198B2185" w:rsidR="00FE6CA3" w:rsidRPr="00FE6CA3" w:rsidRDefault="00FE6CA3" w:rsidP="004447E2">
            <w:pPr>
              <w:jc w:val="center"/>
              <w:rPr>
                <w:b/>
                <w:color w:val="00B050"/>
              </w:rPr>
            </w:pPr>
            <w:r w:rsidRPr="00FE6CA3">
              <w:rPr>
                <w:b/>
                <w:color w:val="00B050"/>
              </w:rPr>
              <w:t>55</w:t>
            </w:r>
          </w:p>
        </w:tc>
      </w:tr>
    </w:tbl>
    <w:p w14:paraId="2D3780D9" w14:textId="77777777" w:rsidR="004447E2" w:rsidRPr="00760EB2" w:rsidRDefault="004447E2" w:rsidP="0097227C">
      <w:pPr>
        <w:spacing w:line="480" w:lineRule="auto"/>
        <w:jc w:val="both"/>
      </w:pPr>
    </w:p>
    <w:p w14:paraId="40A301DF" w14:textId="37630E5F" w:rsidR="000170D0" w:rsidRDefault="006E31DB" w:rsidP="0097227C">
      <w:pPr>
        <w:spacing w:line="480" w:lineRule="auto"/>
        <w:jc w:val="both"/>
      </w:pPr>
      <w:r w:rsidRPr="00760EB2">
        <w:tab/>
        <w:t xml:space="preserve">With the exception of residential student information, the data </w:t>
      </w:r>
      <w:r w:rsidR="006F538D">
        <w:t xml:space="preserve">in Table 1 </w:t>
      </w:r>
      <w:r w:rsidRPr="00760EB2">
        <w:t>were provided via the submission of a Data Request Form on the Registrar’s Office webpage.  Gail Gentry of Institutional Research supplied the information via e-mail upon receipt of the Data Request Form.  Michael Deen</w:t>
      </w:r>
      <w:r w:rsidR="006F538D">
        <w:t>, Dean of Students,</w:t>
      </w:r>
      <w:r w:rsidRPr="00760EB2">
        <w:t xml:space="preserve"> provided residential student information. </w:t>
      </w:r>
      <w:r w:rsidR="00FE6CA3">
        <w:t xml:space="preserve">Data for each of these categories was provided for both the Spring and Fall semester of the school year; an average figure for the two semesters was calculated and used for reporting purposes. </w:t>
      </w:r>
      <w:r w:rsidRPr="00760EB2">
        <w:t xml:space="preserve"> </w:t>
      </w:r>
    </w:p>
    <w:p w14:paraId="4F14052D" w14:textId="307E46DA" w:rsidR="006F538D" w:rsidRPr="00945668" w:rsidRDefault="006F538D" w:rsidP="00945668">
      <w:pPr>
        <w:spacing w:line="480" w:lineRule="auto"/>
        <w:ind w:firstLine="720"/>
        <w:jc w:val="both"/>
        <w:rPr>
          <w:i/>
        </w:rPr>
      </w:pPr>
      <w:r w:rsidRPr="00945668">
        <w:rPr>
          <w:i/>
        </w:rPr>
        <w:t>Table 2: Faculty &amp; Staff Data</w:t>
      </w:r>
    </w:p>
    <w:tbl>
      <w:tblPr>
        <w:tblStyle w:val="TableGrid"/>
        <w:tblW w:w="0" w:type="auto"/>
        <w:tblLook w:val="04A0" w:firstRow="1" w:lastRow="0" w:firstColumn="1" w:lastColumn="0" w:noHBand="0" w:noVBand="1"/>
      </w:tblPr>
      <w:tblGrid>
        <w:gridCol w:w="1831"/>
        <w:gridCol w:w="1844"/>
        <w:gridCol w:w="1844"/>
        <w:gridCol w:w="1825"/>
        <w:gridCol w:w="1826"/>
      </w:tblGrid>
      <w:tr w:rsidR="006E31DB" w14:paraId="7FFB4CF6" w14:textId="77777777" w:rsidTr="006E31DB">
        <w:tc>
          <w:tcPr>
            <w:tcW w:w="1915" w:type="dxa"/>
          </w:tcPr>
          <w:p w14:paraId="2EC653E2" w14:textId="77777777" w:rsidR="006E31DB" w:rsidRPr="006E31DB" w:rsidRDefault="006E31DB" w:rsidP="003676A6">
            <w:pPr>
              <w:jc w:val="center"/>
              <w:rPr>
                <w:b/>
              </w:rPr>
            </w:pPr>
            <w:r w:rsidRPr="006E31DB">
              <w:rPr>
                <w:b/>
              </w:rPr>
              <w:t>Fiscal Year</w:t>
            </w:r>
          </w:p>
        </w:tc>
        <w:tc>
          <w:tcPr>
            <w:tcW w:w="1915" w:type="dxa"/>
          </w:tcPr>
          <w:p w14:paraId="098CE04B" w14:textId="77777777" w:rsidR="006E31DB" w:rsidRPr="006E31DB" w:rsidRDefault="006E31DB" w:rsidP="003676A6">
            <w:pPr>
              <w:jc w:val="center"/>
              <w:rPr>
                <w:b/>
              </w:rPr>
            </w:pPr>
            <w:r w:rsidRPr="006E31DB">
              <w:rPr>
                <w:b/>
              </w:rPr>
              <w:t>Full-Time Faculty</w:t>
            </w:r>
          </w:p>
        </w:tc>
        <w:tc>
          <w:tcPr>
            <w:tcW w:w="1915" w:type="dxa"/>
          </w:tcPr>
          <w:p w14:paraId="7C8552E4" w14:textId="77777777" w:rsidR="006E31DB" w:rsidRPr="006E31DB" w:rsidRDefault="006E31DB" w:rsidP="003676A6">
            <w:pPr>
              <w:jc w:val="center"/>
              <w:rPr>
                <w:b/>
              </w:rPr>
            </w:pPr>
            <w:r w:rsidRPr="006E31DB">
              <w:rPr>
                <w:b/>
              </w:rPr>
              <w:t>Part-Time Faculty</w:t>
            </w:r>
          </w:p>
        </w:tc>
        <w:tc>
          <w:tcPr>
            <w:tcW w:w="1915" w:type="dxa"/>
          </w:tcPr>
          <w:p w14:paraId="21C9F721" w14:textId="77777777" w:rsidR="006E31DB" w:rsidRPr="006E31DB" w:rsidRDefault="006E31DB" w:rsidP="003676A6">
            <w:pPr>
              <w:jc w:val="center"/>
              <w:rPr>
                <w:b/>
              </w:rPr>
            </w:pPr>
            <w:r w:rsidRPr="006E31DB">
              <w:rPr>
                <w:b/>
              </w:rPr>
              <w:t>Full-Time Staff</w:t>
            </w:r>
          </w:p>
        </w:tc>
        <w:tc>
          <w:tcPr>
            <w:tcW w:w="1916" w:type="dxa"/>
          </w:tcPr>
          <w:p w14:paraId="5C1A8208" w14:textId="77777777" w:rsidR="006E31DB" w:rsidRPr="006E31DB" w:rsidRDefault="006E31DB" w:rsidP="003676A6">
            <w:pPr>
              <w:jc w:val="center"/>
              <w:rPr>
                <w:b/>
              </w:rPr>
            </w:pPr>
            <w:r w:rsidRPr="006E31DB">
              <w:rPr>
                <w:b/>
              </w:rPr>
              <w:t>Part-Time Staff</w:t>
            </w:r>
          </w:p>
        </w:tc>
      </w:tr>
      <w:tr w:rsidR="006E31DB" w14:paraId="387124F5" w14:textId="77777777" w:rsidTr="006E31DB">
        <w:tc>
          <w:tcPr>
            <w:tcW w:w="1915" w:type="dxa"/>
          </w:tcPr>
          <w:p w14:paraId="66C47453" w14:textId="77777777" w:rsidR="006E31DB" w:rsidRPr="006E31DB" w:rsidRDefault="006E31DB" w:rsidP="003676A6">
            <w:pPr>
              <w:jc w:val="center"/>
              <w:rPr>
                <w:b/>
              </w:rPr>
            </w:pPr>
            <w:r w:rsidRPr="006E31DB">
              <w:rPr>
                <w:b/>
              </w:rPr>
              <w:t>FY 2011</w:t>
            </w:r>
          </w:p>
        </w:tc>
        <w:tc>
          <w:tcPr>
            <w:tcW w:w="1915" w:type="dxa"/>
          </w:tcPr>
          <w:p w14:paraId="19AF70D7" w14:textId="77777777" w:rsidR="006E31DB" w:rsidRDefault="003676A6" w:rsidP="003676A6">
            <w:pPr>
              <w:jc w:val="center"/>
            </w:pPr>
            <w:r>
              <w:t>106</w:t>
            </w:r>
          </w:p>
        </w:tc>
        <w:tc>
          <w:tcPr>
            <w:tcW w:w="1915" w:type="dxa"/>
          </w:tcPr>
          <w:p w14:paraId="7A88B607" w14:textId="77777777" w:rsidR="006E31DB" w:rsidRDefault="003676A6" w:rsidP="003676A6">
            <w:pPr>
              <w:jc w:val="center"/>
            </w:pPr>
            <w:r>
              <w:t>18</w:t>
            </w:r>
          </w:p>
        </w:tc>
        <w:tc>
          <w:tcPr>
            <w:tcW w:w="1915" w:type="dxa"/>
          </w:tcPr>
          <w:p w14:paraId="69BC2726" w14:textId="77777777" w:rsidR="006E31DB" w:rsidRDefault="003676A6" w:rsidP="003676A6">
            <w:pPr>
              <w:jc w:val="center"/>
            </w:pPr>
            <w:r>
              <w:t>182</w:t>
            </w:r>
          </w:p>
        </w:tc>
        <w:tc>
          <w:tcPr>
            <w:tcW w:w="1916" w:type="dxa"/>
          </w:tcPr>
          <w:p w14:paraId="7236B957" w14:textId="77777777" w:rsidR="006E31DB" w:rsidRDefault="003676A6" w:rsidP="003676A6">
            <w:pPr>
              <w:jc w:val="center"/>
            </w:pPr>
            <w:r>
              <w:t>4</w:t>
            </w:r>
          </w:p>
        </w:tc>
      </w:tr>
      <w:tr w:rsidR="006E31DB" w14:paraId="794AEAFB" w14:textId="77777777" w:rsidTr="006E31DB">
        <w:tc>
          <w:tcPr>
            <w:tcW w:w="1915" w:type="dxa"/>
          </w:tcPr>
          <w:p w14:paraId="67A3A9A3" w14:textId="77777777" w:rsidR="006E31DB" w:rsidRPr="00343877" w:rsidRDefault="006E31DB" w:rsidP="003676A6">
            <w:pPr>
              <w:jc w:val="center"/>
              <w:rPr>
                <w:b/>
              </w:rPr>
            </w:pPr>
            <w:r w:rsidRPr="00343877">
              <w:rPr>
                <w:b/>
              </w:rPr>
              <w:t>FY 2012</w:t>
            </w:r>
          </w:p>
        </w:tc>
        <w:tc>
          <w:tcPr>
            <w:tcW w:w="1915" w:type="dxa"/>
          </w:tcPr>
          <w:p w14:paraId="0CAFBBDE" w14:textId="77777777" w:rsidR="006E31DB" w:rsidRPr="00343877" w:rsidRDefault="003676A6" w:rsidP="003676A6">
            <w:pPr>
              <w:jc w:val="center"/>
              <w:rPr>
                <w:b/>
              </w:rPr>
            </w:pPr>
            <w:r w:rsidRPr="00343877">
              <w:rPr>
                <w:b/>
              </w:rPr>
              <w:t>107</w:t>
            </w:r>
          </w:p>
        </w:tc>
        <w:tc>
          <w:tcPr>
            <w:tcW w:w="1915" w:type="dxa"/>
          </w:tcPr>
          <w:p w14:paraId="4CC6EB78" w14:textId="77777777" w:rsidR="006E31DB" w:rsidRPr="00343877" w:rsidRDefault="003676A6" w:rsidP="003676A6">
            <w:pPr>
              <w:jc w:val="center"/>
              <w:rPr>
                <w:b/>
              </w:rPr>
            </w:pPr>
            <w:r w:rsidRPr="00343877">
              <w:rPr>
                <w:b/>
              </w:rPr>
              <w:t>22</w:t>
            </w:r>
          </w:p>
        </w:tc>
        <w:tc>
          <w:tcPr>
            <w:tcW w:w="1915" w:type="dxa"/>
          </w:tcPr>
          <w:p w14:paraId="064440CD" w14:textId="77777777" w:rsidR="006E31DB" w:rsidRPr="00343877" w:rsidRDefault="003676A6" w:rsidP="003676A6">
            <w:pPr>
              <w:jc w:val="center"/>
              <w:rPr>
                <w:b/>
              </w:rPr>
            </w:pPr>
            <w:r w:rsidRPr="00343877">
              <w:rPr>
                <w:b/>
              </w:rPr>
              <w:t>178</w:t>
            </w:r>
          </w:p>
        </w:tc>
        <w:tc>
          <w:tcPr>
            <w:tcW w:w="1916" w:type="dxa"/>
          </w:tcPr>
          <w:p w14:paraId="0376A2A9" w14:textId="77777777" w:rsidR="006E31DB" w:rsidRPr="00343877" w:rsidRDefault="003676A6" w:rsidP="003676A6">
            <w:pPr>
              <w:jc w:val="center"/>
              <w:rPr>
                <w:b/>
              </w:rPr>
            </w:pPr>
            <w:r w:rsidRPr="00343877">
              <w:rPr>
                <w:b/>
              </w:rPr>
              <w:t>8</w:t>
            </w:r>
          </w:p>
        </w:tc>
      </w:tr>
      <w:tr w:rsidR="00A37572" w14:paraId="51455A3E" w14:textId="77777777" w:rsidTr="006E31DB">
        <w:tc>
          <w:tcPr>
            <w:tcW w:w="1915" w:type="dxa"/>
          </w:tcPr>
          <w:p w14:paraId="4A25AB39" w14:textId="77777777" w:rsidR="00A37572" w:rsidRPr="00FE6CA3" w:rsidRDefault="00A37572" w:rsidP="003676A6">
            <w:pPr>
              <w:jc w:val="center"/>
              <w:rPr>
                <w:b/>
              </w:rPr>
            </w:pPr>
            <w:r w:rsidRPr="00FE6CA3">
              <w:rPr>
                <w:b/>
              </w:rPr>
              <w:t>FY 2014</w:t>
            </w:r>
          </w:p>
        </w:tc>
        <w:tc>
          <w:tcPr>
            <w:tcW w:w="1915" w:type="dxa"/>
          </w:tcPr>
          <w:p w14:paraId="22269648" w14:textId="5703C488" w:rsidR="00A37572" w:rsidRPr="00FE6CA3" w:rsidRDefault="00484966" w:rsidP="003676A6">
            <w:pPr>
              <w:jc w:val="center"/>
              <w:rPr>
                <w:b/>
              </w:rPr>
            </w:pPr>
            <w:r w:rsidRPr="00FE6CA3">
              <w:rPr>
                <w:b/>
              </w:rPr>
              <w:t>1</w:t>
            </w:r>
            <w:r w:rsidR="00084D0B" w:rsidRPr="00FE6CA3">
              <w:rPr>
                <w:b/>
              </w:rPr>
              <w:t>0</w:t>
            </w:r>
            <w:r w:rsidRPr="00FE6CA3">
              <w:rPr>
                <w:b/>
              </w:rPr>
              <w:t>5</w:t>
            </w:r>
          </w:p>
        </w:tc>
        <w:tc>
          <w:tcPr>
            <w:tcW w:w="1915" w:type="dxa"/>
          </w:tcPr>
          <w:p w14:paraId="3D600333" w14:textId="46978BB8" w:rsidR="00A37572" w:rsidRPr="00FE6CA3" w:rsidRDefault="00084D0B" w:rsidP="003676A6">
            <w:pPr>
              <w:jc w:val="center"/>
              <w:rPr>
                <w:b/>
              </w:rPr>
            </w:pPr>
            <w:r w:rsidRPr="00FE6CA3">
              <w:rPr>
                <w:b/>
              </w:rPr>
              <w:t>21</w:t>
            </w:r>
          </w:p>
        </w:tc>
        <w:tc>
          <w:tcPr>
            <w:tcW w:w="1915" w:type="dxa"/>
          </w:tcPr>
          <w:p w14:paraId="27679A77" w14:textId="3ED7E46A" w:rsidR="00A37572" w:rsidRPr="00FE6CA3" w:rsidRDefault="00484966" w:rsidP="003676A6">
            <w:pPr>
              <w:jc w:val="center"/>
              <w:rPr>
                <w:b/>
              </w:rPr>
            </w:pPr>
            <w:r w:rsidRPr="00FE6CA3">
              <w:rPr>
                <w:b/>
              </w:rPr>
              <w:t>1</w:t>
            </w:r>
            <w:r w:rsidR="00084D0B" w:rsidRPr="00FE6CA3">
              <w:rPr>
                <w:b/>
              </w:rPr>
              <w:t>9</w:t>
            </w:r>
            <w:r w:rsidRPr="00FE6CA3">
              <w:rPr>
                <w:b/>
              </w:rPr>
              <w:t>5</w:t>
            </w:r>
          </w:p>
        </w:tc>
        <w:tc>
          <w:tcPr>
            <w:tcW w:w="1916" w:type="dxa"/>
          </w:tcPr>
          <w:p w14:paraId="4C9D8007" w14:textId="7B6296CA" w:rsidR="00A37572" w:rsidRPr="00FE6CA3" w:rsidRDefault="00084D0B" w:rsidP="008163D9">
            <w:pPr>
              <w:jc w:val="center"/>
              <w:rPr>
                <w:b/>
              </w:rPr>
            </w:pPr>
            <w:r w:rsidRPr="00FE6CA3">
              <w:rPr>
                <w:b/>
              </w:rPr>
              <w:t>15</w:t>
            </w:r>
          </w:p>
        </w:tc>
      </w:tr>
      <w:tr w:rsidR="00FE6CA3" w14:paraId="3EA90636" w14:textId="77777777" w:rsidTr="006E31DB">
        <w:tc>
          <w:tcPr>
            <w:tcW w:w="1915" w:type="dxa"/>
          </w:tcPr>
          <w:p w14:paraId="2CA00B7F" w14:textId="756014BD" w:rsidR="00FE6CA3" w:rsidRPr="00FE6CA3" w:rsidRDefault="00FE6CA3" w:rsidP="003676A6">
            <w:pPr>
              <w:jc w:val="center"/>
              <w:rPr>
                <w:b/>
                <w:color w:val="00B050"/>
              </w:rPr>
            </w:pPr>
            <w:r w:rsidRPr="00FE6CA3">
              <w:rPr>
                <w:b/>
                <w:color w:val="00B050"/>
              </w:rPr>
              <w:t>FY 2016</w:t>
            </w:r>
          </w:p>
        </w:tc>
        <w:tc>
          <w:tcPr>
            <w:tcW w:w="1915" w:type="dxa"/>
          </w:tcPr>
          <w:p w14:paraId="12E5D8BD" w14:textId="02088FAC" w:rsidR="00FE6CA3" w:rsidRPr="00FE6CA3" w:rsidRDefault="00FE6CA3" w:rsidP="003676A6">
            <w:pPr>
              <w:jc w:val="center"/>
              <w:rPr>
                <w:b/>
                <w:color w:val="00B050"/>
              </w:rPr>
            </w:pPr>
            <w:r w:rsidRPr="00FE6CA3">
              <w:rPr>
                <w:b/>
                <w:color w:val="00B050"/>
              </w:rPr>
              <w:t>103</w:t>
            </w:r>
          </w:p>
        </w:tc>
        <w:tc>
          <w:tcPr>
            <w:tcW w:w="1915" w:type="dxa"/>
          </w:tcPr>
          <w:p w14:paraId="16B876B9" w14:textId="1D7C7A73" w:rsidR="00FE6CA3" w:rsidRPr="00FE6CA3" w:rsidRDefault="00FE6CA3" w:rsidP="003676A6">
            <w:pPr>
              <w:jc w:val="center"/>
              <w:rPr>
                <w:b/>
                <w:color w:val="00B050"/>
              </w:rPr>
            </w:pPr>
            <w:r w:rsidRPr="00FE6CA3">
              <w:rPr>
                <w:b/>
                <w:color w:val="00B050"/>
              </w:rPr>
              <w:t>23</w:t>
            </w:r>
          </w:p>
        </w:tc>
        <w:tc>
          <w:tcPr>
            <w:tcW w:w="1915" w:type="dxa"/>
          </w:tcPr>
          <w:p w14:paraId="3DAF4331" w14:textId="4B7253C3" w:rsidR="00FE6CA3" w:rsidRPr="00FE6CA3" w:rsidRDefault="00FE6CA3" w:rsidP="003676A6">
            <w:pPr>
              <w:jc w:val="center"/>
              <w:rPr>
                <w:b/>
                <w:color w:val="00B050"/>
              </w:rPr>
            </w:pPr>
            <w:r w:rsidRPr="00FE6CA3">
              <w:rPr>
                <w:b/>
                <w:color w:val="00B050"/>
              </w:rPr>
              <w:t>196</w:t>
            </w:r>
          </w:p>
        </w:tc>
        <w:tc>
          <w:tcPr>
            <w:tcW w:w="1916" w:type="dxa"/>
          </w:tcPr>
          <w:p w14:paraId="07B17A2F" w14:textId="7C044357" w:rsidR="00FE6CA3" w:rsidRPr="00FE6CA3" w:rsidRDefault="00FE6CA3" w:rsidP="008163D9">
            <w:pPr>
              <w:jc w:val="center"/>
              <w:rPr>
                <w:b/>
                <w:color w:val="00B050"/>
              </w:rPr>
            </w:pPr>
            <w:r w:rsidRPr="00FE6CA3">
              <w:rPr>
                <w:b/>
                <w:color w:val="00B050"/>
              </w:rPr>
              <w:t>10</w:t>
            </w:r>
          </w:p>
        </w:tc>
      </w:tr>
    </w:tbl>
    <w:p w14:paraId="6A274BB0" w14:textId="6B7799D1" w:rsidR="00211F23" w:rsidRDefault="000938C5" w:rsidP="00BC2C93">
      <w:pPr>
        <w:spacing w:line="480" w:lineRule="auto"/>
        <w:ind w:firstLine="720"/>
        <w:jc w:val="both"/>
        <w:rPr>
          <w:i/>
        </w:rPr>
      </w:pPr>
      <w:r>
        <w:br/>
      </w:r>
      <w:r w:rsidR="003676A6" w:rsidRPr="00760EB2">
        <w:t xml:space="preserve">The Human Resources Office provided all information regarding faculty and staff; </w:t>
      </w:r>
      <w:r w:rsidR="00484966" w:rsidRPr="00760EB2">
        <w:t>Melanie Oelfke</w:t>
      </w:r>
      <w:r w:rsidR="003676A6" w:rsidRPr="00760EB2">
        <w:t xml:space="preserve"> supplied the data above via e-mail.  </w:t>
      </w:r>
      <w:r w:rsidR="00302C56">
        <w:t xml:space="preserve">The numbers entered into the calculator are Full-Time equivalent figures which were calculated like so: # Full time staff/faculty + ½ # Part time staff/faculty. </w:t>
      </w:r>
    </w:p>
    <w:p w14:paraId="008F91CF" w14:textId="77777777" w:rsidR="00211F23" w:rsidRDefault="00211F23" w:rsidP="00BC2C93">
      <w:pPr>
        <w:spacing w:line="480" w:lineRule="auto"/>
        <w:ind w:firstLine="720"/>
        <w:jc w:val="both"/>
        <w:rPr>
          <w:i/>
        </w:rPr>
      </w:pPr>
    </w:p>
    <w:p w14:paraId="1ED950C6" w14:textId="77777777" w:rsidR="00211F23" w:rsidRDefault="00211F23" w:rsidP="00BC2C93">
      <w:pPr>
        <w:spacing w:line="480" w:lineRule="auto"/>
        <w:ind w:firstLine="720"/>
        <w:jc w:val="both"/>
        <w:rPr>
          <w:i/>
        </w:rPr>
      </w:pPr>
    </w:p>
    <w:p w14:paraId="7770F308" w14:textId="01A80418" w:rsidR="006F538D" w:rsidRPr="00945668" w:rsidRDefault="006F538D" w:rsidP="00BC2C93">
      <w:pPr>
        <w:spacing w:line="480" w:lineRule="auto"/>
        <w:ind w:firstLine="720"/>
        <w:jc w:val="both"/>
        <w:rPr>
          <w:i/>
        </w:rPr>
      </w:pPr>
      <w:r w:rsidRPr="00945668">
        <w:rPr>
          <w:i/>
        </w:rPr>
        <w:t>Table 3: Budget and Square Footage Data</w:t>
      </w:r>
    </w:p>
    <w:tbl>
      <w:tblPr>
        <w:tblStyle w:val="TableGrid"/>
        <w:tblW w:w="0" w:type="auto"/>
        <w:tblLayout w:type="fixed"/>
        <w:tblLook w:val="04A0" w:firstRow="1" w:lastRow="0" w:firstColumn="1" w:lastColumn="0" w:noHBand="0" w:noVBand="1"/>
      </w:tblPr>
      <w:tblGrid>
        <w:gridCol w:w="1188"/>
        <w:gridCol w:w="1710"/>
        <w:gridCol w:w="1620"/>
        <w:gridCol w:w="1890"/>
        <w:gridCol w:w="1710"/>
        <w:gridCol w:w="1458"/>
      </w:tblGrid>
      <w:tr w:rsidR="00084D0B" w14:paraId="6CC1AFB6" w14:textId="77777777" w:rsidTr="00945668">
        <w:tc>
          <w:tcPr>
            <w:tcW w:w="1188" w:type="dxa"/>
          </w:tcPr>
          <w:p w14:paraId="66774788" w14:textId="77777777" w:rsidR="003676A6" w:rsidRPr="00CC6CA5" w:rsidRDefault="003676A6" w:rsidP="00CC6CA5">
            <w:pPr>
              <w:jc w:val="center"/>
              <w:rPr>
                <w:b/>
              </w:rPr>
            </w:pPr>
            <w:r w:rsidRPr="00CC6CA5">
              <w:rPr>
                <w:b/>
              </w:rPr>
              <w:t>Fiscal Year</w:t>
            </w:r>
          </w:p>
        </w:tc>
        <w:tc>
          <w:tcPr>
            <w:tcW w:w="1710" w:type="dxa"/>
          </w:tcPr>
          <w:p w14:paraId="09000ABF" w14:textId="77777777" w:rsidR="003676A6" w:rsidRPr="00CC6CA5" w:rsidRDefault="003676A6" w:rsidP="00CC6CA5">
            <w:pPr>
              <w:jc w:val="center"/>
              <w:rPr>
                <w:b/>
              </w:rPr>
            </w:pPr>
            <w:r w:rsidRPr="00CC6CA5">
              <w:rPr>
                <w:b/>
              </w:rPr>
              <w:t xml:space="preserve">Operating Budget </w:t>
            </w:r>
            <w:r w:rsidR="00E35339">
              <w:rPr>
                <w:b/>
              </w:rPr>
              <w:br/>
            </w:r>
            <w:r w:rsidRPr="00CC6CA5">
              <w:rPr>
                <w:b/>
              </w:rPr>
              <w:t>(Total Expenditures)</w:t>
            </w:r>
          </w:p>
        </w:tc>
        <w:tc>
          <w:tcPr>
            <w:tcW w:w="1620" w:type="dxa"/>
          </w:tcPr>
          <w:p w14:paraId="61A8E8CC" w14:textId="77777777" w:rsidR="003676A6" w:rsidRPr="00CC6CA5" w:rsidRDefault="003676A6" w:rsidP="00CC6CA5">
            <w:pPr>
              <w:jc w:val="center"/>
              <w:rPr>
                <w:b/>
              </w:rPr>
            </w:pPr>
            <w:r w:rsidRPr="00CC6CA5">
              <w:rPr>
                <w:b/>
              </w:rPr>
              <w:t>Energy Budget (Including Water)</w:t>
            </w:r>
          </w:p>
        </w:tc>
        <w:tc>
          <w:tcPr>
            <w:tcW w:w="1890" w:type="dxa"/>
          </w:tcPr>
          <w:p w14:paraId="27F7C8C8" w14:textId="77777777" w:rsidR="003676A6" w:rsidRPr="00CC6CA5" w:rsidRDefault="003676A6" w:rsidP="00CC6CA5">
            <w:pPr>
              <w:jc w:val="center"/>
              <w:rPr>
                <w:b/>
              </w:rPr>
            </w:pPr>
            <w:r w:rsidRPr="00CC6CA5">
              <w:rPr>
                <w:b/>
              </w:rPr>
              <w:t>Energy Budget (Excluding Water)</w:t>
            </w:r>
          </w:p>
        </w:tc>
        <w:tc>
          <w:tcPr>
            <w:tcW w:w="1710" w:type="dxa"/>
          </w:tcPr>
          <w:p w14:paraId="67DE5EFF" w14:textId="77777777" w:rsidR="003676A6" w:rsidRPr="00CC6CA5" w:rsidRDefault="003676A6" w:rsidP="00CC6CA5">
            <w:pPr>
              <w:jc w:val="center"/>
              <w:rPr>
                <w:b/>
              </w:rPr>
            </w:pPr>
            <w:r w:rsidRPr="00CC6CA5">
              <w:rPr>
                <w:b/>
              </w:rPr>
              <w:t>Physical Size of Campus Buildings</w:t>
            </w:r>
          </w:p>
        </w:tc>
        <w:tc>
          <w:tcPr>
            <w:tcW w:w="1458" w:type="dxa"/>
          </w:tcPr>
          <w:p w14:paraId="58EF3B45" w14:textId="77777777" w:rsidR="003676A6" w:rsidRPr="00CC6CA5" w:rsidRDefault="003676A6" w:rsidP="00CC6CA5">
            <w:pPr>
              <w:jc w:val="center"/>
              <w:rPr>
                <w:b/>
              </w:rPr>
            </w:pPr>
            <w:r w:rsidRPr="00CC6CA5">
              <w:rPr>
                <w:b/>
              </w:rPr>
              <w:t>Physical Size of Research Space</w:t>
            </w:r>
          </w:p>
        </w:tc>
      </w:tr>
      <w:tr w:rsidR="00084D0B" w14:paraId="487CAD1E" w14:textId="77777777" w:rsidTr="00945668">
        <w:tc>
          <w:tcPr>
            <w:tcW w:w="1188" w:type="dxa"/>
          </w:tcPr>
          <w:p w14:paraId="5D7EDDAA" w14:textId="77777777" w:rsidR="003676A6" w:rsidRPr="00CC6CA5" w:rsidRDefault="003676A6" w:rsidP="00CC6CA5">
            <w:pPr>
              <w:jc w:val="center"/>
              <w:rPr>
                <w:b/>
              </w:rPr>
            </w:pPr>
            <w:r w:rsidRPr="00CC6CA5">
              <w:rPr>
                <w:b/>
              </w:rPr>
              <w:t>FY 2011</w:t>
            </w:r>
          </w:p>
        </w:tc>
        <w:tc>
          <w:tcPr>
            <w:tcW w:w="1710" w:type="dxa"/>
          </w:tcPr>
          <w:p w14:paraId="670AA908" w14:textId="77777777" w:rsidR="003676A6" w:rsidRDefault="003676A6" w:rsidP="00CC6CA5">
            <w:pPr>
              <w:jc w:val="center"/>
            </w:pPr>
            <w:r w:rsidRPr="003676A6">
              <w:t>$40,037,560</w:t>
            </w:r>
          </w:p>
        </w:tc>
        <w:tc>
          <w:tcPr>
            <w:tcW w:w="1620" w:type="dxa"/>
          </w:tcPr>
          <w:p w14:paraId="1F0395CA" w14:textId="77777777" w:rsidR="003676A6" w:rsidRDefault="003676A6" w:rsidP="00CC6CA5">
            <w:pPr>
              <w:jc w:val="center"/>
            </w:pPr>
            <w:r w:rsidRPr="003676A6">
              <w:t>$1,889,254</w:t>
            </w:r>
          </w:p>
        </w:tc>
        <w:tc>
          <w:tcPr>
            <w:tcW w:w="1890" w:type="dxa"/>
          </w:tcPr>
          <w:p w14:paraId="67961FDA" w14:textId="77777777" w:rsidR="003676A6" w:rsidRDefault="00CC6CA5" w:rsidP="00CC6CA5">
            <w:pPr>
              <w:jc w:val="center"/>
            </w:pPr>
            <w:r>
              <w:t>$1,643,189</w:t>
            </w:r>
          </w:p>
        </w:tc>
        <w:tc>
          <w:tcPr>
            <w:tcW w:w="1710" w:type="dxa"/>
          </w:tcPr>
          <w:p w14:paraId="0550D440" w14:textId="77777777" w:rsidR="003676A6" w:rsidRDefault="00CC6CA5" w:rsidP="00CC6CA5">
            <w:pPr>
              <w:jc w:val="center"/>
            </w:pPr>
            <w:r w:rsidRPr="00CC6CA5">
              <w:t>803,474</w:t>
            </w:r>
            <w:r>
              <w:t xml:space="preserve"> Square Feet</w:t>
            </w:r>
          </w:p>
        </w:tc>
        <w:tc>
          <w:tcPr>
            <w:tcW w:w="1458" w:type="dxa"/>
          </w:tcPr>
          <w:p w14:paraId="08EB5DDD" w14:textId="77777777" w:rsidR="003676A6" w:rsidRDefault="00CC6CA5" w:rsidP="00CC6CA5">
            <w:pPr>
              <w:jc w:val="center"/>
            </w:pPr>
            <w:r>
              <w:t>21,000 Square F</w:t>
            </w:r>
            <w:r w:rsidRPr="00CC6CA5">
              <w:t>eet</w:t>
            </w:r>
          </w:p>
        </w:tc>
      </w:tr>
      <w:tr w:rsidR="00084D0B" w:rsidRPr="00CC6CA5" w14:paraId="1C3A0D16" w14:textId="77777777" w:rsidTr="00945668">
        <w:tc>
          <w:tcPr>
            <w:tcW w:w="1188" w:type="dxa"/>
          </w:tcPr>
          <w:p w14:paraId="720A3CD3" w14:textId="77777777" w:rsidR="003676A6" w:rsidRPr="00760EB2" w:rsidRDefault="003676A6" w:rsidP="00CC6CA5">
            <w:pPr>
              <w:jc w:val="center"/>
              <w:rPr>
                <w:b/>
              </w:rPr>
            </w:pPr>
            <w:r w:rsidRPr="00760EB2">
              <w:rPr>
                <w:b/>
              </w:rPr>
              <w:t>FY 2012</w:t>
            </w:r>
          </w:p>
        </w:tc>
        <w:tc>
          <w:tcPr>
            <w:tcW w:w="1710" w:type="dxa"/>
          </w:tcPr>
          <w:p w14:paraId="0DCC5E32" w14:textId="77777777" w:rsidR="003676A6" w:rsidRPr="00760EB2" w:rsidRDefault="003676A6" w:rsidP="00CC6CA5">
            <w:pPr>
              <w:jc w:val="center"/>
              <w:rPr>
                <w:b/>
              </w:rPr>
            </w:pPr>
            <w:r w:rsidRPr="00760EB2">
              <w:rPr>
                <w:b/>
              </w:rPr>
              <w:t>$39,966,810</w:t>
            </w:r>
          </w:p>
        </w:tc>
        <w:tc>
          <w:tcPr>
            <w:tcW w:w="1620" w:type="dxa"/>
          </w:tcPr>
          <w:p w14:paraId="74465B3C" w14:textId="77777777" w:rsidR="003676A6" w:rsidRPr="00760EB2" w:rsidRDefault="003676A6" w:rsidP="00CC6CA5">
            <w:pPr>
              <w:jc w:val="center"/>
              <w:rPr>
                <w:b/>
              </w:rPr>
            </w:pPr>
            <w:r w:rsidRPr="00760EB2">
              <w:rPr>
                <w:b/>
              </w:rPr>
              <w:t>$1,839,630</w:t>
            </w:r>
          </w:p>
        </w:tc>
        <w:tc>
          <w:tcPr>
            <w:tcW w:w="1890" w:type="dxa"/>
          </w:tcPr>
          <w:p w14:paraId="4A26FA0B" w14:textId="77777777" w:rsidR="003676A6" w:rsidRPr="00760EB2" w:rsidRDefault="00CC6CA5" w:rsidP="00CC6CA5">
            <w:pPr>
              <w:jc w:val="center"/>
              <w:rPr>
                <w:b/>
              </w:rPr>
            </w:pPr>
            <w:r w:rsidRPr="00760EB2">
              <w:rPr>
                <w:b/>
              </w:rPr>
              <w:t>$1,529,047</w:t>
            </w:r>
          </w:p>
        </w:tc>
        <w:tc>
          <w:tcPr>
            <w:tcW w:w="1710" w:type="dxa"/>
          </w:tcPr>
          <w:p w14:paraId="54534B8A" w14:textId="77777777" w:rsidR="003676A6" w:rsidRPr="00760EB2" w:rsidRDefault="00CC6CA5" w:rsidP="00CC6CA5">
            <w:pPr>
              <w:jc w:val="center"/>
              <w:rPr>
                <w:b/>
              </w:rPr>
            </w:pPr>
            <w:r w:rsidRPr="00760EB2">
              <w:rPr>
                <w:b/>
              </w:rPr>
              <w:t>803,474 Square Feet</w:t>
            </w:r>
          </w:p>
        </w:tc>
        <w:tc>
          <w:tcPr>
            <w:tcW w:w="1458" w:type="dxa"/>
          </w:tcPr>
          <w:p w14:paraId="1A85DB48" w14:textId="77777777" w:rsidR="003676A6" w:rsidRPr="00760EB2" w:rsidRDefault="00CC6CA5" w:rsidP="00CC6CA5">
            <w:pPr>
              <w:jc w:val="center"/>
              <w:rPr>
                <w:b/>
              </w:rPr>
            </w:pPr>
            <w:r w:rsidRPr="00760EB2">
              <w:rPr>
                <w:b/>
              </w:rPr>
              <w:t>21,000 Square Feet</w:t>
            </w:r>
          </w:p>
        </w:tc>
      </w:tr>
      <w:tr w:rsidR="00084D0B" w:rsidRPr="00CC6CA5" w14:paraId="2098199B" w14:textId="77777777" w:rsidTr="00945668">
        <w:tc>
          <w:tcPr>
            <w:tcW w:w="1188" w:type="dxa"/>
          </w:tcPr>
          <w:p w14:paraId="7A14B3BF" w14:textId="77777777" w:rsidR="00736924" w:rsidRPr="00FE6CA3" w:rsidRDefault="00736924" w:rsidP="00CC6CA5">
            <w:pPr>
              <w:jc w:val="center"/>
              <w:rPr>
                <w:b/>
                <w:color w:val="000000" w:themeColor="text1"/>
              </w:rPr>
            </w:pPr>
            <w:r w:rsidRPr="00FE6CA3">
              <w:rPr>
                <w:b/>
                <w:color w:val="000000" w:themeColor="text1"/>
              </w:rPr>
              <w:t>FY 2014</w:t>
            </w:r>
          </w:p>
        </w:tc>
        <w:tc>
          <w:tcPr>
            <w:tcW w:w="1710" w:type="dxa"/>
          </w:tcPr>
          <w:p w14:paraId="07408D6B" w14:textId="77777777" w:rsidR="00736924" w:rsidRPr="00FE6CA3" w:rsidRDefault="009F15DF" w:rsidP="00CC6CA5">
            <w:pPr>
              <w:jc w:val="center"/>
              <w:rPr>
                <w:b/>
                <w:color w:val="000000" w:themeColor="text1"/>
              </w:rPr>
            </w:pPr>
            <w:r w:rsidRPr="00FE6CA3">
              <w:rPr>
                <w:b/>
                <w:color w:val="000000" w:themeColor="text1"/>
              </w:rPr>
              <w:t>$42,138,102</w:t>
            </w:r>
          </w:p>
        </w:tc>
        <w:tc>
          <w:tcPr>
            <w:tcW w:w="1620" w:type="dxa"/>
          </w:tcPr>
          <w:p w14:paraId="527DEC0E" w14:textId="103FACE3" w:rsidR="00736924" w:rsidRPr="00FE6CA3" w:rsidRDefault="009842E4" w:rsidP="008163D9">
            <w:pPr>
              <w:jc w:val="center"/>
              <w:rPr>
                <w:b/>
                <w:color w:val="000000" w:themeColor="text1"/>
              </w:rPr>
            </w:pPr>
            <w:r w:rsidRPr="00FE6CA3">
              <w:rPr>
                <w:b/>
                <w:color w:val="000000" w:themeColor="text1"/>
              </w:rPr>
              <w:t>$</w:t>
            </w:r>
            <w:r w:rsidR="00084D0B" w:rsidRPr="00FE6CA3">
              <w:rPr>
                <w:b/>
                <w:color w:val="000000" w:themeColor="text1"/>
              </w:rPr>
              <w:t>2,182,751</w:t>
            </w:r>
          </w:p>
        </w:tc>
        <w:tc>
          <w:tcPr>
            <w:tcW w:w="1890" w:type="dxa"/>
          </w:tcPr>
          <w:p w14:paraId="43D5B90A" w14:textId="00DD86C8" w:rsidR="00736924" w:rsidRPr="00FE6CA3" w:rsidRDefault="00407037">
            <w:pPr>
              <w:jc w:val="center"/>
              <w:rPr>
                <w:b/>
                <w:color w:val="000000" w:themeColor="text1"/>
              </w:rPr>
            </w:pPr>
            <w:r w:rsidRPr="00FE6CA3">
              <w:rPr>
                <w:b/>
                <w:color w:val="000000" w:themeColor="text1"/>
              </w:rPr>
              <w:t>$</w:t>
            </w:r>
            <w:r w:rsidR="00084D0B" w:rsidRPr="00FE6CA3">
              <w:rPr>
                <w:b/>
                <w:color w:val="000000" w:themeColor="text1"/>
              </w:rPr>
              <w:t>2,525,469</w:t>
            </w:r>
          </w:p>
        </w:tc>
        <w:tc>
          <w:tcPr>
            <w:tcW w:w="1710" w:type="dxa"/>
          </w:tcPr>
          <w:p w14:paraId="79289A4F" w14:textId="77777777" w:rsidR="00736924" w:rsidRPr="00FE6CA3" w:rsidRDefault="00736924" w:rsidP="00CC6CA5">
            <w:pPr>
              <w:jc w:val="center"/>
              <w:rPr>
                <w:b/>
                <w:color w:val="000000" w:themeColor="text1"/>
              </w:rPr>
            </w:pPr>
            <w:r w:rsidRPr="00FE6CA3">
              <w:rPr>
                <w:b/>
                <w:color w:val="000000" w:themeColor="text1"/>
              </w:rPr>
              <w:t xml:space="preserve">974,054 Square Feet </w:t>
            </w:r>
          </w:p>
        </w:tc>
        <w:tc>
          <w:tcPr>
            <w:tcW w:w="1458" w:type="dxa"/>
          </w:tcPr>
          <w:p w14:paraId="25B4B533" w14:textId="77777777" w:rsidR="00736924" w:rsidRPr="00FE6CA3" w:rsidRDefault="00C31561" w:rsidP="00CC6CA5">
            <w:pPr>
              <w:jc w:val="center"/>
              <w:rPr>
                <w:b/>
                <w:color w:val="000000" w:themeColor="text1"/>
              </w:rPr>
            </w:pPr>
            <w:r w:rsidRPr="00FE6CA3">
              <w:rPr>
                <w:b/>
                <w:color w:val="000000" w:themeColor="text1"/>
              </w:rPr>
              <w:t>29,925 Square Feet</w:t>
            </w:r>
          </w:p>
        </w:tc>
      </w:tr>
      <w:tr w:rsidR="00FE6CA3" w:rsidRPr="00CC6CA5" w14:paraId="3CCE933A" w14:textId="77777777" w:rsidTr="00945668">
        <w:tc>
          <w:tcPr>
            <w:tcW w:w="1188" w:type="dxa"/>
          </w:tcPr>
          <w:p w14:paraId="7A150717" w14:textId="5BF2E078" w:rsidR="00FE6CA3" w:rsidRPr="00FE6CA3" w:rsidRDefault="00FE6CA3" w:rsidP="00CC6CA5">
            <w:pPr>
              <w:jc w:val="center"/>
              <w:rPr>
                <w:b/>
                <w:color w:val="00B050"/>
              </w:rPr>
            </w:pPr>
            <w:r w:rsidRPr="00FE6CA3">
              <w:rPr>
                <w:b/>
                <w:color w:val="00B050"/>
              </w:rPr>
              <w:t>FY 2016</w:t>
            </w:r>
          </w:p>
        </w:tc>
        <w:tc>
          <w:tcPr>
            <w:tcW w:w="1710" w:type="dxa"/>
          </w:tcPr>
          <w:p w14:paraId="13BE079A" w14:textId="0F9A3F67" w:rsidR="00FE6CA3" w:rsidRPr="00FE6CA3" w:rsidRDefault="00FE6CA3" w:rsidP="00CC6CA5">
            <w:pPr>
              <w:jc w:val="center"/>
              <w:rPr>
                <w:b/>
                <w:color w:val="00B050"/>
              </w:rPr>
            </w:pPr>
            <w:r w:rsidRPr="00FE6CA3">
              <w:rPr>
                <w:b/>
                <w:color w:val="00B050"/>
              </w:rPr>
              <w:t>$46,645,004</w:t>
            </w:r>
          </w:p>
        </w:tc>
        <w:tc>
          <w:tcPr>
            <w:tcW w:w="1620" w:type="dxa"/>
          </w:tcPr>
          <w:p w14:paraId="7C36575D" w14:textId="2B7F03CC" w:rsidR="00FE6CA3" w:rsidRPr="00FE6CA3" w:rsidRDefault="00FE6CA3" w:rsidP="008163D9">
            <w:pPr>
              <w:jc w:val="center"/>
              <w:rPr>
                <w:b/>
                <w:color w:val="00B050"/>
              </w:rPr>
            </w:pPr>
            <w:r w:rsidRPr="00FE6CA3">
              <w:rPr>
                <w:b/>
                <w:color w:val="00B050"/>
              </w:rPr>
              <w:t>$2,552,112</w:t>
            </w:r>
          </w:p>
        </w:tc>
        <w:tc>
          <w:tcPr>
            <w:tcW w:w="1890" w:type="dxa"/>
          </w:tcPr>
          <w:p w14:paraId="4BC2825F" w14:textId="42C1777C" w:rsidR="00FE6CA3" w:rsidRPr="00FE6CA3" w:rsidRDefault="00FE6CA3">
            <w:pPr>
              <w:jc w:val="center"/>
              <w:rPr>
                <w:b/>
                <w:color w:val="00B050"/>
              </w:rPr>
            </w:pPr>
            <w:r w:rsidRPr="00FE6CA3">
              <w:rPr>
                <w:b/>
                <w:color w:val="00B050"/>
              </w:rPr>
              <w:t>$2,141,394</w:t>
            </w:r>
          </w:p>
        </w:tc>
        <w:tc>
          <w:tcPr>
            <w:tcW w:w="1710" w:type="dxa"/>
          </w:tcPr>
          <w:p w14:paraId="00104C75" w14:textId="2BEFB353" w:rsidR="00FE6CA3" w:rsidRPr="00FE6CA3" w:rsidRDefault="00FE6CA3" w:rsidP="00CC6CA5">
            <w:pPr>
              <w:jc w:val="center"/>
              <w:rPr>
                <w:b/>
                <w:color w:val="00B050"/>
              </w:rPr>
            </w:pPr>
            <w:r w:rsidRPr="00FE6CA3">
              <w:rPr>
                <w:b/>
                <w:color w:val="00B050"/>
              </w:rPr>
              <w:t>974,054 Square Feet</w:t>
            </w:r>
          </w:p>
        </w:tc>
        <w:tc>
          <w:tcPr>
            <w:tcW w:w="1458" w:type="dxa"/>
          </w:tcPr>
          <w:p w14:paraId="0C51E518" w14:textId="07F66A59" w:rsidR="00FE6CA3" w:rsidRPr="00FE6CA3" w:rsidRDefault="00FE6CA3" w:rsidP="00CC6CA5">
            <w:pPr>
              <w:jc w:val="center"/>
              <w:rPr>
                <w:b/>
                <w:color w:val="00B050"/>
              </w:rPr>
            </w:pPr>
            <w:r w:rsidRPr="00FE6CA3">
              <w:rPr>
                <w:b/>
                <w:color w:val="00B050"/>
              </w:rPr>
              <w:t>29,925 Square Feet</w:t>
            </w:r>
          </w:p>
        </w:tc>
      </w:tr>
    </w:tbl>
    <w:p w14:paraId="061B0C01" w14:textId="77777777" w:rsidR="003676A6" w:rsidRPr="00CC6CA5" w:rsidRDefault="003676A6" w:rsidP="0097227C">
      <w:pPr>
        <w:spacing w:line="480" w:lineRule="auto"/>
        <w:jc w:val="both"/>
        <w:rPr>
          <w:b/>
          <w:color w:val="FF0000"/>
        </w:rPr>
      </w:pPr>
    </w:p>
    <w:p w14:paraId="56A83AC9" w14:textId="77576B02" w:rsidR="00157CBC" w:rsidRDefault="00FE6CA3" w:rsidP="00157CBC">
      <w:pPr>
        <w:spacing w:line="480" w:lineRule="auto"/>
        <w:ind w:firstLine="720"/>
        <w:jc w:val="both"/>
      </w:pPr>
      <w:r>
        <w:t>David Turk, Director of Facilities,</w:t>
      </w:r>
      <w:r w:rsidR="00157CBC" w:rsidRPr="00760EB2">
        <w:t xml:space="preserve"> maintains a master spreadsheet of the physical size of all campus facilities. </w:t>
      </w:r>
      <w:r w:rsidR="008A69AD" w:rsidRPr="00FE6CA3">
        <w:rPr>
          <w:b/>
          <w:color w:val="FF0000"/>
        </w:rPr>
        <w:t>The</w:t>
      </w:r>
      <w:r w:rsidR="00157CBC" w:rsidRPr="00FE6CA3">
        <w:rPr>
          <w:b/>
          <w:color w:val="FF0000"/>
        </w:rPr>
        <w:t xml:space="preserve"> previous science building, named Moody Science, was closed </w:t>
      </w:r>
      <w:r w:rsidR="008A69AD" w:rsidRPr="00FE6CA3">
        <w:rPr>
          <w:b/>
          <w:color w:val="FF0000"/>
        </w:rPr>
        <w:t xml:space="preserve">to student, staff, or faculty use </w:t>
      </w:r>
      <w:r w:rsidR="00157CBC" w:rsidRPr="00FE6CA3">
        <w:rPr>
          <w:b/>
          <w:color w:val="FF0000"/>
        </w:rPr>
        <w:t>after the</w:t>
      </w:r>
      <w:r w:rsidR="00BC6D93" w:rsidRPr="00FE6CA3">
        <w:rPr>
          <w:b/>
          <w:color w:val="FF0000"/>
        </w:rPr>
        <w:t xml:space="preserve"> spring semester of FY 2013; there is now only one room (the NMR lab) which is still being used for research purposes, and it has been accounted for in the total square feet of research space. </w:t>
      </w:r>
    </w:p>
    <w:p w14:paraId="25B1C285" w14:textId="631E3C3E" w:rsidR="006F538D" w:rsidRPr="00945668" w:rsidRDefault="006F538D" w:rsidP="00157CBC">
      <w:pPr>
        <w:spacing w:line="480" w:lineRule="auto"/>
        <w:ind w:firstLine="720"/>
        <w:jc w:val="both"/>
        <w:rPr>
          <w:i/>
        </w:rPr>
      </w:pPr>
      <w:r>
        <w:tab/>
      </w:r>
      <w:r w:rsidRPr="00945668">
        <w:rPr>
          <w:i/>
        </w:rPr>
        <w:t>Table 4: Endowment Size</w:t>
      </w:r>
    </w:p>
    <w:tbl>
      <w:tblPr>
        <w:tblStyle w:val="TableGrid"/>
        <w:tblW w:w="0" w:type="auto"/>
        <w:tblLook w:val="04A0" w:firstRow="1" w:lastRow="0" w:firstColumn="1" w:lastColumn="0" w:noHBand="0" w:noVBand="1"/>
      </w:tblPr>
      <w:tblGrid>
        <w:gridCol w:w="4565"/>
        <w:gridCol w:w="4605"/>
      </w:tblGrid>
      <w:tr w:rsidR="00D73D54" w14:paraId="3F67EE2F" w14:textId="77777777" w:rsidTr="00D73D54">
        <w:tc>
          <w:tcPr>
            <w:tcW w:w="4788" w:type="dxa"/>
          </w:tcPr>
          <w:p w14:paraId="0EE4023F" w14:textId="77777777" w:rsidR="00D73D54" w:rsidRPr="00D73D54" w:rsidRDefault="00D73D54" w:rsidP="00D73D54">
            <w:pPr>
              <w:jc w:val="center"/>
              <w:rPr>
                <w:b/>
              </w:rPr>
            </w:pPr>
            <w:r w:rsidRPr="00D73D54">
              <w:rPr>
                <w:b/>
              </w:rPr>
              <w:t>Fiscal Year</w:t>
            </w:r>
          </w:p>
        </w:tc>
        <w:tc>
          <w:tcPr>
            <w:tcW w:w="4788" w:type="dxa"/>
          </w:tcPr>
          <w:p w14:paraId="5C36DA77" w14:textId="77777777" w:rsidR="00D73D54" w:rsidRPr="00D73D54" w:rsidRDefault="00D73D54" w:rsidP="00D73D54">
            <w:pPr>
              <w:jc w:val="center"/>
              <w:rPr>
                <w:b/>
              </w:rPr>
            </w:pPr>
            <w:r w:rsidRPr="00D73D54">
              <w:rPr>
                <w:b/>
              </w:rPr>
              <w:t>Austin College Endowment</w:t>
            </w:r>
            <w:r>
              <w:rPr>
                <w:b/>
              </w:rPr>
              <w:t xml:space="preserve"> </w:t>
            </w:r>
            <w:r>
              <w:rPr>
                <w:b/>
              </w:rPr>
              <w:br/>
              <w:t>(Value at June 30 – FY End Date)</w:t>
            </w:r>
          </w:p>
        </w:tc>
      </w:tr>
      <w:tr w:rsidR="00D73D54" w14:paraId="560B846F" w14:textId="77777777" w:rsidTr="00D73D54">
        <w:tc>
          <w:tcPr>
            <w:tcW w:w="4788" w:type="dxa"/>
          </w:tcPr>
          <w:p w14:paraId="11294A95" w14:textId="77777777" w:rsidR="00D73D54" w:rsidRPr="00760EB2" w:rsidRDefault="00D73D54" w:rsidP="00D73D54">
            <w:pPr>
              <w:jc w:val="center"/>
              <w:rPr>
                <w:b/>
              </w:rPr>
            </w:pPr>
            <w:r w:rsidRPr="00760EB2">
              <w:rPr>
                <w:b/>
              </w:rPr>
              <w:t>FY 2012</w:t>
            </w:r>
          </w:p>
        </w:tc>
        <w:tc>
          <w:tcPr>
            <w:tcW w:w="4788" w:type="dxa"/>
          </w:tcPr>
          <w:p w14:paraId="781EF0DF" w14:textId="77777777" w:rsidR="00D73D54" w:rsidRPr="00760EB2" w:rsidRDefault="00D73D54" w:rsidP="00D73D54">
            <w:pPr>
              <w:jc w:val="center"/>
              <w:rPr>
                <w:b/>
              </w:rPr>
            </w:pPr>
            <w:r w:rsidRPr="00760EB2">
              <w:rPr>
                <w:b/>
              </w:rPr>
              <w:t>$119,456,571</w:t>
            </w:r>
          </w:p>
        </w:tc>
      </w:tr>
      <w:tr w:rsidR="00D73D54" w14:paraId="1BA667ED" w14:textId="77777777" w:rsidTr="00D73D54">
        <w:tc>
          <w:tcPr>
            <w:tcW w:w="4788" w:type="dxa"/>
          </w:tcPr>
          <w:p w14:paraId="12E4860C" w14:textId="77777777" w:rsidR="00D73D54" w:rsidRPr="00D73D54" w:rsidRDefault="00D73D54" w:rsidP="00D73D54">
            <w:pPr>
              <w:jc w:val="center"/>
              <w:rPr>
                <w:b/>
              </w:rPr>
            </w:pPr>
            <w:r w:rsidRPr="00D73D54">
              <w:rPr>
                <w:b/>
              </w:rPr>
              <w:t>FY 2013</w:t>
            </w:r>
          </w:p>
        </w:tc>
        <w:tc>
          <w:tcPr>
            <w:tcW w:w="4788" w:type="dxa"/>
          </w:tcPr>
          <w:p w14:paraId="63F7272A" w14:textId="77777777" w:rsidR="00D73D54" w:rsidRDefault="00D73D54" w:rsidP="00D73D54">
            <w:pPr>
              <w:jc w:val="center"/>
            </w:pPr>
            <w:r w:rsidRPr="00D73D54">
              <w:t>$124,800,382</w:t>
            </w:r>
          </w:p>
        </w:tc>
      </w:tr>
      <w:tr w:rsidR="00343877" w14:paraId="1866F492" w14:textId="77777777" w:rsidTr="00D73D54">
        <w:tc>
          <w:tcPr>
            <w:tcW w:w="4788" w:type="dxa"/>
          </w:tcPr>
          <w:p w14:paraId="59EDB7A1" w14:textId="77777777" w:rsidR="00343877" w:rsidRPr="00FE6CA3" w:rsidRDefault="00343877" w:rsidP="00D73D54">
            <w:pPr>
              <w:jc w:val="center"/>
              <w:rPr>
                <w:b/>
                <w:color w:val="000000" w:themeColor="text1"/>
              </w:rPr>
            </w:pPr>
            <w:r w:rsidRPr="00FE6CA3">
              <w:rPr>
                <w:b/>
                <w:color w:val="000000" w:themeColor="text1"/>
              </w:rPr>
              <w:t>FY 2014</w:t>
            </w:r>
          </w:p>
        </w:tc>
        <w:tc>
          <w:tcPr>
            <w:tcW w:w="4788" w:type="dxa"/>
          </w:tcPr>
          <w:p w14:paraId="0FAA6EBD" w14:textId="77777777" w:rsidR="00343877" w:rsidRPr="00FE6CA3" w:rsidRDefault="00171F34" w:rsidP="00D73D54">
            <w:pPr>
              <w:jc w:val="center"/>
              <w:rPr>
                <w:b/>
                <w:color w:val="000000" w:themeColor="text1"/>
              </w:rPr>
            </w:pPr>
            <w:r w:rsidRPr="00FE6CA3">
              <w:rPr>
                <w:b/>
                <w:color w:val="000000" w:themeColor="text1"/>
              </w:rPr>
              <w:t>$135,768,645</w:t>
            </w:r>
          </w:p>
        </w:tc>
      </w:tr>
      <w:tr w:rsidR="00FE6CA3" w14:paraId="4885BFEE" w14:textId="77777777" w:rsidTr="00D73D54">
        <w:tc>
          <w:tcPr>
            <w:tcW w:w="4788" w:type="dxa"/>
          </w:tcPr>
          <w:p w14:paraId="2FAF5897" w14:textId="44FAA8E5" w:rsidR="00FE6CA3" w:rsidRPr="00FE6CA3" w:rsidRDefault="00FE6CA3" w:rsidP="00FE6CA3">
            <w:pPr>
              <w:tabs>
                <w:tab w:val="left" w:pos="3433"/>
              </w:tabs>
              <w:jc w:val="center"/>
              <w:rPr>
                <w:b/>
                <w:color w:val="00B050"/>
              </w:rPr>
            </w:pPr>
            <w:r w:rsidRPr="00FE6CA3">
              <w:rPr>
                <w:b/>
                <w:color w:val="00B050"/>
              </w:rPr>
              <w:t>FY 2016</w:t>
            </w:r>
          </w:p>
        </w:tc>
        <w:tc>
          <w:tcPr>
            <w:tcW w:w="4788" w:type="dxa"/>
          </w:tcPr>
          <w:p w14:paraId="74E67790" w14:textId="5F2E28EA" w:rsidR="00FE6CA3" w:rsidRPr="00FE6CA3" w:rsidRDefault="00FE6CA3" w:rsidP="00D73D54">
            <w:pPr>
              <w:jc w:val="center"/>
              <w:rPr>
                <w:b/>
                <w:color w:val="00B050"/>
              </w:rPr>
            </w:pPr>
            <w:r w:rsidRPr="00FE6CA3">
              <w:rPr>
                <w:b/>
                <w:color w:val="00B050"/>
              </w:rPr>
              <w:t>$125,619,987</w:t>
            </w:r>
          </w:p>
        </w:tc>
      </w:tr>
    </w:tbl>
    <w:p w14:paraId="40C14973" w14:textId="77777777" w:rsidR="00157CBC" w:rsidRDefault="00157CBC" w:rsidP="0097227C">
      <w:pPr>
        <w:spacing w:line="480" w:lineRule="auto"/>
        <w:jc w:val="both"/>
        <w:rPr>
          <w:i/>
          <w:color w:val="92D050"/>
        </w:rPr>
      </w:pPr>
    </w:p>
    <w:p w14:paraId="522B9466" w14:textId="53BA0646" w:rsidR="00D73D54" w:rsidRPr="00760EB2" w:rsidRDefault="005D5E5B" w:rsidP="0097227C">
      <w:pPr>
        <w:spacing w:line="480" w:lineRule="auto"/>
        <w:jc w:val="both"/>
      </w:pPr>
      <w:r w:rsidRPr="00760EB2">
        <w:t>Ellen Miles</w:t>
      </w:r>
      <w:r w:rsidR="001904FB">
        <w:t>, Controller in</w:t>
      </w:r>
      <w:r w:rsidR="00157CBC" w:rsidRPr="00760EB2">
        <w:t xml:space="preserve"> the Business Office</w:t>
      </w:r>
      <w:r w:rsidR="001904FB">
        <w:t>,</w:t>
      </w:r>
      <w:r w:rsidR="00157CBC" w:rsidRPr="00760EB2">
        <w:t xml:space="preserve"> provided all budget information via e-mail.  Water expenditures are frequently included in energy budget reporting, however, the </w:t>
      </w:r>
      <w:r w:rsidR="004331BD">
        <w:t>CCC</w:t>
      </w:r>
      <w:r w:rsidR="004331BD" w:rsidRPr="00760EB2">
        <w:t xml:space="preserve"> </w:t>
      </w:r>
      <w:r w:rsidR="00157CBC" w:rsidRPr="00760EB2">
        <w:t xml:space="preserve">calculator specifically requests that water expenditures not be included in energy budget reporting.  Thus, </w:t>
      </w:r>
      <w:r w:rsidRPr="00760EB2">
        <w:t xml:space="preserve">Ellen Miles </w:t>
      </w:r>
      <w:r w:rsidR="00157CBC" w:rsidRPr="00760EB2">
        <w:t>also included the value of the College’</w:t>
      </w:r>
      <w:r w:rsidR="00FE6CA3">
        <w:t>s water expenditures for FY 2016</w:t>
      </w:r>
      <w:r w:rsidR="00157CBC" w:rsidRPr="00760EB2">
        <w:t xml:space="preserve"> so that they </w:t>
      </w:r>
      <w:r w:rsidR="00157CBC" w:rsidRPr="00760EB2">
        <w:lastRenderedPageBreak/>
        <w:t xml:space="preserve">could be deducted from the energy budget for reporting purposes. </w:t>
      </w:r>
      <w:r w:rsidRPr="00760EB2">
        <w:t>The FY 201</w:t>
      </w:r>
      <w:r w:rsidR="00FE6CA3">
        <w:t>6</w:t>
      </w:r>
      <w:r w:rsidRPr="00760EB2">
        <w:t xml:space="preserve"> Energy Budget</w:t>
      </w:r>
      <w:r w:rsidR="008E403D">
        <w:t>, ex</w:t>
      </w:r>
      <w:r w:rsidR="001904FB">
        <w:t>c</w:t>
      </w:r>
      <w:r w:rsidR="008E403D">
        <w:t>luding water,</w:t>
      </w:r>
      <w:r w:rsidRPr="00760EB2">
        <w:t xml:space="preserve"> was </w:t>
      </w:r>
      <w:r w:rsidRPr="00FE6CA3">
        <w:rPr>
          <w:b/>
          <w:color w:val="00B050"/>
        </w:rPr>
        <w:t>$</w:t>
      </w:r>
      <w:r w:rsidR="00FE6CA3" w:rsidRPr="00FE6CA3">
        <w:rPr>
          <w:b/>
          <w:color w:val="00B050"/>
        </w:rPr>
        <w:t>2,141,394</w:t>
      </w:r>
      <w:r w:rsidRPr="00FE6CA3">
        <w:rPr>
          <w:color w:val="00B050"/>
        </w:rPr>
        <w:t xml:space="preserve"> </w:t>
      </w:r>
      <w:r w:rsidRPr="00760EB2">
        <w:t xml:space="preserve">while the total operating budget was </w:t>
      </w:r>
      <w:r w:rsidRPr="00FE6CA3">
        <w:rPr>
          <w:b/>
          <w:color w:val="00B050"/>
        </w:rPr>
        <w:t>$</w:t>
      </w:r>
      <w:r w:rsidR="00FE6CA3" w:rsidRPr="00FE6CA3">
        <w:rPr>
          <w:b/>
          <w:color w:val="00B050"/>
        </w:rPr>
        <w:t>46,645,004</w:t>
      </w:r>
      <w:r w:rsidRPr="00FE6CA3">
        <w:rPr>
          <w:b/>
          <w:color w:val="00B050"/>
        </w:rPr>
        <w:t>.00</w:t>
      </w:r>
      <w:r w:rsidRPr="00760EB2">
        <w:t>.</w:t>
      </w:r>
      <w:r w:rsidR="00A410AD">
        <w:t xml:space="preserve"> </w:t>
      </w:r>
      <w:r w:rsidR="00171F34" w:rsidRPr="00760EB2">
        <w:t>Danita Harston</w:t>
      </w:r>
      <w:r w:rsidR="008E403D">
        <w:t>, Investment and Loan Accountant</w:t>
      </w:r>
      <w:r w:rsidR="00157CBC" w:rsidRPr="00760EB2">
        <w:t xml:space="preserve"> of the Business Office</w:t>
      </w:r>
      <w:r w:rsidR="008E403D">
        <w:t>,</w:t>
      </w:r>
      <w:r w:rsidR="00157CBC" w:rsidRPr="00760EB2">
        <w:t xml:space="preserve"> provided all endowment information via e-mail.</w:t>
      </w:r>
    </w:p>
    <w:p w14:paraId="6CE8DBCD" w14:textId="77777777" w:rsidR="00E35339" w:rsidRDefault="00E35339" w:rsidP="0097227C">
      <w:pPr>
        <w:spacing w:line="480" w:lineRule="auto"/>
        <w:jc w:val="both"/>
        <w:rPr>
          <w:i/>
        </w:rPr>
      </w:pPr>
    </w:p>
    <w:p w14:paraId="3C454401" w14:textId="77777777" w:rsidR="0097227C" w:rsidRPr="00760EB2" w:rsidRDefault="0097227C" w:rsidP="0097227C">
      <w:pPr>
        <w:spacing w:line="480" w:lineRule="auto"/>
        <w:jc w:val="both"/>
        <w:rPr>
          <w:i/>
        </w:rPr>
      </w:pPr>
      <w:r w:rsidRPr="00760EB2">
        <w:rPr>
          <w:i/>
        </w:rPr>
        <w:t>Gasoline Fleet</w:t>
      </w:r>
    </w:p>
    <w:p w14:paraId="484EB002" w14:textId="037E3A35" w:rsidR="003E580C" w:rsidRPr="00760EB2" w:rsidRDefault="0097227C" w:rsidP="0097227C">
      <w:pPr>
        <w:spacing w:line="480" w:lineRule="auto"/>
        <w:jc w:val="both"/>
      </w:pPr>
      <w:r w:rsidRPr="00760EB2">
        <w:tab/>
        <w:t xml:space="preserve">This section includes gasoline consumed by Physical Plant </w:t>
      </w:r>
      <w:r w:rsidR="003E580C" w:rsidRPr="00760EB2">
        <w:t xml:space="preserve">vehicles, </w:t>
      </w:r>
      <w:r w:rsidRPr="00760EB2">
        <w:t>Cam</w:t>
      </w:r>
      <w:r w:rsidR="003E580C" w:rsidRPr="00760EB2">
        <w:t xml:space="preserve">pus Police vehicles, Biology Dept. vans, and other College-owned vehicles. </w:t>
      </w:r>
      <w:r w:rsidR="00D17462" w:rsidRPr="00760EB2">
        <w:t>Methods of data collection for the</w:t>
      </w:r>
      <w:r w:rsidR="001904FB">
        <w:t xml:space="preserve">se </w:t>
      </w:r>
      <w:r w:rsidR="00D17462" w:rsidRPr="00760EB2">
        <w:t xml:space="preserve">vehicles </w:t>
      </w:r>
      <w:r w:rsidR="004331BD">
        <w:t>were</w:t>
      </w:r>
      <w:r w:rsidR="004331BD" w:rsidRPr="00760EB2">
        <w:t xml:space="preserve"> </w:t>
      </w:r>
      <w:r w:rsidR="003E580C" w:rsidRPr="00760EB2">
        <w:t>as follows:</w:t>
      </w:r>
    </w:p>
    <w:p w14:paraId="0DC307CF" w14:textId="78EF831A" w:rsidR="003E580C" w:rsidRDefault="003E580C" w:rsidP="003E580C">
      <w:pPr>
        <w:pStyle w:val="ListParagraph"/>
        <w:numPr>
          <w:ilvl w:val="0"/>
          <w:numId w:val="2"/>
        </w:numPr>
        <w:spacing w:line="480" w:lineRule="auto"/>
        <w:jc w:val="both"/>
      </w:pPr>
      <w:r w:rsidRPr="00760EB2">
        <w:t xml:space="preserve">The College has a gasoline pump located at the Physical Plant that is used by College-owned vehicles operated by Physical Plant staff, </w:t>
      </w:r>
      <w:r w:rsidR="00D17462" w:rsidRPr="00760EB2">
        <w:t xml:space="preserve">Vice President </w:t>
      </w:r>
      <w:r w:rsidRPr="00760EB2">
        <w:t xml:space="preserve">Heidi Ellis, and the </w:t>
      </w:r>
      <w:r w:rsidR="00D17462" w:rsidRPr="00760EB2">
        <w:t>Athletics Dept. (they operate</w:t>
      </w:r>
      <w:r w:rsidRPr="00760EB2">
        <w:t xml:space="preserve"> a “Gator”</w:t>
      </w:r>
      <w:r w:rsidR="00D17462" w:rsidRPr="00760EB2">
        <w:t xml:space="preserve"> during</w:t>
      </w:r>
      <w:r w:rsidRPr="00760EB2">
        <w:t xml:space="preserve"> outdoor athletics events</w:t>
      </w:r>
      <w:r w:rsidR="005D5E5B" w:rsidRPr="00760EB2">
        <w:t xml:space="preserve">). </w:t>
      </w:r>
      <w:r w:rsidRPr="00760EB2">
        <w:t>Physical Plant Office Manager, Linda Welch</w:t>
      </w:r>
      <w:r w:rsidR="00925249">
        <w:t xml:space="preserve"> provided the </w:t>
      </w:r>
      <w:r w:rsidR="00925249" w:rsidRPr="00760EB2">
        <w:t>Physical Plant’s FY 201</w:t>
      </w:r>
      <w:r w:rsidR="00FE6CA3">
        <w:t>6</w:t>
      </w:r>
      <w:r w:rsidR="00925249" w:rsidRPr="00760EB2">
        <w:t xml:space="preserve"> purchased fuel log (gallons of unleaded and diesel fuel)</w:t>
      </w:r>
      <w:r w:rsidRPr="00760EB2">
        <w:t xml:space="preserve">.  </w:t>
      </w:r>
      <w:r w:rsidR="00094594">
        <w:t xml:space="preserve"> </w:t>
      </w:r>
    </w:p>
    <w:p w14:paraId="565F3E4C" w14:textId="77777777" w:rsidR="00211F23" w:rsidRDefault="00211F23" w:rsidP="00945668">
      <w:pPr>
        <w:spacing w:line="480" w:lineRule="auto"/>
        <w:ind w:left="1080"/>
        <w:jc w:val="both"/>
        <w:rPr>
          <w:i/>
        </w:rPr>
      </w:pPr>
    </w:p>
    <w:p w14:paraId="19F9FF03" w14:textId="00208695" w:rsidR="006F538D" w:rsidRPr="00945668" w:rsidRDefault="006F538D" w:rsidP="00945668">
      <w:pPr>
        <w:spacing w:line="480" w:lineRule="auto"/>
        <w:ind w:left="1080"/>
        <w:jc w:val="both"/>
        <w:rPr>
          <w:i/>
        </w:rPr>
      </w:pPr>
      <w:r w:rsidRPr="00945668">
        <w:rPr>
          <w:i/>
        </w:rPr>
        <w:t>Table 5</w:t>
      </w:r>
      <w:r>
        <w:rPr>
          <w:i/>
        </w:rPr>
        <w:t>a</w:t>
      </w:r>
      <w:r w:rsidRPr="00945668">
        <w:rPr>
          <w:i/>
        </w:rPr>
        <w:t xml:space="preserve">: Gallons of Gasoline </w:t>
      </w:r>
    </w:p>
    <w:tbl>
      <w:tblPr>
        <w:tblStyle w:val="TableGrid"/>
        <w:tblW w:w="0" w:type="auto"/>
        <w:tblInd w:w="595" w:type="dxa"/>
        <w:tblLook w:val="04A0" w:firstRow="1" w:lastRow="0" w:firstColumn="1" w:lastColumn="0" w:noHBand="0" w:noVBand="1"/>
      </w:tblPr>
      <w:tblGrid>
        <w:gridCol w:w="2597"/>
        <w:gridCol w:w="2670"/>
        <w:gridCol w:w="2643"/>
      </w:tblGrid>
      <w:tr w:rsidR="00AB6EC9" w14:paraId="73885675" w14:textId="77777777" w:rsidTr="00945668">
        <w:tc>
          <w:tcPr>
            <w:tcW w:w="2597" w:type="dxa"/>
          </w:tcPr>
          <w:p w14:paraId="0E0F43D4" w14:textId="77777777" w:rsidR="00AB6EC9" w:rsidRPr="00AB6EC9" w:rsidRDefault="00AB6EC9" w:rsidP="00AB6EC9">
            <w:pPr>
              <w:pStyle w:val="ListParagraph"/>
              <w:ind w:left="0"/>
              <w:jc w:val="center"/>
              <w:rPr>
                <w:b/>
              </w:rPr>
            </w:pPr>
            <w:r w:rsidRPr="00AB6EC9">
              <w:rPr>
                <w:b/>
              </w:rPr>
              <w:t>Fiscal Year</w:t>
            </w:r>
          </w:p>
        </w:tc>
        <w:tc>
          <w:tcPr>
            <w:tcW w:w="2670" w:type="dxa"/>
          </w:tcPr>
          <w:p w14:paraId="7AA9D542" w14:textId="77777777" w:rsidR="00AB6EC9" w:rsidRPr="00AB6EC9" w:rsidRDefault="00AB6EC9" w:rsidP="00AB6EC9">
            <w:pPr>
              <w:pStyle w:val="ListParagraph"/>
              <w:ind w:left="0"/>
              <w:jc w:val="center"/>
              <w:rPr>
                <w:b/>
              </w:rPr>
            </w:pPr>
            <w:r w:rsidRPr="00AB6EC9">
              <w:rPr>
                <w:b/>
              </w:rPr>
              <w:t>Gallons of Regular Gasoline</w:t>
            </w:r>
          </w:p>
        </w:tc>
        <w:tc>
          <w:tcPr>
            <w:tcW w:w="2643" w:type="dxa"/>
          </w:tcPr>
          <w:p w14:paraId="60673C7C" w14:textId="77777777" w:rsidR="00AB6EC9" w:rsidRPr="00AB6EC9" w:rsidRDefault="00AB6EC9" w:rsidP="00AB6EC9">
            <w:pPr>
              <w:pStyle w:val="ListParagraph"/>
              <w:ind w:left="0"/>
              <w:jc w:val="center"/>
              <w:rPr>
                <w:b/>
              </w:rPr>
            </w:pPr>
            <w:r w:rsidRPr="00AB6EC9">
              <w:rPr>
                <w:b/>
              </w:rPr>
              <w:t>Gallons of Diesel</w:t>
            </w:r>
          </w:p>
        </w:tc>
      </w:tr>
      <w:tr w:rsidR="00AB6EC9" w14:paraId="209C1223" w14:textId="77777777" w:rsidTr="00945668">
        <w:tc>
          <w:tcPr>
            <w:tcW w:w="2597" w:type="dxa"/>
          </w:tcPr>
          <w:p w14:paraId="5069B88B" w14:textId="77777777" w:rsidR="00AB6EC9" w:rsidRPr="00FE6CA3" w:rsidRDefault="008A69AD" w:rsidP="00AB6EC9">
            <w:pPr>
              <w:pStyle w:val="ListParagraph"/>
              <w:ind w:left="0"/>
              <w:jc w:val="center"/>
              <w:rPr>
                <w:b/>
              </w:rPr>
            </w:pPr>
            <w:r w:rsidRPr="00FE6CA3">
              <w:rPr>
                <w:b/>
              </w:rPr>
              <w:t>FY 2014</w:t>
            </w:r>
          </w:p>
        </w:tc>
        <w:tc>
          <w:tcPr>
            <w:tcW w:w="2670" w:type="dxa"/>
          </w:tcPr>
          <w:p w14:paraId="02D99806" w14:textId="77777777" w:rsidR="008A69AD" w:rsidRPr="00FE6CA3" w:rsidRDefault="008A69AD" w:rsidP="008A69AD">
            <w:pPr>
              <w:jc w:val="center"/>
              <w:rPr>
                <w:rFonts w:ascii="Calibri" w:hAnsi="Calibri"/>
                <w:b/>
              </w:rPr>
            </w:pPr>
            <w:r w:rsidRPr="00FE6CA3">
              <w:rPr>
                <w:rFonts w:ascii="Calibri" w:hAnsi="Calibri"/>
              </w:rPr>
              <w:t>​</w:t>
            </w:r>
            <w:r w:rsidRPr="00FE6CA3">
              <w:rPr>
                <w:rFonts w:ascii="Calibri" w:hAnsi="Calibri"/>
                <w:b/>
              </w:rPr>
              <w:t xml:space="preserve">3,245.1 </w:t>
            </w:r>
          </w:p>
          <w:p w14:paraId="70A9C464" w14:textId="77777777" w:rsidR="00AB6EC9" w:rsidRPr="00FE6CA3" w:rsidRDefault="00AB6EC9" w:rsidP="00AB6EC9">
            <w:pPr>
              <w:pStyle w:val="ListParagraph"/>
              <w:ind w:left="0"/>
              <w:jc w:val="center"/>
              <w:rPr>
                <w:b/>
              </w:rPr>
            </w:pPr>
          </w:p>
        </w:tc>
        <w:tc>
          <w:tcPr>
            <w:tcW w:w="2643" w:type="dxa"/>
          </w:tcPr>
          <w:p w14:paraId="3BE02299" w14:textId="77777777" w:rsidR="00AB6EC9" w:rsidRPr="00FE6CA3" w:rsidRDefault="008A69AD" w:rsidP="00AB6EC9">
            <w:pPr>
              <w:pStyle w:val="ListParagraph"/>
              <w:ind w:left="0"/>
              <w:jc w:val="center"/>
              <w:rPr>
                <w:b/>
              </w:rPr>
            </w:pPr>
            <w:r w:rsidRPr="00FE6CA3">
              <w:rPr>
                <w:b/>
              </w:rPr>
              <w:t>980.4</w:t>
            </w:r>
          </w:p>
        </w:tc>
      </w:tr>
      <w:tr w:rsidR="00FE6CA3" w14:paraId="62F777AE" w14:textId="77777777" w:rsidTr="00945668">
        <w:tc>
          <w:tcPr>
            <w:tcW w:w="2597" w:type="dxa"/>
          </w:tcPr>
          <w:p w14:paraId="7F494000" w14:textId="4AB72ECB" w:rsidR="00FE6CA3" w:rsidRPr="00FE6CA3" w:rsidRDefault="00FE6CA3" w:rsidP="00AB6EC9">
            <w:pPr>
              <w:pStyle w:val="ListParagraph"/>
              <w:ind w:left="0"/>
              <w:jc w:val="center"/>
              <w:rPr>
                <w:b/>
                <w:color w:val="00B050"/>
              </w:rPr>
            </w:pPr>
            <w:r w:rsidRPr="00FE6CA3">
              <w:rPr>
                <w:b/>
                <w:color w:val="00B050"/>
              </w:rPr>
              <w:t>FY 2016</w:t>
            </w:r>
          </w:p>
        </w:tc>
        <w:tc>
          <w:tcPr>
            <w:tcW w:w="2670" w:type="dxa"/>
          </w:tcPr>
          <w:p w14:paraId="38294586" w14:textId="708B00C1" w:rsidR="00FE6CA3" w:rsidRPr="00FE6CA3" w:rsidRDefault="00FE6CA3" w:rsidP="008A69AD">
            <w:pPr>
              <w:jc w:val="center"/>
              <w:rPr>
                <w:rFonts w:ascii="Calibri" w:hAnsi="Calibri"/>
                <w:b/>
                <w:color w:val="00B050"/>
              </w:rPr>
            </w:pPr>
            <w:r w:rsidRPr="00FE6CA3">
              <w:rPr>
                <w:rFonts w:ascii="Calibri" w:hAnsi="Calibri"/>
                <w:b/>
                <w:color w:val="00B050"/>
              </w:rPr>
              <w:t>2,871.90</w:t>
            </w:r>
          </w:p>
        </w:tc>
        <w:tc>
          <w:tcPr>
            <w:tcW w:w="2643" w:type="dxa"/>
          </w:tcPr>
          <w:p w14:paraId="225CF388" w14:textId="1FA8D23E" w:rsidR="00FE6CA3" w:rsidRPr="00FE6CA3" w:rsidRDefault="00FE6CA3" w:rsidP="00AB6EC9">
            <w:pPr>
              <w:pStyle w:val="ListParagraph"/>
              <w:ind w:left="0"/>
              <w:jc w:val="center"/>
              <w:rPr>
                <w:b/>
                <w:color w:val="00B050"/>
              </w:rPr>
            </w:pPr>
            <w:r w:rsidRPr="00FE6CA3">
              <w:rPr>
                <w:b/>
                <w:color w:val="00B050"/>
              </w:rPr>
              <w:t>799.80</w:t>
            </w:r>
          </w:p>
        </w:tc>
      </w:tr>
    </w:tbl>
    <w:p w14:paraId="1E70984B" w14:textId="77777777" w:rsidR="00AB6EC9" w:rsidRDefault="00AB6EC9" w:rsidP="00AB6EC9">
      <w:pPr>
        <w:pStyle w:val="ListParagraph"/>
        <w:spacing w:line="480" w:lineRule="auto"/>
        <w:ind w:left="1440"/>
        <w:jc w:val="both"/>
      </w:pPr>
    </w:p>
    <w:p w14:paraId="608F24F9" w14:textId="608CD54D" w:rsidR="003E580C" w:rsidRDefault="001904FB" w:rsidP="00F81762">
      <w:pPr>
        <w:pStyle w:val="ListParagraph"/>
        <w:numPr>
          <w:ilvl w:val="0"/>
          <w:numId w:val="2"/>
        </w:numPr>
        <w:spacing w:line="480" w:lineRule="auto"/>
      </w:pPr>
      <w:r>
        <w:t xml:space="preserve">Via e-mail, </w:t>
      </w:r>
      <w:r w:rsidR="00FE6CA3">
        <w:t>James Perry</w:t>
      </w:r>
      <w:r>
        <w:t xml:space="preserve">, </w:t>
      </w:r>
      <w:r w:rsidR="00FE6CA3">
        <w:t>Chief of AC Police Department, supplied the FY 2016</w:t>
      </w:r>
      <w:r>
        <w:t xml:space="preserve"> Purchased Fuel Log of the campus PD vehicles. </w:t>
      </w:r>
      <w:r w:rsidR="00FE6CA3">
        <w:t xml:space="preserve">Typically, this information would be provided by the Capmus PD Coordinator, but the position was temporarily empty during the months that this report was assembled. </w:t>
      </w:r>
    </w:p>
    <w:p w14:paraId="7AD7BAD9" w14:textId="381B912D" w:rsidR="006F538D" w:rsidRPr="00945668" w:rsidRDefault="006F538D" w:rsidP="00945668">
      <w:pPr>
        <w:spacing w:line="480" w:lineRule="auto"/>
        <w:ind w:left="1080"/>
        <w:rPr>
          <w:i/>
        </w:rPr>
      </w:pPr>
      <w:r w:rsidRPr="00945668">
        <w:rPr>
          <w:i/>
        </w:rPr>
        <w:lastRenderedPageBreak/>
        <w:t>Table 5b: Gallons of Gasoline</w:t>
      </w:r>
      <w:r w:rsidR="0008650C">
        <w:rPr>
          <w:i/>
        </w:rPr>
        <w:t xml:space="preserve"> for Campus PD</w:t>
      </w:r>
    </w:p>
    <w:tbl>
      <w:tblPr>
        <w:tblStyle w:val="TableGrid"/>
        <w:tblW w:w="0" w:type="auto"/>
        <w:tblInd w:w="640" w:type="dxa"/>
        <w:tblLook w:val="04A0" w:firstRow="1" w:lastRow="0" w:firstColumn="1" w:lastColumn="0" w:noHBand="0" w:noVBand="1"/>
      </w:tblPr>
      <w:tblGrid>
        <w:gridCol w:w="2731"/>
        <w:gridCol w:w="2784"/>
      </w:tblGrid>
      <w:tr w:rsidR="00AB6EC9" w14:paraId="285CE527" w14:textId="77777777" w:rsidTr="00945668">
        <w:tc>
          <w:tcPr>
            <w:tcW w:w="2731" w:type="dxa"/>
          </w:tcPr>
          <w:p w14:paraId="6E8A5958" w14:textId="77777777" w:rsidR="00AB6EC9" w:rsidRPr="00AB6EC9" w:rsidRDefault="00AB6EC9" w:rsidP="00AB6EC9">
            <w:pPr>
              <w:jc w:val="center"/>
              <w:rPr>
                <w:b/>
              </w:rPr>
            </w:pPr>
            <w:r w:rsidRPr="00AB6EC9">
              <w:rPr>
                <w:b/>
              </w:rPr>
              <w:t>Fiscal Year</w:t>
            </w:r>
          </w:p>
        </w:tc>
        <w:tc>
          <w:tcPr>
            <w:tcW w:w="2784" w:type="dxa"/>
          </w:tcPr>
          <w:p w14:paraId="4C926C98" w14:textId="77777777" w:rsidR="00AB6EC9" w:rsidRPr="00AB6EC9" w:rsidRDefault="00AB6EC9" w:rsidP="00AB6EC9">
            <w:pPr>
              <w:jc w:val="center"/>
              <w:rPr>
                <w:b/>
              </w:rPr>
            </w:pPr>
            <w:r w:rsidRPr="00AB6EC9">
              <w:rPr>
                <w:b/>
              </w:rPr>
              <w:t>Gallons of Regular Gasoline</w:t>
            </w:r>
          </w:p>
        </w:tc>
      </w:tr>
      <w:tr w:rsidR="00AB6EC9" w14:paraId="78401ACA" w14:textId="77777777" w:rsidTr="00945668">
        <w:tc>
          <w:tcPr>
            <w:tcW w:w="2731" w:type="dxa"/>
          </w:tcPr>
          <w:p w14:paraId="0ECFCC28" w14:textId="77777777" w:rsidR="00AB6EC9" w:rsidRPr="00407037" w:rsidRDefault="00AB6EC9" w:rsidP="00AB6EC9">
            <w:pPr>
              <w:jc w:val="center"/>
              <w:rPr>
                <w:b/>
                <w:color w:val="000000" w:themeColor="text1"/>
              </w:rPr>
            </w:pPr>
            <w:r w:rsidRPr="00407037">
              <w:rPr>
                <w:b/>
                <w:color w:val="000000" w:themeColor="text1"/>
              </w:rPr>
              <w:t>FY 2012</w:t>
            </w:r>
          </w:p>
        </w:tc>
        <w:tc>
          <w:tcPr>
            <w:tcW w:w="2784" w:type="dxa"/>
          </w:tcPr>
          <w:p w14:paraId="54D7DCD8" w14:textId="77777777" w:rsidR="00AB6EC9" w:rsidRPr="00407037" w:rsidRDefault="00AB6EC9" w:rsidP="00AB6EC9">
            <w:pPr>
              <w:jc w:val="center"/>
              <w:rPr>
                <w:color w:val="000000" w:themeColor="text1"/>
              </w:rPr>
            </w:pPr>
            <w:r w:rsidRPr="00407037">
              <w:rPr>
                <w:color w:val="000000" w:themeColor="text1"/>
              </w:rPr>
              <w:t>248.081</w:t>
            </w:r>
          </w:p>
        </w:tc>
      </w:tr>
      <w:tr w:rsidR="00AB6EC9" w14:paraId="4A0FBF43" w14:textId="77777777" w:rsidTr="00945668">
        <w:tc>
          <w:tcPr>
            <w:tcW w:w="2731" w:type="dxa"/>
          </w:tcPr>
          <w:p w14:paraId="4E50ACCB" w14:textId="77777777" w:rsidR="00AB6EC9" w:rsidRPr="00AB6EC9" w:rsidRDefault="00AB6EC9" w:rsidP="00AB6EC9">
            <w:pPr>
              <w:jc w:val="center"/>
              <w:rPr>
                <w:b/>
              </w:rPr>
            </w:pPr>
            <w:r w:rsidRPr="00AB6EC9">
              <w:rPr>
                <w:b/>
              </w:rPr>
              <w:t>FY 2013</w:t>
            </w:r>
          </w:p>
        </w:tc>
        <w:tc>
          <w:tcPr>
            <w:tcW w:w="2784" w:type="dxa"/>
          </w:tcPr>
          <w:p w14:paraId="0801D9DE" w14:textId="77777777" w:rsidR="00AB6EC9" w:rsidRDefault="00AB6EC9" w:rsidP="00AB6EC9">
            <w:pPr>
              <w:jc w:val="center"/>
            </w:pPr>
            <w:r>
              <w:t>67.754</w:t>
            </w:r>
          </w:p>
        </w:tc>
      </w:tr>
      <w:tr w:rsidR="008A69AD" w14:paraId="4FF747B6" w14:textId="77777777" w:rsidTr="00945668">
        <w:tc>
          <w:tcPr>
            <w:tcW w:w="2731" w:type="dxa"/>
          </w:tcPr>
          <w:p w14:paraId="59294E39" w14:textId="77777777" w:rsidR="008A69AD" w:rsidRPr="00FE6CA3" w:rsidRDefault="008A69AD" w:rsidP="00AB6EC9">
            <w:pPr>
              <w:jc w:val="center"/>
              <w:rPr>
                <w:b/>
              </w:rPr>
            </w:pPr>
            <w:r w:rsidRPr="00FE6CA3">
              <w:rPr>
                <w:b/>
              </w:rPr>
              <w:t>FY 2014</w:t>
            </w:r>
          </w:p>
        </w:tc>
        <w:tc>
          <w:tcPr>
            <w:tcW w:w="2784" w:type="dxa"/>
          </w:tcPr>
          <w:p w14:paraId="20AAB53A" w14:textId="77777777" w:rsidR="008A69AD" w:rsidRPr="00FE6CA3" w:rsidRDefault="008A69AD" w:rsidP="00AB6EC9">
            <w:pPr>
              <w:jc w:val="center"/>
            </w:pPr>
            <w:r w:rsidRPr="00FE6CA3">
              <w:t>61.823</w:t>
            </w:r>
          </w:p>
        </w:tc>
      </w:tr>
      <w:tr w:rsidR="00FE6CA3" w:rsidRPr="00FE6CA3" w14:paraId="26FE3DF7" w14:textId="77777777" w:rsidTr="00945668">
        <w:tc>
          <w:tcPr>
            <w:tcW w:w="2731" w:type="dxa"/>
          </w:tcPr>
          <w:p w14:paraId="05F61BED" w14:textId="029C06A6" w:rsidR="00FE6CA3" w:rsidRPr="00FE6CA3" w:rsidRDefault="00FE6CA3" w:rsidP="00AB6EC9">
            <w:pPr>
              <w:jc w:val="center"/>
              <w:rPr>
                <w:b/>
                <w:color w:val="00B050"/>
              </w:rPr>
            </w:pPr>
            <w:r w:rsidRPr="00FE6CA3">
              <w:rPr>
                <w:b/>
                <w:color w:val="00B050"/>
              </w:rPr>
              <w:t>FY 2016</w:t>
            </w:r>
          </w:p>
        </w:tc>
        <w:tc>
          <w:tcPr>
            <w:tcW w:w="2784" w:type="dxa"/>
          </w:tcPr>
          <w:p w14:paraId="4D99F950" w14:textId="36B7C095" w:rsidR="00FE6CA3" w:rsidRPr="00FE6CA3" w:rsidRDefault="00FE6CA3" w:rsidP="00AB6EC9">
            <w:pPr>
              <w:jc w:val="center"/>
              <w:rPr>
                <w:b/>
                <w:color w:val="00B050"/>
              </w:rPr>
            </w:pPr>
            <w:r w:rsidRPr="00FE6CA3">
              <w:rPr>
                <w:b/>
                <w:color w:val="00B050"/>
              </w:rPr>
              <w:t>156.43</w:t>
            </w:r>
          </w:p>
        </w:tc>
      </w:tr>
    </w:tbl>
    <w:p w14:paraId="5C87028F" w14:textId="77777777" w:rsidR="00AB6EC9" w:rsidRPr="00FE6CA3" w:rsidRDefault="00AB6EC9" w:rsidP="00AB6EC9">
      <w:pPr>
        <w:spacing w:line="480" w:lineRule="auto"/>
        <w:ind w:left="1440"/>
        <w:jc w:val="both"/>
        <w:rPr>
          <w:color w:val="00B050"/>
        </w:rPr>
      </w:pPr>
    </w:p>
    <w:p w14:paraId="427A01F0" w14:textId="1D4B5C5C" w:rsidR="0097227C" w:rsidRPr="00760EB2" w:rsidRDefault="00AB125C" w:rsidP="0055249B">
      <w:pPr>
        <w:pStyle w:val="ListParagraph"/>
        <w:numPr>
          <w:ilvl w:val="0"/>
          <w:numId w:val="2"/>
        </w:numPr>
        <w:spacing w:line="480" w:lineRule="auto"/>
        <w:jc w:val="both"/>
      </w:pPr>
      <w:r w:rsidRPr="00760EB2">
        <w:t xml:space="preserve">Biology Dept. Support Associate, Caleb Smith, </w:t>
      </w:r>
      <w:r w:rsidR="0055249B" w:rsidRPr="00760EB2">
        <w:t xml:space="preserve">provided </w:t>
      </w:r>
      <w:r w:rsidR="00FE6CA3">
        <w:t xml:space="preserve">copies of the mileage logs from each of the </w:t>
      </w:r>
      <w:r w:rsidR="00FE6CA3" w:rsidRPr="00FE6CA3">
        <w:rPr>
          <w:color w:val="FF0000"/>
        </w:rPr>
        <w:t>two passenger vans</w:t>
      </w:r>
      <w:r w:rsidR="00FE6CA3">
        <w:rPr>
          <w:color w:val="FF0000"/>
        </w:rPr>
        <w:t xml:space="preserve"> (get year/make/model)</w:t>
      </w:r>
      <w:r w:rsidR="00FE6CA3">
        <w:t xml:space="preserve">. From these notes, the total miles driven on each vehicles was calculated and converted to gallons of gasoline using a 15 mpg average. </w:t>
      </w:r>
      <w:r w:rsidR="0055249B" w:rsidRPr="00760EB2">
        <w:t xml:space="preserve">In total, </w:t>
      </w:r>
      <w:r w:rsidR="00FE6CA3">
        <w:t xml:space="preserve">roughly </w:t>
      </w:r>
      <w:r w:rsidR="00FE6CA3" w:rsidRPr="00FE6CA3">
        <w:rPr>
          <w:b/>
          <w:color w:val="00B050"/>
        </w:rPr>
        <w:t>374.17</w:t>
      </w:r>
      <w:r w:rsidR="0055249B" w:rsidRPr="00FE6CA3">
        <w:rPr>
          <w:b/>
          <w:color w:val="00B050"/>
        </w:rPr>
        <w:t xml:space="preserve"> gallons</w:t>
      </w:r>
      <w:r w:rsidR="0055249B" w:rsidRPr="00FE6CA3">
        <w:rPr>
          <w:color w:val="00B050"/>
        </w:rPr>
        <w:t xml:space="preserve"> </w:t>
      </w:r>
      <w:r w:rsidR="0055249B" w:rsidRPr="00760EB2">
        <w:t xml:space="preserve">of gas were purchased. </w:t>
      </w:r>
    </w:p>
    <w:p w14:paraId="5DA933CB" w14:textId="6DCC5A2B" w:rsidR="0097227C" w:rsidRPr="00760EB2" w:rsidRDefault="000170D0" w:rsidP="003E580C">
      <w:pPr>
        <w:pStyle w:val="ListParagraph"/>
        <w:numPr>
          <w:ilvl w:val="0"/>
          <w:numId w:val="2"/>
        </w:numPr>
        <w:spacing w:line="480" w:lineRule="auto"/>
        <w:jc w:val="both"/>
      </w:pPr>
      <w:r>
        <w:t>The</w:t>
      </w:r>
      <w:r w:rsidRPr="00760EB2">
        <w:t xml:space="preserve"> Human Resources Office </w:t>
      </w:r>
      <w:r>
        <w:t>supplied the mileage data for the</w:t>
      </w:r>
      <w:r w:rsidR="00AB125C" w:rsidRPr="00760EB2">
        <w:t xml:space="preserve"> College-owned</w:t>
      </w:r>
      <w:r w:rsidR="0097227C" w:rsidRPr="00760EB2">
        <w:t xml:space="preserve"> vehicles</w:t>
      </w:r>
      <w:r w:rsidR="00AB125C" w:rsidRPr="00760EB2">
        <w:t xml:space="preserve"> (primarily those operated by Institutional Enrollment and Institutional Advancement personnel</w:t>
      </w:r>
      <w:r>
        <w:t>)</w:t>
      </w:r>
      <w:r w:rsidR="00AB125C" w:rsidRPr="00760EB2">
        <w:t xml:space="preserve">.  </w:t>
      </w:r>
      <w:r w:rsidR="002B1DDE" w:rsidRPr="00760EB2">
        <w:t xml:space="preserve">Since these miles are recorded </w:t>
      </w:r>
      <w:r w:rsidR="00AB125C" w:rsidRPr="00760EB2">
        <w:t>on a calendar year-basis</w:t>
      </w:r>
      <w:r w:rsidR="00B41491" w:rsidRPr="00760EB2">
        <w:t xml:space="preserve"> (Dec. 1 – Nov. 30)</w:t>
      </w:r>
      <w:r w:rsidR="00084D0B">
        <w:t>, as opposed to a fiscal year,</w:t>
      </w:r>
      <w:r w:rsidR="00AB125C" w:rsidRPr="00760EB2">
        <w:t xml:space="preserve"> </w:t>
      </w:r>
      <w:r w:rsidR="0055249B" w:rsidRPr="00760EB2">
        <w:t xml:space="preserve">data for calendar years </w:t>
      </w:r>
      <w:r w:rsidR="00FE6CA3">
        <w:t>2015</w:t>
      </w:r>
      <w:r w:rsidR="00B41491" w:rsidRPr="00760EB2">
        <w:t xml:space="preserve"> and </w:t>
      </w:r>
      <w:r w:rsidR="0055249B" w:rsidRPr="00760EB2">
        <w:t>201</w:t>
      </w:r>
      <w:r w:rsidR="00FE6CA3">
        <w:t>6</w:t>
      </w:r>
      <w:r w:rsidR="00B41491" w:rsidRPr="00760EB2">
        <w:t xml:space="preserve"> were averaged, since both calendar years made up nearly </w:t>
      </w:r>
      <w:r w:rsidR="00FE6CA3">
        <w:t>equal parts of FY 2016</w:t>
      </w:r>
      <w:r w:rsidR="00B34E51" w:rsidRPr="00760EB2">
        <w:t>:</w:t>
      </w:r>
    </w:p>
    <w:p w14:paraId="285D0B4C" w14:textId="77777777" w:rsidR="00945668" w:rsidRDefault="00945668" w:rsidP="00945668">
      <w:pPr>
        <w:pStyle w:val="ListParagraph"/>
        <w:spacing w:line="480" w:lineRule="auto"/>
        <w:ind w:left="1440"/>
        <w:jc w:val="both"/>
      </w:pPr>
    </w:p>
    <w:p w14:paraId="3F34EA42" w14:textId="06F22923" w:rsidR="00B34E51" w:rsidRPr="00760EB2" w:rsidRDefault="00FE6CA3" w:rsidP="00B34E51">
      <w:pPr>
        <w:pStyle w:val="ListParagraph"/>
        <w:numPr>
          <w:ilvl w:val="1"/>
          <w:numId w:val="2"/>
        </w:numPr>
        <w:spacing w:line="480" w:lineRule="auto"/>
        <w:jc w:val="both"/>
      </w:pPr>
      <w:r>
        <w:t>Dec. 1, 2014 – Nov. 30, 2015</w:t>
      </w:r>
    </w:p>
    <w:p w14:paraId="6C0BB4F3" w14:textId="020C8508" w:rsidR="00B34E51" w:rsidRPr="00760EB2" w:rsidRDefault="00B34E51" w:rsidP="00CA327B">
      <w:pPr>
        <w:pStyle w:val="ListParagraph"/>
        <w:numPr>
          <w:ilvl w:val="2"/>
          <w:numId w:val="2"/>
        </w:numPr>
        <w:spacing w:line="480" w:lineRule="auto"/>
        <w:jc w:val="both"/>
      </w:pPr>
      <w:r w:rsidRPr="00760EB2">
        <w:t>Total:</w:t>
      </w:r>
      <w:r w:rsidR="002E226B" w:rsidRPr="00760EB2">
        <w:t xml:space="preserve"> </w:t>
      </w:r>
      <w:r w:rsidR="00CA327B" w:rsidRPr="00760EB2">
        <w:t>​</w:t>
      </w:r>
      <w:r w:rsidR="00FE6CA3">
        <w:t>247,457</w:t>
      </w:r>
      <w:r w:rsidR="00CA327B" w:rsidRPr="00760EB2">
        <w:t xml:space="preserve"> </w:t>
      </w:r>
      <w:r w:rsidR="002E226B" w:rsidRPr="00760EB2">
        <w:t>Miles</w:t>
      </w:r>
    </w:p>
    <w:p w14:paraId="1829B95A" w14:textId="1634668D" w:rsidR="00B34E51" w:rsidRPr="00760EB2" w:rsidRDefault="00B34E51" w:rsidP="006C1E73">
      <w:pPr>
        <w:pStyle w:val="ListParagraph"/>
        <w:numPr>
          <w:ilvl w:val="2"/>
          <w:numId w:val="2"/>
        </w:numPr>
        <w:spacing w:line="480" w:lineRule="auto"/>
        <w:jc w:val="both"/>
      </w:pPr>
      <w:r w:rsidRPr="00760EB2">
        <w:t>Business:</w:t>
      </w:r>
      <w:r w:rsidR="002E226B" w:rsidRPr="00760EB2">
        <w:t xml:space="preserve"> </w:t>
      </w:r>
      <w:r w:rsidR="00FE6CA3">
        <w:t>161,744</w:t>
      </w:r>
    </w:p>
    <w:p w14:paraId="13B87AE7" w14:textId="2C3A61C6" w:rsidR="00B34E51" w:rsidRPr="00760EB2" w:rsidRDefault="00FE6CA3" w:rsidP="00B34E51">
      <w:pPr>
        <w:pStyle w:val="ListParagraph"/>
        <w:numPr>
          <w:ilvl w:val="1"/>
          <w:numId w:val="2"/>
        </w:numPr>
        <w:spacing w:line="480" w:lineRule="auto"/>
        <w:jc w:val="both"/>
      </w:pPr>
      <w:r>
        <w:t>Dec. 1, 2015</w:t>
      </w:r>
      <w:r w:rsidR="00B34E51" w:rsidRPr="00760EB2">
        <w:t xml:space="preserve"> – Nov. 30, 201</w:t>
      </w:r>
      <w:r>
        <w:t>6</w:t>
      </w:r>
    </w:p>
    <w:p w14:paraId="274FB527" w14:textId="2F3A90F3" w:rsidR="00B34E51" w:rsidRPr="00760EB2" w:rsidRDefault="00B34E51" w:rsidP="00CA327B">
      <w:pPr>
        <w:pStyle w:val="ListParagraph"/>
        <w:numPr>
          <w:ilvl w:val="2"/>
          <w:numId w:val="2"/>
        </w:numPr>
        <w:spacing w:line="480" w:lineRule="auto"/>
        <w:jc w:val="both"/>
      </w:pPr>
      <w:r w:rsidRPr="00760EB2">
        <w:t>Total:</w:t>
      </w:r>
      <w:r w:rsidR="002E226B" w:rsidRPr="00760EB2">
        <w:t xml:space="preserve"> </w:t>
      </w:r>
      <w:r w:rsidR="00FE6CA3">
        <w:t xml:space="preserve">204,457 </w:t>
      </w:r>
      <w:r w:rsidR="002E226B" w:rsidRPr="00760EB2">
        <w:t xml:space="preserve">Miles </w:t>
      </w:r>
    </w:p>
    <w:p w14:paraId="37E56CB7" w14:textId="0DCA2F88" w:rsidR="00B34E51" w:rsidRPr="00760EB2" w:rsidRDefault="00B34E51" w:rsidP="00FD6846">
      <w:pPr>
        <w:pStyle w:val="ListParagraph"/>
        <w:numPr>
          <w:ilvl w:val="2"/>
          <w:numId w:val="2"/>
        </w:numPr>
        <w:spacing w:line="480" w:lineRule="auto"/>
        <w:jc w:val="both"/>
      </w:pPr>
      <w:r w:rsidRPr="00760EB2">
        <w:t>Business:</w:t>
      </w:r>
      <w:r w:rsidR="002E226B" w:rsidRPr="00760EB2">
        <w:t xml:space="preserve"> </w:t>
      </w:r>
      <w:r w:rsidR="00FE6CA3">
        <w:t>145,499</w:t>
      </w:r>
    </w:p>
    <w:p w14:paraId="77887042" w14:textId="77777777" w:rsidR="00B34E51" w:rsidRPr="002B1DDE" w:rsidRDefault="00AA5900" w:rsidP="00B34E51">
      <w:pPr>
        <w:pStyle w:val="ListParagraph"/>
        <w:numPr>
          <w:ilvl w:val="1"/>
          <w:numId w:val="2"/>
        </w:numPr>
        <w:spacing w:line="480" w:lineRule="auto"/>
        <w:jc w:val="both"/>
        <w:rPr>
          <w:color w:val="7030A0"/>
        </w:rPr>
      </w:pPr>
      <w:r w:rsidRPr="00760EB2">
        <w:t>Averages Used for FY 2014</w:t>
      </w:r>
      <w:r w:rsidR="00B34E51" w:rsidRPr="00760EB2">
        <w:t xml:space="preserve"> Reporting</w:t>
      </w:r>
      <w:r w:rsidR="00B34E51" w:rsidRPr="002B1DDE">
        <w:rPr>
          <w:color w:val="7030A0"/>
        </w:rPr>
        <w:tab/>
      </w:r>
    </w:p>
    <w:p w14:paraId="484794A1" w14:textId="5F98FC91" w:rsidR="00B34E51" w:rsidRPr="00760EB2" w:rsidRDefault="002E226B" w:rsidP="00B34E51">
      <w:pPr>
        <w:pStyle w:val="ListParagraph"/>
        <w:numPr>
          <w:ilvl w:val="2"/>
          <w:numId w:val="2"/>
        </w:numPr>
        <w:spacing w:line="480" w:lineRule="auto"/>
        <w:jc w:val="both"/>
      </w:pPr>
      <w:r w:rsidRPr="00760EB2">
        <w:t xml:space="preserve">Total: </w:t>
      </w:r>
      <w:r w:rsidR="00FE6CA3">
        <w:t>225,876</w:t>
      </w:r>
      <w:r w:rsidR="00CA327B" w:rsidRPr="00760EB2">
        <w:t xml:space="preserve"> </w:t>
      </w:r>
      <w:r w:rsidRPr="00760EB2">
        <w:t>Miles</w:t>
      </w:r>
    </w:p>
    <w:p w14:paraId="7D1DB9AE" w14:textId="14738679" w:rsidR="006C1E73" w:rsidRPr="00FE6CA3" w:rsidRDefault="00B34E51" w:rsidP="006C1E73">
      <w:pPr>
        <w:pStyle w:val="ListParagraph"/>
        <w:numPr>
          <w:ilvl w:val="2"/>
          <w:numId w:val="2"/>
        </w:numPr>
        <w:spacing w:line="480" w:lineRule="auto"/>
        <w:jc w:val="both"/>
        <w:rPr>
          <w:b/>
          <w:color w:val="00B050"/>
        </w:rPr>
      </w:pPr>
      <w:r w:rsidRPr="00FE6CA3">
        <w:rPr>
          <w:b/>
          <w:color w:val="00B050"/>
        </w:rPr>
        <w:lastRenderedPageBreak/>
        <w:t>Business:</w:t>
      </w:r>
      <w:r w:rsidR="002E226B" w:rsidRPr="00FE6CA3">
        <w:rPr>
          <w:b/>
          <w:color w:val="00B050"/>
        </w:rPr>
        <w:t xml:space="preserve"> </w:t>
      </w:r>
      <w:r w:rsidR="00FE6CA3" w:rsidRPr="00FE6CA3">
        <w:rPr>
          <w:b/>
          <w:color w:val="00B050"/>
        </w:rPr>
        <w:t>153,622</w:t>
      </w:r>
    </w:p>
    <w:p w14:paraId="5A9CA5C3" w14:textId="0E20A4D1" w:rsidR="006F0057" w:rsidRDefault="00066AA8" w:rsidP="006F0057">
      <w:pPr>
        <w:spacing w:line="480" w:lineRule="auto"/>
        <w:ind w:left="720"/>
        <w:jc w:val="both"/>
      </w:pPr>
      <w:r w:rsidRPr="00760EB2">
        <w:t>In order to calculate total gallons of regular gasoline consumed by other College-own</w:t>
      </w:r>
      <w:r w:rsidR="00FE6CA3">
        <w:t>ed vehicles, the average FY 2016</w:t>
      </w:r>
      <w:r w:rsidRPr="00760EB2">
        <w:t xml:space="preserve"> business miles value (</w:t>
      </w:r>
      <w:r w:rsidR="002B1DDE" w:rsidRPr="00760EB2">
        <w:t>1</w:t>
      </w:r>
      <w:r w:rsidR="00FE6CA3">
        <w:t xml:space="preserve">53,622 </w:t>
      </w:r>
      <w:r w:rsidRPr="00760EB2">
        <w:t>miles) was divided by the average MPG of staff vehicles (</w:t>
      </w:r>
      <w:r w:rsidR="00FE6CA3" w:rsidRPr="00FE6CA3">
        <w:rPr>
          <w:color w:val="00B050"/>
        </w:rPr>
        <w:t>29 MPG</w:t>
      </w:r>
      <w:r w:rsidRPr="00760EB2">
        <w:t xml:space="preserve">), </w:t>
      </w:r>
      <w:r w:rsidR="00CA327B" w:rsidRPr="00760EB2">
        <w:t>whic</w:t>
      </w:r>
      <w:r w:rsidR="00DA3582" w:rsidRPr="00760EB2">
        <w:t>h is the average MPG of the Chry</w:t>
      </w:r>
      <w:r w:rsidR="00CA327B" w:rsidRPr="00760EB2">
        <w:t>lser 200s</w:t>
      </w:r>
      <w:r w:rsidR="00760EB2" w:rsidRPr="00760EB2">
        <w:t xml:space="preserve"> </w:t>
      </w:r>
      <w:r w:rsidR="001904FB">
        <w:t>that</w:t>
      </w:r>
      <w:r w:rsidR="001904FB" w:rsidRPr="00760EB2">
        <w:t xml:space="preserve"> </w:t>
      </w:r>
      <w:r w:rsidR="00760EB2" w:rsidRPr="00760EB2">
        <w:t xml:space="preserve">are driven by the staff. </w:t>
      </w:r>
      <w:r w:rsidR="00760EB2">
        <w:t>This</w:t>
      </w:r>
      <w:r>
        <w:t xml:space="preserve"> yielded an estimated value of gallons of regular gasoline consumed (</w:t>
      </w:r>
      <w:r w:rsidR="00FE6CA3" w:rsidRPr="00FE6CA3">
        <w:rPr>
          <w:b/>
          <w:color w:val="00B050"/>
        </w:rPr>
        <w:t>5,297</w:t>
      </w:r>
      <w:r w:rsidR="00357274" w:rsidRPr="00FE6CA3">
        <w:rPr>
          <w:b/>
          <w:color w:val="00B050"/>
        </w:rPr>
        <w:t xml:space="preserve"> gallons</w:t>
      </w:r>
      <w:r>
        <w:t xml:space="preserve">).  </w:t>
      </w:r>
    </w:p>
    <w:p w14:paraId="77515B9A" w14:textId="46901330" w:rsidR="0097227C" w:rsidRPr="00760EB2" w:rsidRDefault="007731C5" w:rsidP="006F0057">
      <w:pPr>
        <w:spacing w:line="480" w:lineRule="auto"/>
        <w:ind w:left="720"/>
        <w:jc w:val="both"/>
        <w:rPr>
          <w:i/>
        </w:rPr>
      </w:pPr>
      <w:r>
        <w:rPr>
          <w:i/>
        </w:rPr>
        <w:br/>
      </w:r>
      <w:r w:rsidR="0097227C" w:rsidRPr="00760EB2">
        <w:rPr>
          <w:i/>
        </w:rPr>
        <w:t>Refrigerants, Chemicals, and Fertilizer</w:t>
      </w:r>
    </w:p>
    <w:p w14:paraId="6E5DD0AD" w14:textId="0FAC74AC" w:rsidR="00610F75" w:rsidRDefault="0097227C" w:rsidP="0097227C">
      <w:pPr>
        <w:spacing w:line="480" w:lineRule="auto"/>
        <w:jc w:val="both"/>
      </w:pPr>
      <w:r w:rsidRPr="00760EB2">
        <w:tab/>
      </w:r>
      <w:r w:rsidR="007731C5" w:rsidRPr="00760EB2">
        <w:t xml:space="preserve">Jade </w:t>
      </w:r>
      <w:r w:rsidRPr="00760EB2">
        <w:t xml:space="preserve">Rutledge (2009) determined that these emissions sources were </w:t>
      </w:r>
      <w:r w:rsidRPr="00760EB2">
        <w:rPr>
          <w:i/>
        </w:rPr>
        <w:t>de minimus</w:t>
      </w:r>
      <w:r w:rsidRPr="00760EB2">
        <w:t xml:space="preserve">, or insignificant to the campus’s total emissions; these sources accounted for 1% or less of the College’s total emissions during FY 2008. </w:t>
      </w:r>
      <w:r w:rsidR="00AA5900" w:rsidRPr="00760EB2">
        <w:t>Second Nature</w:t>
      </w:r>
      <w:r w:rsidRPr="00760EB2">
        <w:t xml:space="preserve"> does not require that such minimal categories be tallied for each consecutive inventory.  However, since the data for </w:t>
      </w:r>
      <w:r w:rsidR="00FE6CA3">
        <w:br/>
        <w:t>FY 2016</w:t>
      </w:r>
      <w:r w:rsidR="00AA5900" w:rsidRPr="00760EB2">
        <w:t xml:space="preserve"> </w:t>
      </w:r>
      <w:r w:rsidRPr="00760EB2">
        <w:t xml:space="preserve">were readily available, new data were incorporated into </w:t>
      </w:r>
      <w:r w:rsidR="00084D0B">
        <w:t>this</w:t>
      </w:r>
      <w:r w:rsidR="00084D0B" w:rsidRPr="00760EB2">
        <w:t xml:space="preserve"> </w:t>
      </w:r>
      <w:r w:rsidR="007731C5" w:rsidRPr="00760EB2">
        <w:t>report</w:t>
      </w:r>
      <w:r w:rsidR="000938C5" w:rsidRPr="00760EB2">
        <w:t xml:space="preserve">, which </w:t>
      </w:r>
      <w:r w:rsidR="001904FB">
        <w:t>proved to be</w:t>
      </w:r>
      <w:r w:rsidR="001904FB" w:rsidRPr="00760EB2">
        <w:t xml:space="preserve"> </w:t>
      </w:r>
      <w:r w:rsidR="000938C5" w:rsidRPr="00760EB2">
        <w:t>beneficial</w:t>
      </w:r>
      <w:r w:rsidR="001904FB">
        <w:t>.</w:t>
      </w:r>
      <w:r w:rsidR="000938C5" w:rsidRPr="00760EB2">
        <w:t xml:space="preserve"> </w:t>
      </w:r>
      <w:r w:rsidR="001904FB">
        <w:t>E</w:t>
      </w:r>
      <w:r w:rsidR="000938C5" w:rsidRPr="00760EB2">
        <w:t>missions from refrigerants and chemicals we found to account for more than 1% of the College’s total emissions for FY 2010</w:t>
      </w:r>
      <w:r w:rsidR="00760EB2" w:rsidRPr="00760EB2">
        <w:t>,</w:t>
      </w:r>
      <w:r w:rsidR="000938C5" w:rsidRPr="00760EB2">
        <w:t xml:space="preserve"> FY 2012</w:t>
      </w:r>
      <w:r w:rsidR="00760EB2" w:rsidRPr="00760EB2">
        <w:t>, and FY 2014</w:t>
      </w:r>
      <w:r w:rsidRPr="00760EB2">
        <w:t>.</w:t>
      </w:r>
    </w:p>
    <w:p w14:paraId="4FB0E881" w14:textId="77777777" w:rsidR="00736FAF" w:rsidRDefault="00736FAF" w:rsidP="0097227C">
      <w:pPr>
        <w:spacing w:line="480" w:lineRule="auto"/>
        <w:jc w:val="both"/>
        <w:rPr>
          <w:i/>
        </w:rPr>
      </w:pPr>
    </w:p>
    <w:p w14:paraId="14FC17F9" w14:textId="77777777" w:rsidR="006F0057" w:rsidRDefault="006F0057" w:rsidP="0097227C">
      <w:pPr>
        <w:spacing w:line="480" w:lineRule="auto"/>
        <w:jc w:val="both"/>
        <w:rPr>
          <w:i/>
        </w:rPr>
      </w:pPr>
    </w:p>
    <w:p w14:paraId="72285EC6" w14:textId="201B81EC" w:rsidR="006F538D" w:rsidRPr="00945668" w:rsidRDefault="006F538D" w:rsidP="0097227C">
      <w:pPr>
        <w:spacing w:line="480" w:lineRule="auto"/>
        <w:jc w:val="both"/>
        <w:rPr>
          <w:i/>
        </w:rPr>
      </w:pPr>
      <w:r w:rsidRPr="00945668">
        <w:rPr>
          <w:i/>
        </w:rPr>
        <w:t>Table 6: Chemicals and Refrigerants</w:t>
      </w:r>
    </w:p>
    <w:tbl>
      <w:tblPr>
        <w:tblStyle w:val="TableGrid"/>
        <w:tblW w:w="9828" w:type="dxa"/>
        <w:tblLook w:val="04A0" w:firstRow="1" w:lastRow="0" w:firstColumn="1" w:lastColumn="0" w:noHBand="0" w:noVBand="1"/>
      </w:tblPr>
      <w:tblGrid>
        <w:gridCol w:w="1188"/>
        <w:gridCol w:w="2004"/>
        <w:gridCol w:w="1686"/>
        <w:gridCol w:w="1800"/>
        <w:gridCol w:w="1710"/>
        <w:gridCol w:w="1440"/>
      </w:tblGrid>
      <w:tr w:rsidR="008D6582" w14:paraId="4FC91D05" w14:textId="77777777" w:rsidTr="008D6582">
        <w:tc>
          <w:tcPr>
            <w:tcW w:w="1188" w:type="dxa"/>
          </w:tcPr>
          <w:p w14:paraId="76BF3457" w14:textId="77777777" w:rsidR="008D6582" w:rsidRPr="008D6582" w:rsidRDefault="008D6582" w:rsidP="008D6582">
            <w:pPr>
              <w:jc w:val="center"/>
              <w:rPr>
                <w:b/>
                <w:sz w:val="22"/>
                <w:szCs w:val="22"/>
              </w:rPr>
            </w:pPr>
            <w:r w:rsidRPr="008D6582">
              <w:rPr>
                <w:b/>
                <w:sz w:val="22"/>
                <w:szCs w:val="22"/>
              </w:rPr>
              <w:t>Fiscal Year</w:t>
            </w:r>
          </w:p>
        </w:tc>
        <w:tc>
          <w:tcPr>
            <w:tcW w:w="2004" w:type="dxa"/>
          </w:tcPr>
          <w:p w14:paraId="2047EE56" w14:textId="77777777" w:rsidR="008D6582" w:rsidRPr="008D6582" w:rsidRDefault="008D6582" w:rsidP="008D6582">
            <w:pPr>
              <w:jc w:val="center"/>
              <w:rPr>
                <w:b/>
                <w:sz w:val="22"/>
                <w:szCs w:val="22"/>
              </w:rPr>
            </w:pPr>
            <w:r w:rsidRPr="008D6582">
              <w:rPr>
                <w:b/>
                <w:sz w:val="22"/>
                <w:szCs w:val="22"/>
              </w:rPr>
              <w:t>HFC-134a (lbs.)</w:t>
            </w:r>
          </w:p>
        </w:tc>
        <w:tc>
          <w:tcPr>
            <w:tcW w:w="1686" w:type="dxa"/>
          </w:tcPr>
          <w:p w14:paraId="028F0F1F" w14:textId="77777777" w:rsidR="008D6582" w:rsidRPr="008D6582" w:rsidRDefault="008D6582" w:rsidP="008D6582">
            <w:pPr>
              <w:jc w:val="center"/>
              <w:rPr>
                <w:b/>
                <w:sz w:val="22"/>
                <w:szCs w:val="22"/>
              </w:rPr>
            </w:pPr>
            <w:r w:rsidRPr="008D6582">
              <w:rPr>
                <w:b/>
                <w:sz w:val="22"/>
                <w:szCs w:val="22"/>
              </w:rPr>
              <w:t>HFC-404a (lbs.)</w:t>
            </w:r>
          </w:p>
        </w:tc>
        <w:tc>
          <w:tcPr>
            <w:tcW w:w="1800" w:type="dxa"/>
          </w:tcPr>
          <w:p w14:paraId="4543BC61" w14:textId="77777777" w:rsidR="008D6582" w:rsidRPr="008D6582" w:rsidRDefault="008D6582" w:rsidP="008D6582">
            <w:pPr>
              <w:jc w:val="center"/>
              <w:rPr>
                <w:b/>
                <w:sz w:val="22"/>
                <w:szCs w:val="22"/>
              </w:rPr>
            </w:pPr>
            <w:r w:rsidRPr="008D6582">
              <w:rPr>
                <w:b/>
                <w:sz w:val="22"/>
                <w:szCs w:val="22"/>
              </w:rPr>
              <w:t>HCFC-22 (lbs.)</w:t>
            </w:r>
          </w:p>
        </w:tc>
        <w:tc>
          <w:tcPr>
            <w:tcW w:w="1710" w:type="dxa"/>
          </w:tcPr>
          <w:p w14:paraId="529E9DD8" w14:textId="77777777" w:rsidR="008D6582" w:rsidRPr="008D6582" w:rsidRDefault="008D6582" w:rsidP="008D6582">
            <w:pPr>
              <w:jc w:val="center"/>
              <w:rPr>
                <w:b/>
                <w:sz w:val="22"/>
                <w:szCs w:val="22"/>
              </w:rPr>
            </w:pPr>
            <w:r w:rsidRPr="008D6582">
              <w:rPr>
                <w:b/>
                <w:sz w:val="22"/>
                <w:szCs w:val="22"/>
              </w:rPr>
              <w:t>HFC-410a (lbs.)</w:t>
            </w:r>
          </w:p>
        </w:tc>
        <w:tc>
          <w:tcPr>
            <w:tcW w:w="1440" w:type="dxa"/>
          </w:tcPr>
          <w:p w14:paraId="2A1A58B0" w14:textId="77777777" w:rsidR="008D6582" w:rsidRPr="008D6582" w:rsidRDefault="008D6582" w:rsidP="008D6582">
            <w:pPr>
              <w:jc w:val="center"/>
              <w:rPr>
                <w:b/>
                <w:sz w:val="22"/>
                <w:szCs w:val="22"/>
              </w:rPr>
            </w:pPr>
            <w:r w:rsidRPr="008D6582">
              <w:rPr>
                <w:b/>
                <w:sz w:val="22"/>
                <w:szCs w:val="22"/>
              </w:rPr>
              <w:t>Other</w:t>
            </w:r>
          </w:p>
        </w:tc>
      </w:tr>
      <w:tr w:rsidR="008D6582" w14:paraId="06579009" w14:textId="77777777" w:rsidTr="008D6582">
        <w:tc>
          <w:tcPr>
            <w:tcW w:w="1188" w:type="dxa"/>
          </w:tcPr>
          <w:p w14:paraId="716B34C9" w14:textId="77777777" w:rsidR="008D6582" w:rsidRPr="00760EB2" w:rsidRDefault="008D6582" w:rsidP="008D6582">
            <w:pPr>
              <w:jc w:val="center"/>
              <w:rPr>
                <w:sz w:val="22"/>
                <w:szCs w:val="22"/>
              </w:rPr>
            </w:pPr>
            <w:r w:rsidRPr="00760EB2">
              <w:rPr>
                <w:sz w:val="22"/>
                <w:szCs w:val="22"/>
              </w:rPr>
              <w:t>FY 2011</w:t>
            </w:r>
          </w:p>
        </w:tc>
        <w:tc>
          <w:tcPr>
            <w:tcW w:w="2004" w:type="dxa"/>
          </w:tcPr>
          <w:p w14:paraId="38D4F968" w14:textId="77777777" w:rsidR="008D6582" w:rsidRPr="008D6582" w:rsidRDefault="008D6582" w:rsidP="008D6582">
            <w:pPr>
              <w:jc w:val="center"/>
              <w:rPr>
                <w:sz w:val="22"/>
                <w:szCs w:val="22"/>
              </w:rPr>
            </w:pPr>
            <w:r w:rsidRPr="008D6582">
              <w:rPr>
                <w:sz w:val="22"/>
                <w:szCs w:val="22"/>
              </w:rPr>
              <w:t>12 lbs., 2 Oz.</w:t>
            </w:r>
          </w:p>
        </w:tc>
        <w:tc>
          <w:tcPr>
            <w:tcW w:w="1686" w:type="dxa"/>
          </w:tcPr>
          <w:p w14:paraId="5D70E452" w14:textId="77777777" w:rsidR="008D6582" w:rsidRPr="008D6582" w:rsidRDefault="008D6582" w:rsidP="008D6582">
            <w:pPr>
              <w:jc w:val="center"/>
              <w:rPr>
                <w:sz w:val="22"/>
                <w:szCs w:val="22"/>
              </w:rPr>
            </w:pPr>
            <w:r w:rsidRPr="008D6582">
              <w:rPr>
                <w:sz w:val="22"/>
                <w:szCs w:val="22"/>
              </w:rPr>
              <w:t>N/A</w:t>
            </w:r>
          </w:p>
        </w:tc>
        <w:tc>
          <w:tcPr>
            <w:tcW w:w="1800" w:type="dxa"/>
          </w:tcPr>
          <w:p w14:paraId="4EF3F9F3" w14:textId="77777777" w:rsidR="008D6582" w:rsidRPr="008D6582" w:rsidRDefault="008D6582" w:rsidP="008D6582">
            <w:pPr>
              <w:jc w:val="center"/>
              <w:rPr>
                <w:sz w:val="22"/>
                <w:szCs w:val="22"/>
              </w:rPr>
            </w:pPr>
            <w:r w:rsidRPr="008D6582">
              <w:rPr>
                <w:sz w:val="22"/>
                <w:szCs w:val="22"/>
              </w:rPr>
              <w:t>120 lbs., 15 Oz.</w:t>
            </w:r>
          </w:p>
        </w:tc>
        <w:tc>
          <w:tcPr>
            <w:tcW w:w="1710" w:type="dxa"/>
          </w:tcPr>
          <w:p w14:paraId="00C8C928" w14:textId="77777777" w:rsidR="008D6582" w:rsidRPr="008D6582" w:rsidRDefault="008D6582" w:rsidP="008D6582">
            <w:pPr>
              <w:jc w:val="center"/>
              <w:rPr>
                <w:sz w:val="22"/>
                <w:szCs w:val="22"/>
              </w:rPr>
            </w:pPr>
            <w:r w:rsidRPr="008D6582">
              <w:rPr>
                <w:sz w:val="22"/>
                <w:szCs w:val="22"/>
              </w:rPr>
              <w:t>N/A</w:t>
            </w:r>
          </w:p>
        </w:tc>
        <w:tc>
          <w:tcPr>
            <w:tcW w:w="1440" w:type="dxa"/>
          </w:tcPr>
          <w:p w14:paraId="31D9A9E5" w14:textId="77777777" w:rsidR="008D6582" w:rsidRPr="008D6582" w:rsidRDefault="008D6582" w:rsidP="008D6582">
            <w:pPr>
              <w:jc w:val="center"/>
              <w:rPr>
                <w:sz w:val="22"/>
                <w:szCs w:val="22"/>
              </w:rPr>
            </w:pPr>
            <w:r w:rsidRPr="008D6582">
              <w:rPr>
                <w:sz w:val="22"/>
                <w:szCs w:val="22"/>
              </w:rPr>
              <w:t>N/A</w:t>
            </w:r>
          </w:p>
        </w:tc>
      </w:tr>
      <w:tr w:rsidR="008D6582" w14:paraId="00D31976" w14:textId="77777777" w:rsidTr="008D6582">
        <w:tc>
          <w:tcPr>
            <w:tcW w:w="1188" w:type="dxa"/>
          </w:tcPr>
          <w:p w14:paraId="683D6014" w14:textId="77777777" w:rsidR="008D6582" w:rsidRPr="00760EB2" w:rsidRDefault="008D6582" w:rsidP="008D6582">
            <w:pPr>
              <w:jc w:val="center"/>
              <w:rPr>
                <w:sz w:val="22"/>
                <w:szCs w:val="22"/>
              </w:rPr>
            </w:pPr>
            <w:r w:rsidRPr="00760EB2">
              <w:rPr>
                <w:sz w:val="22"/>
                <w:szCs w:val="22"/>
              </w:rPr>
              <w:t>FY 2012</w:t>
            </w:r>
          </w:p>
        </w:tc>
        <w:tc>
          <w:tcPr>
            <w:tcW w:w="2004" w:type="dxa"/>
          </w:tcPr>
          <w:p w14:paraId="159BC74E" w14:textId="77777777" w:rsidR="008D6582" w:rsidRPr="000938C5" w:rsidRDefault="008D6582" w:rsidP="008D6582">
            <w:pPr>
              <w:jc w:val="center"/>
              <w:rPr>
                <w:sz w:val="22"/>
                <w:szCs w:val="22"/>
              </w:rPr>
            </w:pPr>
            <w:r w:rsidRPr="000938C5">
              <w:rPr>
                <w:sz w:val="22"/>
                <w:szCs w:val="22"/>
              </w:rPr>
              <w:t>15 lbs., 7 Oz.</w:t>
            </w:r>
          </w:p>
        </w:tc>
        <w:tc>
          <w:tcPr>
            <w:tcW w:w="1686" w:type="dxa"/>
          </w:tcPr>
          <w:p w14:paraId="1439CA03" w14:textId="77777777" w:rsidR="008D6582" w:rsidRPr="000938C5" w:rsidRDefault="008D6582" w:rsidP="008D6582">
            <w:pPr>
              <w:jc w:val="center"/>
              <w:rPr>
                <w:sz w:val="22"/>
                <w:szCs w:val="22"/>
              </w:rPr>
            </w:pPr>
            <w:r w:rsidRPr="000938C5">
              <w:rPr>
                <w:sz w:val="22"/>
                <w:szCs w:val="22"/>
              </w:rPr>
              <w:t>25 lbs., 14 Oz.</w:t>
            </w:r>
          </w:p>
        </w:tc>
        <w:tc>
          <w:tcPr>
            <w:tcW w:w="1800" w:type="dxa"/>
          </w:tcPr>
          <w:p w14:paraId="0807A44B" w14:textId="77777777" w:rsidR="008D6582" w:rsidRPr="000938C5" w:rsidRDefault="008D6582" w:rsidP="008D6582">
            <w:pPr>
              <w:jc w:val="center"/>
              <w:rPr>
                <w:sz w:val="22"/>
                <w:szCs w:val="22"/>
              </w:rPr>
            </w:pPr>
            <w:r w:rsidRPr="000938C5">
              <w:rPr>
                <w:sz w:val="22"/>
                <w:szCs w:val="22"/>
              </w:rPr>
              <w:t>155 lbs., 13 Oz.</w:t>
            </w:r>
          </w:p>
        </w:tc>
        <w:tc>
          <w:tcPr>
            <w:tcW w:w="1710" w:type="dxa"/>
          </w:tcPr>
          <w:p w14:paraId="28368480" w14:textId="77777777" w:rsidR="008D6582" w:rsidRPr="000938C5" w:rsidRDefault="008D6582" w:rsidP="008D6582">
            <w:pPr>
              <w:jc w:val="center"/>
              <w:rPr>
                <w:sz w:val="22"/>
                <w:szCs w:val="22"/>
              </w:rPr>
            </w:pPr>
            <w:r w:rsidRPr="000938C5">
              <w:rPr>
                <w:sz w:val="22"/>
                <w:szCs w:val="22"/>
              </w:rPr>
              <w:t>25 lbs., 14 Oz.</w:t>
            </w:r>
          </w:p>
        </w:tc>
        <w:tc>
          <w:tcPr>
            <w:tcW w:w="1440" w:type="dxa"/>
          </w:tcPr>
          <w:p w14:paraId="4E85DF44" w14:textId="77777777" w:rsidR="008D6582" w:rsidRPr="000938C5" w:rsidRDefault="008D6582" w:rsidP="008D6582">
            <w:pPr>
              <w:jc w:val="center"/>
              <w:rPr>
                <w:sz w:val="22"/>
                <w:szCs w:val="22"/>
              </w:rPr>
            </w:pPr>
            <w:r w:rsidRPr="000938C5">
              <w:rPr>
                <w:sz w:val="22"/>
                <w:szCs w:val="22"/>
              </w:rPr>
              <w:t>11 lbs., 2 Oz.</w:t>
            </w:r>
          </w:p>
        </w:tc>
      </w:tr>
      <w:tr w:rsidR="00DD612A" w14:paraId="1811B715" w14:textId="77777777" w:rsidTr="008D6582">
        <w:tc>
          <w:tcPr>
            <w:tcW w:w="1188" w:type="dxa"/>
          </w:tcPr>
          <w:p w14:paraId="3D846A9B" w14:textId="77777777" w:rsidR="00DD612A" w:rsidRPr="00760EB2" w:rsidRDefault="00DD612A" w:rsidP="008D6582">
            <w:pPr>
              <w:jc w:val="center"/>
              <w:rPr>
                <w:sz w:val="22"/>
                <w:szCs w:val="22"/>
              </w:rPr>
            </w:pPr>
            <w:r w:rsidRPr="00760EB2">
              <w:rPr>
                <w:sz w:val="22"/>
                <w:szCs w:val="22"/>
              </w:rPr>
              <w:t>FY 2012</w:t>
            </w:r>
          </w:p>
        </w:tc>
        <w:tc>
          <w:tcPr>
            <w:tcW w:w="2004" w:type="dxa"/>
          </w:tcPr>
          <w:p w14:paraId="1BFA92A1" w14:textId="77777777" w:rsidR="00DD612A" w:rsidRPr="00760EB2" w:rsidRDefault="00760EB2" w:rsidP="008D6582">
            <w:pPr>
              <w:jc w:val="center"/>
              <w:rPr>
                <w:sz w:val="22"/>
                <w:szCs w:val="22"/>
              </w:rPr>
            </w:pPr>
            <w:r>
              <w:rPr>
                <w:sz w:val="22"/>
                <w:szCs w:val="22"/>
              </w:rPr>
              <w:t>15.40</w:t>
            </w:r>
            <w:r w:rsidR="00DD612A" w:rsidRPr="00760EB2">
              <w:rPr>
                <w:sz w:val="22"/>
                <w:szCs w:val="22"/>
              </w:rPr>
              <w:t xml:space="preserve"> lbs.</w:t>
            </w:r>
          </w:p>
        </w:tc>
        <w:tc>
          <w:tcPr>
            <w:tcW w:w="1686" w:type="dxa"/>
          </w:tcPr>
          <w:p w14:paraId="76D7F304" w14:textId="77777777" w:rsidR="00DD612A" w:rsidRPr="00760EB2" w:rsidRDefault="00760EB2" w:rsidP="008D6582">
            <w:pPr>
              <w:jc w:val="center"/>
              <w:rPr>
                <w:sz w:val="22"/>
                <w:szCs w:val="22"/>
              </w:rPr>
            </w:pPr>
            <w:r>
              <w:rPr>
                <w:sz w:val="22"/>
                <w:szCs w:val="22"/>
              </w:rPr>
              <w:t>25.88</w:t>
            </w:r>
            <w:r w:rsidR="00DD612A" w:rsidRPr="00760EB2">
              <w:rPr>
                <w:sz w:val="22"/>
                <w:szCs w:val="22"/>
              </w:rPr>
              <w:t xml:space="preserve"> lbs.</w:t>
            </w:r>
          </w:p>
        </w:tc>
        <w:tc>
          <w:tcPr>
            <w:tcW w:w="1800" w:type="dxa"/>
          </w:tcPr>
          <w:p w14:paraId="5592DA10" w14:textId="77777777" w:rsidR="00DD612A" w:rsidRPr="00760EB2" w:rsidRDefault="00760EB2" w:rsidP="00760EB2">
            <w:pPr>
              <w:jc w:val="center"/>
              <w:rPr>
                <w:sz w:val="22"/>
                <w:szCs w:val="22"/>
              </w:rPr>
            </w:pPr>
            <w:r>
              <w:rPr>
                <w:sz w:val="22"/>
                <w:szCs w:val="22"/>
              </w:rPr>
              <w:t>155.82</w:t>
            </w:r>
            <w:r w:rsidR="00DD612A" w:rsidRPr="00760EB2">
              <w:rPr>
                <w:sz w:val="22"/>
                <w:szCs w:val="22"/>
              </w:rPr>
              <w:t xml:space="preserve"> lbs.</w:t>
            </w:r>
          </w:p>
        </w:tc>
        <w:tc>
          <w:tcPr>
            <w:tcW w:w="1710" w:type="dxa"/>
          </w:tcPr>
          <w:p w14:paraId="7DC46A28" w14:textId="77777777" w:rsidR="00DD612A" w:rsidRPr="00760EB2" w:rsidRDefault="00DD612A" w:rsidP="008D6582">
            <w:pPr>
              <w:jc w:val="center"/>
              <w:rPr>
                <w:sz w:val="22"/>
                <w:szCs w:val="22"/>
              </w:rPr>
            </w:pPr>
            <w:r w:rsidRPr="00760EB2">
              <w:rPr>
                <w:sz w:val="22"/>
                <w:szCs w:val="22"/>
              </w:rPr>
              <w:t>2</w:t>
            </w:r>
            <w:r w:rsidR="00760EB2">
              <w:rPr>
                <w:sz w:val="22"/>
                <w:szCs w:val="22"/>
              </w:rPr>
              <w:t>5.88</w:t>
            </w:r>
            <w:r w:rsidRPr="00760EB2">
              <w:rPr>
                <w:sz w:val="22"/>
                <w:szCs w:val="22"/>
              </w:rPr>
              <w:t xml:space="preserve"> lbs.</w:t>
            </w:r>
          </w:p>
        </w:tc>
        <w:tc>
          <w:tcPr>
            <w:tcW w:w="1440" w:type="dxa"/>
          </w:tcPr>
          <w:p w14:paraId="73297245" w14:textId="77777777" w:rsidR="00DD612A" w:rsidRPr="00760EB2" w:rsidRDefault="00DD612A" w:rsidP="008D6582">
            <w:pPr>
              <w:jc w:val="center"/>
              <w:rPr>
                <w:sz w:val="22"/>
                <w:szCs w:val="22"/>
              </w:rPr>
            </w:pPr>
            <w:r w:rsidRPr="00760EB2">
              <w:rPr>
                <w:sz w:val="22"/>
                <w:szCs w:val="22"/>
              </w:rPr>
              <w:t>11.</w:t>
            </w:r>
            <w:r w:rsidR="00760EB2">
              <w:rPr>
                <w:sz w:val="22"/>
                <w:szCs w:val="22"/>
              </w:rPr>
              <w:t>15</w:t>
            </w:r>
            <w:r w:rsidRPr="00760EB2">
              <w:rPr>
                <w:sz w:val="22"/>
                <w:szCs w:val="22"/>
              </w:rPr>
              <w:t xml:space="preserve"> lbs.</w:t>
            </w:r>
          </w:p>
        </w:tc>
      </w:tr>
      <w:tr w:rsidR="008D6582" w14:paraId="258BE46B" w14:textId="77777777" w:rsidTr="008D6582">
        <w:tc>
          <w:tcPr>
            <w:tcW w:w="1188" w:type="dxa"/>
          </w:tcPr>
          <w:p w14:paraId="7AA95766" w14:textId="77777777" w:rsidR="008D6582" w:rsidRPr="00760EB2" w:rsidRDefault="008D6582" w:rsidP="008D6582">
            <w:pPr>
              <w:jc w:val="center"/>
              <w:rPr>
                <w:sz w:val="22"/>
                <w:szCs w:val="22"/>
              </w:rPr>
            </w:pPr>
            <w:r w:rsidRPr="00760EB2">
              <w:rPr>
                <w:sz w:val="22"/>
                <w:szCs w:val="22"/>
              </w:rPr>
              <w:t>FY 2013</w:t>
            </w:r>
          </w:p>
        </w:tc>
        <w:tc>
          <w:tcPr>
            <w:tcW w:w="2004" w:type="dxa"/>
          </w:tcPr>
          <w:p w14:paraId="4D8ADBCA" w14:textId="77777777" w:rsidR="008D6582" w:rsidRPr="008D6582" w:rsidRDefault="008D6582" w:rsidP="008D6582">
            <w:pPr>
              <w:jc w:val="center"/>
              <w:rPr>
                <w:sz w:val="22"/>
                <w:szCs w:val="22"/>
              </w:rPr>
            </w:pPr>
            <w:r w:rsidRPr="008D6582">
              <w:rPr>
                <w:sz w:val="22"/>
                <w:szCs w:val="22"/>
              </w:rPr>
              <w:t>9 lbs., 9 Oz.</w:t>
            </w:r>
          </w:p>
        </w:tc>
        <w:tc>
          <w:tcPr>
            <w:tcW w:w="1686" w:type="dxa"/>
          </w:tcPr>
          <w:p w14:paraId="631EB869" w14:textId="77777777" w:rsidR="008D6582" w:rsidRPr="008D6582" w:rsidRDefault="008D6582" w:rsidP="008D6582">
            <w:pPr>
              <w:jc w:val="center"/>
              <w:rPr>
                <w:sz w:val="22"/>
                <w:szCs w:val="22"/>
              </w:rPr>
            </w:pPr>
            <w:r w:rsidRPr="008D6582">
              <w:rPr>
                <w:sz w:val="22"/>
                <w:szCs w:val="22"/>
              </w:rPr>
              <w:t>28 lbs., 9 Oz.</w:t>
            </w:r>
          </w:p>
        </w:tc>
        <w:tc>
          <w:tcPr>
            <w:tcW w:w="1800" w:type="dxa"/>
          </w:tcPr>
          <w:p w14:paraId="2C9580CB" w14:textId="77777777" w:rsidR="008D6582" w:rsidRPr="008D6582" w:rsidRDefault="008D6582" w:rsidP="008D6582">
            <w:pPr>
              <w:jc w:val="center"/>
              <w:rPr>
                <w:sz w:val="22"/>
                <w:szCs w:val="22"/>
              </w:rPr>
            </w:pPr>
            <w:r w:rsidRPr="008D6582">
              <w:rPr>
                <w:sz w:val="22"/>
                <w:szCs w:val="22"/>
              </w:rPr>
              <w:t>128 lbs., 13 Oz.</w:t>
            </w:r>
          </w:p>
        </w:tc>
        <w:tc>
          <w:tcPr>
            <w:tcW w:w="1710" w:type="dxa"/>
          </w:tcPr>
          <w:p w14:paraId="7E7AADC1" w14:textId="77777777" w:rsidR="008D6582" w:rsidRPr="008D6582" w:rsidRDefault="008D6582" w:rsidP="008D6582">
            <w:pPr>
              <w:jc w:val="center"/>
              <w:rPr>
                <w:sz w:val="22"/>
                <w:szCs w:val="22"/>
              </w:rPr>
            </w:pPr>
            <w:r w:rsidRPr="008D6582">
              <w:rPr>
                <w:sz w:val="22"/>
                <w:szCs w:val="22"/>
              </w:rPr>
              <w:t>28 lbs., 9 Oz.</w:t>
            </w:r>
          </w:p>
        </w:tc>
        <w:tc>
          <w:tcPr>
            <w:tcW w:w="1440" w:type="dxa"/>
          </w:tcPr>
          <w:p w14:paraId="4368C64A" w14:textId="77777777" w:rsidR="008D6582" w:rsidRPr="008D6582" w:rsidRDefault="008D6582" w:rsidP="008D6582">
            <w:pPr>
              <w:jc w:val="center"/>
              <w:rPr>
                <w:sz w:val="22"/>
                <w:szCs w:val="22"/>
              </w:rPr>
            </w:pPr>
            <w:r w:rsidRPr="008D6582">
              <w:rPr>
                <w:sz w:val="22"/>
                <w:szCs w:val="22"/>
              </w:rPr>
              <w:t>14 lbs., 3 Oz.</w:t>
            </w:r>
          </w:p>
        </w:tc>
      </w:tr>
      <w:tr w:rsidR="00AA5900" w14:paraId="52D00DFC" w14:textId="77777777" w:rsidTr="008D6582">
        <w:tc>
          <w:tcPr>
            <w:tcW w:w="1188" w:type="dxa"/>
          </w:tcPr>
          <w:p w14:paraId="02C6A70E" w14:textId="77777777" w:rsidR="00AA5900" w:rsidRPr="00FE6CA3" w:rsidRDefault="00AA5900" w:rsidP="008D6582">
            <w:pPr>
              <w:jc w:val="center"/>
              <w:rPr>
                <w:sz w:val="22"/>
                <w:szCs w:val="22"/>
              </w:rPr>
            </w:pPr>
            <w:r w:rsidRPr="00FE6CA3">
              <w:rPr>
                <w:sz w:val="22"/>
                <w:szCs w:val="22"/>
              </w:rPr>
              <w:t>FY 2014</w:t>
            </w:r>
          </w:p>
        </w:tc>
        <w:tc>
          <w:tcPr>
            <w:tcW w:w="2004" w:type="dxa"/>
          </w:tcPr>
          <w:p w14:paraId="1A0370D2" w14:textId="77777777" w:rsidR="00AA5900" w:rsidRPr="00FE6CA3" w:rsidRDefault="000B155F" w:rsidP="008D6582">
            <w:pPr>
              <w:jc w:val="center"/>
              <w:rPr>
                <w:sz w:val="22"/>
                <w:szCs w:val="22"/>
              </w:rPr>
            </w:pPr>
            <w:r w:rsidRPr="00FE6CA3">
              <w:rPr>
                <w:sz w:val="22"/>
                <w:szCs w:val="22"/>
              </w:rPr>
              <w:t xml:space="preserve">41 lbs. </w:t>
            </w:r>
          </w:p>
        </w:tc>
        <w:tc>
          <w:tcPr>
            <w:tcW w:w="1686" w:type="dxa"/>
          </w:tcPr>
          <w:p w14:paraId="110BECA1" w14:textId="77777777" w:rsidR="00AA5900" w:rsidRPr="00FE6CA3" w:rsidRDefault="000B155F" w:rsidP="008D6582">
            <w:pPr>
              <w:jc w:val="center"/>
              <w:rPr>
                <w:sz w:val="22"/>
                <w:szCs w:val="22"/>
              </w:rPr>
            </w:pPr>
            <w:r w:rsidRPr="00FE6CA3">
              <w:rPr>
                <w:sz w:val="22"/>
                <w:szCs w:val="22"/>
              </w:rPr>
              <w:t>60 lbs.</w:t>
            </w:r>
          </w:p>
        </w:tc>
        <w:tc>
          <w:tcPr>
            <w:tcW w:w="1800" w:type="dxa"/>
          </w:tcPr>
          <w:p w14:paraId="118199C8" w14:textId="77777777" w:rsidR="00AA5900" w:rsidRPr="00FE6CA3" w:rsidRDefault="000B155F" w:rsidP="008D6582">
            <w:pPr>
              <w:jc w:val="center"/>
              <w:rPr>
                <w:sz w:val="22"/>
                <w:szCs w:val="22"/>
              </w:rPr>
            </w:pPr>
            <w:r w:rsidRPr="00FE6CA3">
              <w:rPr>
                <w:sz w:val="22"/>
                <w:szCs w:val="22"/>
              </w:rPr>
              <w:t xml:space="preserve">120 lbs. </w:t>
            </w:r>
          </w:p>
        </w:tc>
        <w:tc>
          <w:tcPr>
            <w:tcW w:w="1710" w:type="dxa"/>
          </w:tcPr>
          <w:p w14:paraId="33F55776" w14:textId="746A4FA1" w:rsidR="00AA5900" w:rsidRPr="00FE6CA3" w:rsidRDefault="00084D0B" w:rsidP="008D6582">
            <w:pPr>
              <w:jc w:val="center"/>
              <w:rPr>
                <w:sz w:val="22"/>
                <w:szCs w:val="22"/>
              </w:rPr>
            </w:pPr>
            <w:r w:rsidRPr="00FE6CA3">
              <w:rPr>
                <w:sz w:val="22"/>
                <w:szCs w:val="22"/>
              </w:rPr>
              <w:t>0</w:t>
            </w:r>
          </w:p>
        </w:tc>
        <w:tc>
          <w:tcPr>
            <w:tcW w:w="1440" w:type="dxa"/>
          </w:tcPr>
          <w:p w14:paraId="6629207B" w14:textId="2D7DDBB6" w:rsidR="00AA5900" w:rsidRPr="00FE6CA3" w:rsidRDefault="00084D0B" w:rsidP="008D6582">
            <w:pPr>
              <w:jc w:val="center"/>
              <w:rPr>
                <w:sz w:val="22"/>
                <w:szCs w:val="22"/>
              </w:rPr>
            </w:pPr>
            <w:r w:rsidRPr="00FE6CA3">
              <w:rPr>
                <w:sz w:val="22"/>
                <w:szCs w:val="22"/>
              </w:rPr>
              <w:t>0</w:t>
            </w:r>
          </w:p>
        </w:tc>
      </w:tr>
      <w:tr w:rsidR="00FE6CA3" w14:paraId="728137FE" w14:textId="77777777" w:rsidTr="008D6582">
        <w:tc>
          <w:tcPr>
            <w:tcW w:w="1188" w:type="dxa"/>
          </w:tcPr>
          <w:p w14:paraId="324937A4" w14:textId="624DF7B1" w:rsidR="00FE6CA3" w:rsidRPr="00FE6CA3" w:rsidRDefault="00FE6CA3" w:rsidP="008D6582">
            <w:pPr>
              <w:jc w:val="center"/>
              <w:rPr>
                <w:b/>
                <w:color w:val="00B050"/>
                <w:sz w:val="22"/>
                <w:szCs w:val="22"/>
              </w:rPr>
            </w:pPr>
            <w:r w:rsidRPr="00FE6CA3">
              <w:rPr>
                <w:b/>
                <w:color w:val="00B050"/>
                <w:sz w:val="22"/>
                <w:szCs w:val="22"/>
              </w:rPr>
              <w:t>FY 2016</w:t>
            </w:r>
          </w:p>
        </w:tc>
        <w:tc>
          <w:tcPr>
            <w:tcW w:w="2004" w:type="dxa"/>
          </w:tcPr>
          <w:p w14:paraId="3DE84FC4" w14:textId="64243B35" w:rsidR="00FE6CA3" w:rsidRPr="00FE6CA3" w:rsidRDefault="00FE6CA3" w:rsidP="008D6582">
            <w:pPr>
              <w:jc w:val="center"/>
              <w:rPr>
                <w:b/>
                <w:color w:val="00B050"/>
                <w:sz w:val="22"/>
                <w:szCs w:val="22"/>
              </w:rPr>
            </w:pPr>
            <w:r w:rsidRPr="00FE6CA3">
              <w:rPr>
                <w:b/>
                <w:color w:val="00B050"/>
                <w:sz w:val="22"/>
                <w:szCs w:val="22"/>
              </w:rPr>
              <w:t>5 lbs</w:t>
            </w:r>
          </w:p>
        </w:tc>
        <w:tc>
          <w:tcPr>
            <w:tcW w:w="1686" w:type="dxa"/>
          </w:tcPr>
          <w:p w14:paraId="1448ED18" w14:textId="5D004E66" w:rsidR="00FE6CA3" w:rsidRPr="00FE6CA3" w:rsidRDefault="00FE6CA3" w:rsidP="008D6582">
            <w:pPr>
              <w:jc w:val="center"/>
              <w:rPr>
                <w:b/>
                <w:color w:val="00B050"/>
                <w:sz w:val="22"/>
                <w:szCs w:val="22"/>
              </w:rPr>
            </w:pPr>
            <w:r w:rsidRPr="00FE6CA3">
              <w:rPr>
                <w:b/>
                <w:color w:val="00B050"/>
                <w:sz w:val="22"/>
                <w:szCs w:val="22"/>
              </w:rPr>
              <w:t>25 lbs</w:t>
            </w:r>
          </w:p>
        </w:tc>
        <w:tc>
          <w:tcPr>
            <w:tcW w:w="1800" w:type="dxa"/>
          </w:tcPr>
          <w:p w14:paraId="4CBC71DB" w14:textId="6FCC7957" w:rsidR="00FE6CA3" w:rsidRPr="00FE6CA3" w:rsidRDefault="00FE6CA3" w:rsidP="008D6582">
            <w:pPr>
              <w:jc w:val="center"/>
              <w:rPr>
                <w:b/>
                <w:color w:val="00B050"/>
                <w:sz w:val="22"/>
                <w:szCs w:val="22"/>
              </w:rPr>
            </w:pPr>
            <w:r w:rsidRPr="00FE6CA3">
              <w:rPr>
                <w:b/>
                <w:color w:val="00B050"/>
                <w:sz w:val="22"/>
                <w:szCs w:val="22"/>
              </w:rPr>
              <w:t>120 lbs</w:t>
            </w:r>
          </w:p>
        </w:tc>
        <w:tc>
          <w:tcPr>
            <w:tcW w:w="1710" w:type="dxa"/>
          </w:tcPr>
          <w:p w14:paraId="7468CAFA" w14:textId="1257FA17" w:rsidR="00FE6CA3" w:rsidRPr="00FE6CA3" w:rsidRDefault="00FE6CA3" w:rsidP="008D6582">
            <w:pPr>
              <w:jc w:val="center"/>
              <w:rPr>
                <w:b/>
                <w:color w:val="00B050"/>
                <w:sz w:val="22"/>
                <w:szCs w:val="22"/>
              </w:rPr>
            </w:pPr>
            <w:r w:rsidRPr="00FE6CA3">
              <w:rPr>
                <w:b/>
                <w:color w:val="00B050"/>
                <w:sz w:val="22"/>
                <w:szCs w:val="22"/>
              </w:rPr>
              <w:t>35 lbs</w:t>
            </w:r>
          </w:p>
        </w:tc>
        <w:tc>
          <w:tcPr>
            <w:tcW w:w="1440" w:type="dxa"/>
          </w:tcPr>
          <w:p w14:paraId="733FD2A7" w14:textId="54220505" w:rsidR="00FE6CA3" w:rsidRPr="00FE6CA3" w:rsidRDefault="00FE6CA3" w:rsidP="008D6582">
            <w:pPr>
              <w:jc w:val="center"/>
              <w:rPr>
                <w:b/>
                <w:color w:val="00B050"/>
                <w:sz w:val="22"/>
                <w:szCs w:val="22"/>
              </w:rPr>
            </w:pPr>
            <w:r w:rsidRPr="00FE6CA3">
              <w:rPr>
                <w:b/>
                <w:color w:val="00B050"/>
                <w:sz w:val="22"/>
                <w:szCs w:val="22"/>
              </w:rPr>
              <w:t>0</w:t>
            </w:r>
          </w:p>
        </w:tc>
      </w:tr>
    </w:tbl>
    <w:p w14:paraId="12B56DB1" w14:textId="77777777" w:rsidR="00066AA8" w:rsidRDefault="00066AA8" w:rsidP="00BC2C93">
      <w:pPr>
        <w:spacing w:line="480" w:lineRule="auto"/>
        <w:ind w:firstLine="720"/>
        <w:jc w:val="both"/>
      </w:pPr>
    </w:p>
    <w:p w14:paraId="41641B9A" w14:textId="4AF740DE" w:rsidR="005F11C7" w:rsidRPr="005F11C7" w:rsidRDefault="00760EB2" w:rsidP="00945668">
      <w:pPr>
        <w:spacing w:line="480" w:lineRule="auto"/>
        <w:ind w:firstLine="720"/>
        <w:jc w:val="both"/>
        <w:rPr>
          <w:b/>
        </w:rPr>
      </w:pPr>
      <w:r w:rsidRPr="00945668">
        <w:lastRenderedPageBreak/>
        <w:t xml:space="preserve">According to data submitted by John Jennings, </w:t>
      </w:r>
      <w:r w:rsidR="000B155F" w:rsidRPr="00945668">
        <w:t xml:space="preserve">the Physical Plant used </w:t>
      </w:r>
      <w:r w:rsidR="00FE6CA3" w:rsidRPr="00FE6CA3">
        <w:rPr>
          <w:b/>
          <w:color w:val="00B050"/>
        </w:rPr>
        <w:t>5,500</w:t>
      </w:r>
      <w:r w:rsidR="000B155F" w:rsidRPr="00FE6CA3">
        <w:rPr>
          <w:b/>
          <w:color w:val="00B050"/>
        </w:rPr>
        <w:t xml:space="preserve"> lbs. of fertilizer at </w:t>
      </w:r>
      <w:r w:rsidR="00FE6CA3" w:rsidRPr="00FE6CA3">
        <w:rPr>
          <w:b/>
          <w:color w:val="00B050"/>
        </w:rPr>
        <w:t>14.3%</w:t>
      </w:r>
      <w:r w:rsidR="000B155F" w:rsidRPr="00FE6CA3">
        <w:rPr>
          <w:b/>
          <w:color w:val="00B050"/>
        </w:rPr>
        <w:t xml:space="preserve"> nitrogen</w:t>
      </w:r>
      <w:r w:rsidR="00FE6CA3">
        <w:t xml:space="preserve"> in FY 2016</w:t>
      </w:r>
      <w:r w:rsidRPr="00945668">
        <w:t xml:space="preserve">. </w:t>
      </w:r>
      <w:r w:rsidR="0097227C" w:rsidRPr="00D82A5E">
        <w:tab/>
      </w:r>
    </w:p>
    <w:p w14:paraId="3883B298" w14:textId="77777777" w:rsidR="000938C5" w:rsidRDefault="0097227C" w:rsidP="0097227C">
      <w:pPr>
        <w:spacing w:line="480" w:lineRule="auto"/>
        <w:jc w:val="both"/>
        <w:rPr>
          <w:i/>
        </w:rPr>
      </w:pPr>
      <w:r w:rsidRPr="00D82A5E">
        <w:tab/>
        <w:t xml:space="preserve"> </w:t>
      </w:r>
    </w:p>
    <w:p w14:paraId="2F674E48" w14:textId="77777777" w:rsidR="0097227C" w:rsidRPr="004D777C" w:rsidRDefault="00374A82" w:rsidP="0097227C">
      <w:pPr>
        <w:spacing w:line="480" w:lineRule="auto"/>
        <w:jc w:val="both"/>
        <w:rPr>
          <w:i/>
        </w:rPr>
      </w:pPr>
      <w:r>
        <w:rPr>
          <w:i/>
        </w:rPr>
        <w:t>Purchased Electricity, Purchased Natural Gas,</w:t>
      </w:r>
      <w:r w:rsidR="0097227C" w:rsidRPr="004D777C">
        <w:rPr>
          <w:i/>
        </w:rPr>
        <w:t xml:space="preserve"> and Custom Fuel Mix</w:t>
      </w:r>
    </w:p>
    <w:p w14:paraId="780AE494" w14:textId="4C7AC6FE" w:rsidR="001904FB" w:rsidRDefault="0064528F" w:rsidP="000D5559">
      <w:pPr>
        <w:pStyle w:val="ListParagraph"/>
        <w:numPr>
          <w:ilvl w:val="0"/>
          <w:numId w:val="2"/>
        </w:numPr>
        <w:spacing w:line="480" w:lineRule="auto"/>
        <w:jc w:val="both"/>
      </w:pPr>
      <w:r w:rsidRPr="00760EB2">
        <w:t>Total</w:t>
      </w:r>
      <w:r w:rsidR="00760EB2">
        <w:t xml:space="preserve"> purchased</w:t>
      </w:r>
      <w:r w:rsidRPr="00760EB2">
        <w:t xml:space="preserve"> electricity (all 14 campus</w:t>
      </w:r>
      <w:r w:rsidR="0097227C" w:rsidRPr="00760EB2">
        <w:t xml:space="preserve"> meters</w:t>
      </w:r>
      <w:r w:rsidRPr="00760EB2">
        <w:t>)</w:t>
      </w:r>
      <w:r w:rsidR="0097227C" w:rsidRPr="00760EB2">
        <w:t xml:space="preserve"> was obtained via </w:t>
      </w:r>
      <w:r w:rsidR="005F11C7" w:rsidRPr="00760EB2">
        <w:t>Executive</w:t>
      </w:r>
      <w:r w:rsidRPr="00760EB2">
        <w:t xml:space="preserve"> </w:t>
      </w:r>
      <w:r w:rsidR="0097227C" w:rsidRPr="00760EB2">
        <w:t xml:space="preserve">Director of </w:t>
      </w:r>
      <w:r w:rsidRPr="00760EB2">
        <w:t xml:space="preserve">Facilities, </w:t>
      </w:r>
      <w:r w:rsidR="0097227C" w:rsidRPr="00760EB2">
        <w:t>John Jennings</w:t>
      </w:r>
      <w:r w:rsidR="00374A82" w:rsidRPr="00760EB2">
        <w:rPr>
          <w:b/>
        </w:rPr>
        <w:t>:</w:t>
      </w:r>
      <w:r w:rsidR="0020035D" w:rsidRPr="00760EB2">
        <w:rPr>
          <w:b/>
        </w:rPr>
        <w:t xml:space="preserve"> </w:t>
      </w:r>
      <w:r w:rsidR="0020035D" w:rsidRPr="00FE6CA3">
        <w:rPr>
          <w:b/>
          <w:color w:val="00B050"/>
        </w:rPr>
        <w:t>14,</w:t>
      </w:r>
      <w:r w:rsidR="00FE6CA3" w:rsidRPr="00FE6CA3">
        <w:rPr>
          <w:b/>
          <w:color w:val="00B050"/>
        </w:rPr>
        <w:t>262,113</w:t>
      </w:r>
      <w:r w:rsidR="00374A82" w:rsidRPr="00FE6CA3">
        <w:rPr>
          <w:color w:val="00B050"/>
        </w:rPr>
        <w:t xml:space="preserve"> </w:t>
      </w:r>
      <w:r w:rsidR="00374A82" w:rsidRPr="00FE6CA3">
        <w:rPr>
          <w:b/>
          <w:color w:val="00B050"/>
        </w:rPr>
        <w:t>kWh</w:t>
      </w:r>
      <w:r w:rsidR="0097227C" w:rsidRPr="00760EB2">
        <w:rPr>
          <w:color w:val="0000FF"/>
        </w:rPr>
        <w:t>.</w:t>
      </w:r>
      <w:r w:rsidR="00374A82" w:rsidRPr="00760EB2">
        <w:rPr>
          <w:color w:val="0000FF"/>
        </w:rPr>
        <w:t xml:space="preserve">  </w:t>
      </w:r>
      <w:r w:rsidR="00014BC6" w:rsidRPr="00760EB2">
        <w:t xml:space="preserve">However, this figure does not include the electricity that is used by the </w:t>
      </w:r>
      <w:r w:rsidR="00A50097">
        <w:t xml:space="preserve">college-owned </w:t>
      </w:r>
      <w:r w:rsidR="00014BC6" w:rsidRPr="00760EB2">
        <w:t>Villages (student housing</w:t>
      </w:r>
      <w:r w:rsidR="00A50097">
        <w:t>)</w:t>
      </w:r>
      <w:r w:rsidR="00014BC6" w:rsidRPr="00760EB2">
        <w:t>.</w:t>
      </w:r>
      <w:r w:rsidR="00137057" w:rsidRPr="00760EB2">
        <w:t xml:space="preserve"> The exact amount of energy used by these facilities could not be </w:t>
      </w:r>
      <w:r w:rsidR="00A50097">
        <w:t>determined</w:t>
      </w:r>
      <w:r w:rsidR="00A50097" w:rsidRPr="00760EB2">
        <w:t xml:space="preserve"> </w:t>
      </w:r>
      <w:r w:rsidR="00137057" w:rsidRPr="00760EB2">
        <w:t xml:space="preserve">since each </w:t>
      </w:r>
      <w:r w:rsidR="00A50097">
        <w:t>unit</w:t>
      </w:r>
      <w:r w:rsidR="00A50097" w:rsidRPr="00760EB2">
        <w:t xml:space="preserve"> </w:t>
      </w:r>
      <w:r w:rsidR="00137057" w:rsidRPr="00760EB2">
        <w:t>receives an individual electricity bill that is paid by the student occupants.</w:t>
      </w:r>
      <w:r w:rsidR="00014BC6" w:rsidRPr="00760EB2">
        <w:t xml:space="preserve"> </w:t>
      </w:r>
      <w:r w:rsidR="00137057" w:rsidRPr="00760EB2">
        <w:t>Instead, the electricity used was estimated based on square footage and the average kWh/square foot usage that is provided by the EPA (14.9 kWh/sq. ft.</w:t>
      </w:r>
      <w:r w:rsidR="001904FB">
        <w:t>, per year</w:t>
      </w:r>
      <w:r w:rsidR="00137057" w:rsidRPr="00760EB2">
        <w:t xml:space="preserve">). </w:t>
      </w:r>
      <w:r w:rsidR="001904FB">
        <w:t xml:space="preserve">Anthony Amato from the Eastern Research Group (contractor to the EPA’s Green Power Partnership), supplied this conversion factor via </w:t>
      </w:r>
      <w:bookmarkStart w:id="0" w:name="_GoBack"/>
      <w:bookmarkEnd w:id="0"/>
      <w:r w:rsidR="001904FB">
        <w:t xml:space="preserve">email conversation with Peter Schulze. </w:t>
      </w:r>
      <w:r w:rsidR="00137057" w:rsidRPr="00760EB2">
        <w:t xml:space="preserve">Since the total square footage of the Villages is 36,100 square feet, it has been estimated that they used, in total, </w:t>
      </w:r>
      <w:r w:rsidR="00137057" w:rsidRPr="00FE6CA3">
        <w:rPr>
          <w:color w:val="00B050"/>
        </w:rPr>
        <w:t xml:space="preserve">537,890 kWh </w:t>
      </w:r>
      <w:r w:rsidR="00137057" w:rsidRPr="00760EB2">
        <w:t>during FY 201</w:t>
      </w:r>
      <w:r w:rsidR="00FE6CA3">
        <w:t>6</w:t>
      </w:r>
      <w:r w:rsidR="00137057" w:rsidRPr="00760EB2">
        <w:t xml:space="preserve">. </w:t>
      </w:r>
      <w:r w:rsidR="00AB2C3F" w:rsidRPr="00760EB2">
        <w:t>This addition brings the total ele</w:t>
      </w:r>
      <w:r w:rsidR="00E82AEC">
        <w:t>ctricity consumed during FY 2016</w:t>
      </w:r>
      <w:r w:rsidR="00AB2C3F" w:rsidRPr="00760EB2">
        <w:t xml:space="preserve"> to </w:t>
      </w:r>
      <w:r w:rsidR="00FE6CA3" w:rsidRPr="00FE6CA3">
        <w:rPr>
          <w:b/>
          <w:color w:val="00B050"/>
        </w:rPr>
        <w:t xml:space="preserve">14,800,003 </w:t>
      </w:r>
      <w:r w:rsidR="00AB2C3F" w:rsidRPr="00FE6CA3">
        <w:rPr>
          <w:b/>
          <w:color w:val="00B050"/>
        </w:rPr>
        <w:t>kWh</w:t>
      </w:r>
      <w:r w:rsidR="00AB2C3F" w:rsidRPr="00760EB2">
        <w:t xml:space="preserve">. </w:t>
      </w:r>
    </w:p>
    <w:p w14:paraId="2932EA90" w14:textId="114376FB" w:rsidR="00AB2C3F" w:rsidRPr="00760EB2" w:rsidRDefault="0082024C" w:rsidP="000D5559">
      <w:pPr>
        <w:pStyle w:val="ListParagraph"/>
        <w:numPr>
          <w:ilvl w:val="0"/>
          <w:numId w:val="2"/>
        </w:numPr>
        <w:spacing w:line="480" w:lineRule="auto"/>
        <w:jc w:val="both"/>
      </w:pPr>
      <w:r w:rsidRPr="00760EB2">
        <w:t xml:space="preserve">The college also owns and operates a small building at the Sneed Prairie Research Center, but the electricity used by this facility is assumed to be completely offset by the electricity that it generates by use of solar panels. </w:t>
      </w:r>
      <w:r w:rsidR="001904FB">
        <w:t xml:space="preserve">Based on a history report given by Grayson Collin Electric Cooperative, we can see that there is surely more electricity generated than used. </w:t>
      </w:r>
      <w:r w:rsidR="00807C0D">
        <w:rPr>
          <w:color w:val="FF0000"/>
        </w:rPr>
        <w:t>Between July 1, 2015 and June 30, 2016, only</w:t>
      </w:r>
      <w:r w:rsidR="001904FB" w:rsidRPr="00FE6CA3">
        <w:rPr>
          <w:color w:val="FF0000"/>
        </w:rPr>
        <w:t xml:space="preserve"> the following </w:t>
      </w:r>
      <w:r w:rsidR="00807C0D">
        <w:rPr>
          <w:color w:val="FF0000"/>
        </w:rPr>
        <w:t>three</w:t>
      </w:r>
      <w:r w:rsidR="001904FB" w:rsidRPr="00FE6CA3">
        <w:rPr>
          <w:color w:val="FF0000"/>
        </w:rPr>
        <w:t xml:space="preserve"> months</w:t>
      </w:r>
      <w:r w:rsidR="00807C0D">
        <w:rPr>
          <w:color w:val="FF0000"/>
        </w:rPr>
        <w:t xml:space="preserve"> </w:t>
      </w:r>
      <w:r w:rsidR="001904FB" w:rsidRPr="00FE6CA3">
        <w:rPr>
          <w:color w:val="FF0000"/>
        </w:rPr>
        <w:t xml:space="preserve">show record of any electricity consumption: </w:t>
      </w:r>
      <w:r w:rsidR="00807C0D">
        <w:rPr>
          <w:color w:val="FF0000"/>
        </w:rPr>
        <w:t xml:space="preserve">January (5 kWh), February (20 kWh), and June (4 kWh). </w:t>
      </w:r>
      <w:r w:rsidR="001904FB" w:rsidRPr="00FE6CA3">
        <w:rPr>
          <w:color w:val="FF0000"/>
        </w:rPr>
        <w:t xml:space="preserve"> </w:t>
      </w:r>
      <w:r w:rsidR="001904FB">
        <w:t xml:space="preserve">During the other months, the solar panels are converting and adding energy into the local </w:t>
      </w:r>
      <w:r w:rsidR="001904FB">
        <w:lastRenderedPageBreak/>
        <w:t xml:space="preserve">grid source. Because the building is in a rural electric district, the utility records cannot show what would be a negative consumption for these 8-10 months when energy production is exceeding consumption. With confidence, we assume that, over the course of one year, the solar panels converted and added to the electric grid more equivalent kWh than were used during the 3-4 months exemplified above. </w:t>
      </w:r>
      <w:r w:rsidR="001904FB" w:rsidRPr="00760EB2">
        <w:t>The net electricity used by the facility is equal to 0 kWh, at most.</w:t>
      </w:r>
    </w:p>
    <w:p w14:paraId="215D57F4" w14:textId="4312FBDE" w:rsidR="00611166" w:rsidRPr="00760EB2" w:rsidRDefault="00374A82" w:rsidP="00611166">
      <w:pPr>
        <w:pStyle w:val="ListParagraph"/>
        <w:numPr>
          <w:ilvl w:val="0"/>
          <w:numId w:val="2"/>
        </w:numPr>
        <w:spacing w:line="480" w:lineRule="auto"/>
        <w:jc w:val="both"/>
      </w:pPr>
      <w:r w:rsidRPr="00760EB2">
        <w:t xml:space="preserve">Total natural gas consumption was also obtained via </w:t>
      </w:r>
      <w:r w:rsidR="00FE6CA3">
        <w:t>David Turk</w:t>
      </w:r>
      <w:r w:rsidRPr="00760EB2">
        <w:t xml:space="preserve">: </w:t>
      </w:r>
      <w:r w:rsidR="00FE6CA3" w:rsidRPr="00FE6CA3">
        <w:rPr>
          <w:b/>
          <w:color w:val="00B050"/>
        </w:rPr>
        <w:t>55,307</w:t>
      </w:r>
      <w:r w:rsidR="00AA5900" w:rsidRPr="00FE6CA3">
        <w:rPr>
          <w:b/>
          <w:color w:val="00B050"/>
        </w:rPr>
        <w:t xml:space="preserve"> </w:t>
      </w:r>
      <w:r w:rsidR="00014BC6" w:rsidRPr="00FE6CA3">
        <w:rPr>
          <w:b/>
          <w:color w:val="00B050"/>
        </w:rPr>
        <w:t>mmBTU.</w:t>
      </w:r>
    </w:p>
    <w:p w14:paraId="1503E39D" w14:textId="3B70F4A4" w:rsidR="004B53CA" w:rsidRDefault="0097227C" w:rsidP="00135E15">
      <w:pPr>
        <w:pStyle w:val="ListParagraph"/>
        <w:numPr>
          <w:ilvl w:val="0"/>
          <w:numId w:val="2"/>
        </w:numPr>
        <w:spacing w:line="480" w:lineRule="auto"/>
        <w:jc w:val="both"/>
      </w:pPr>
      <w:r w:rsidRPr="00760EB2">
        <w:t>Custom fuel mix considers the sources of a campus’s purchased electricity</w:t>
      </w:r>
      <w:r w:rsidR="001904FB">
        <w:t>.</w:t>
      </w:r>
      <w:r w:rsidRPr="00760EB2">
        <w:t xml:space="preserve"> </w:t>
      </w:r>
      <w:r w:rsidR="001904FB">
        <w:t>As</w:t>
      </w:r>
      <w:r w:rsidR="001904FB" w:rsidRPr="00760EB2">
        <w:t xml:space="preserve"> </w:t>
      </w:r>
      <w:r w:rsidR="004B53CA" w:rsidRPr="00760EB2">
        <w:t>per the College’s contract with its</w:t>
      </w:r>
      <w:r w:rsidR="005722B2" w:rsidRPr="00760EB2">
        <w:t xml:space="preserve"> </w:t>
      </w:r>
      <w:r w:rsidR="00733B4B" w:rsidRPr="00760EB2">
        <w:t>electricity provider, 15%</w:t>
      </w:r>
      <w:r w:rsidR="00275D1C" w:rsidRPr="00760EB2">
        <w:t xml:space="preserve"> </w:t>
      </w:r>
      <w:r w:rsidR="00733B4B">
        <w:t>of the College’s</w:t>
      </w:r>
      <w:r w:rsidR="005722B2" w:rsidRPr="005722B2">
        <w:t xml:space="preserve"> purchased electricity is g</w:t>
      </w:r>
      <w:r w:rsidR="009C7D97">
        <w:t>enerated by renewable sources.  This is accounted for in the Green Power Certificates entry, as the College purchases REC’s in addition to the 15% of purchased electricity in the contractual</w:t>
      </w:r>
      <w:r w:rsidR="00733B4B">
        <w:t xml:space="preserve"> agreement.  In order to report this accurately</w:t>
      </w:r>
      <w:r w:rsidR="009C7D97">
        <w:t xml:space="preserve">, 15% of total purchased electricity kWh was calculated </w:t>
      </w:r>
      <w:r w:rsidR="004B53CA">
        <w:t>(</w:t>
      </w:r>
      <w:r w:rsidR="0020035D" w:rsidRPr="00611166">
        <w:rPr>
          <w:b/>
          <w:color w:val="0000FF"/>
        </w:rPr>
        <w:t>2,227,067 kWh</w:t>
      </w:r>
      <w:r w:rsidR="004B53CA">
        <w:t>) and added to t</w:t>
      </w:r>
      <w:r w:rsidR="004B53CA" w:rsidRPr="00760EB2">
        <w:t xml:space="preserve">he additional purchased REC’s </w:t>
      </w:r>
      <w:r w:rsidR="00BC6D93" w:rsidRPr="00611166">
        <w:rPr>
          <w:color w:val="0000FF"/>
        </w:rPr>
        <w:t>(</w:t>
      </w:r>
      <w:r w:rsidR="00BC6D93" w:rsidRPr="00611166">
        <w:rPr>
          <w:b/>
          <w:bCs/>
          <w:color w:val="0000FF"/>
        </w:rPr>
        <w:t>10,384,000 kWh)</w:t>
      </w:r>
      <w:r w:rsidR="004B53CA" w:rsidRPr="00611166">
        <w:rPr>
          <w:color w:val="0000FF"/>
        </w:rPr>
        <w:t xml:space="preserve">; </w:t>
      </w:r>
      <w:r w:rsidR="004B53CA">
        <w:t xml:space="preserve">this sum was rounded to the nearest thousand, as REC’s are measured by megawatts rather than by kilowatts: </w:t>
      </w:r>
      <w:r w:rsidR="0038055D" w:rsidRPr="00611166">
        <w:rPr>
          <w:b/>
          <w:color w:val="0000FF"/>
        </w:rPr>
        <w:t>(12,611,067 kWh)</w:t>
      </w:r>
      <w:r w:rsidR="0038055D" w:rsidRPr="00611166">
        <w:rPr>
          <w:color w:val="0000FF"/>
        </w:rPr>
        <w:t xml:space="preserve"> </w:t>
      </w:r>
      <w:r w:rsidR="004B53CA">
        <w:t>of Green Power Certificates.  In all</w:t>
      </w:r>
      <w:r w:rsidR="00733B4B">
        <w:t>,</w:t>
      </w:r>
      <w:r w:rsidR="004B53CA">
        <w:t xml:space="preserve"> </w:t>
      </w:r>
      <w:r w:rsidR="0034686D">
        <w:rPr>
          <w:b/>
          <w:color w:val="0000FF"/>
        </w:rPr>
        <w:t>85.0</w:t>
      </w:r>
      <w:r w:rsidR="006A00B2" w:rsidRPr="00611166">
        <w:rPr>
          <w:b/>
          <w:color w:val="0000FF"/>
        </w:rPr>
        <w:t>%</w:t>
      </w:r>
      <w:r w:rsidR="006A00B2" w:rsidRPr="00A410AD">
        <w:t xml:space="preserve"> </w:t>
      </w:r>
      <w:r w:rsidR="00A410AD" w:rsidRPr="00A410AD">
        <w:t xml:space="preserve">(15% from the electricity contract and </w:t>
      </w:r>
      <w:r w:rsidR="0034686D">
        <w:t>70</w:t>
      </w:r>
      <w:r w:rsidR="00A410AD" w:rsidRPr="00A410AD">
        <w:t xml:space="preserve">% from </w:t>
      </w:r>
      <w:r w:rsidR="00A50097">
        <w:t xml:space="preserve">separately </w:t>
      </w:r>
      <w:r w:rsidR="00A410AD" w:rsidRPr="00A410AD">
        <w:t xml:space="preserve">purchased RECs) </w:t>
      </w:r>
      <w:r w:rsidR="004B53CA">
        <w:t xml:space="preserve">of the College’s purchased electricity was offset with a combination of REC’s from the contractual agreement and the additional purchased REC’s (see </w:t>
      </w:r>
      <w:r w:rsidR="004B53CA" w:rsidRPr="00611166">
        <w:rPr>
          <w:i/>
        </w:rPr>
        <w:t xml:space="preserve">Offsets and Renewable Energy Credits </w:t>
      </w:r>
      <w:r w:rsidR="004B53CA">
        <w:t xml:space="preserve">section below). </w:t>
      </w:r>
      <w:r w:rsidR="009C7D97">
        <w:t xml:space="preserve">  Thus, renewable sources were not entered on the custom fuel mix input page (in order to avoid double-counting).  </w:t>
      </w:r>
      <w:r w:rsidR="004B53CA">
        <w:t>Th</w:t>
      </w:r>
      <w:r w:rsidR="0020035D">
        <w:t>e custom fuel mix for FY 2014</w:t>
      </w:r>
      <w:r w:rsidR="00733B4B">
        <w:t xml:space="preserve"> was reported</w:t>
      </w:r>
      <w:r w:rsidR="004B53CA">
        <w:t xml:space="preserve"> as follows.</w:t>
      </w:r>
    </w:p>
    <w:p w14:paraId="7BCD4BAC" w14:textId="069BCA81" w:rsidR="006F538D" w:rsidRPr="00945668" w:rsidRDefault="006F538D" w:rsidP="00945668">
      <w:pPr>
        <w:spacing w:line="480" w:lineRule="auto"/>
        <w:ind w:left="1080"/>
        <w:jc w:val="both"/>
        <w:rPr>
          <w:i/>
        </w:rPr>
      </w:pPr>
      <w:r w:rsidRPr="00945668">
        <w:rPr>
          <w:i/>
        </w:rPr>
        <w:t>Table 7: Custom Fuel Mix</w:t>
      </w:r>
    </w:p>
    <w:tbl>
      <w:tblPr>
        <w:tblStyle w:val="TableGrid"/>
        <w:tblW w:w="0" w:type="auto"/>
        <w:tblLook w:val="04A0" w:firstRow="1" w:lastRow="0" w:firstColumn="1" w:lastColumn="0" w:noHBand="0" w:noVBand="1"/>
      </w:tblPr>
      <w:tblGrid>
        <w:gridCol w:w="4601"/>
        <w:gridCol w:w="4569"/>
      </w:tblGrid>
      <w:tr w:rsidR="00F36875" w14:paraId="592CD35A" w14:textId="77777777" w:rsidTr="00F36875">
        <w:tc>
          <w:tcPr>
            <w:tcW w:w="4684" w:type="dxa"/>
          </w:tcPr>
          <w:p w14:paraId="513FCBCF" w14:textId="77777777" w:rsidR="00F36875" w:rsidRPr="00945668" w:rsidRDefault="00F36875" w:rsidP="00F36875">
            <w:pPr>
              <w:jc w:val="center"/>
              <w:rPr>
                <w:b/>
              </w:rPr>
            </w:pPr>
            <w:r w:rsidRPr="00945668">
              <w:rPr>
                <w:b/>
              </w:rPr>
              <w:t xml:space="preserve">FY 2014 Purchased Electricity </w:t>
            </w:r>
            <w:r w:rsidRPr="00945668">
              <w:rPr>
                <w:b/>
              </w:rPr>
              <w:br/>
              <w:t>Generation Source</w:t>
            </w:r>
          </w:p>
        </w:tc>
        <w:tc>
          <w:tcPr>
            <w:tcW w:w="4666" w:type="dxa"/>
          </w:tcPr>
          <w:p w14:paraId="177AB2DF" w14:textId="77777777" w:rsidR="00F36875" w:rsidRPr="00945668" w:rsidRDefault="00F36875" w:rsidP="00FD6846">
            <w:pPr>
              <w:jc w:val="center"/>
              <w:rPr>
                <w:b/>
              </w:rPr>
            </w:pPr>
            <w:r w:rsidRPr="00945668">
              <w:rPr>
                <w:b/>
              </w:rPr>
              <w:t>% of Total</w:t>
            </w:r>
          </w:p>
        </w:tc>
      </w:tr>
      <w:tr w:rsidR="00F36875" w14:paraId="09EF3B72" w14:textId="77777777" w:rsidTr="00F36875">
        <w:tc>
          <w:tcPr>
            <w:tcW w:w="4684" w:type="dxa"/>
          </w:tcPr>
          <w:p w14:paraId="27B50255" w14:textId="77777777" w:rsidR="00F36875" w:rsidRPr="00F36875" w:rsidRDefault="00F36875" w:rsidP="00F36875">
            <w:pPr>
              <w:jc w:val="center"/>
              <w:rPr>
                <w:color w:val="0000FF"/>
              </w:rPr>
            </w:pPr>
            <w:r w:rsidRPr="00F36875">
              <w:rPr>
                <w:color w:val="0000FF"/>
              </w:rPr>
              <w:lastRenderedPageBreak/>
              <w:t>Coal</w:t>
            </w:r>
          </w:p>
        </w:tc>
        <w:tc>
          <w:tcPr>
            <w:tcW w:w="4666" w:type="dxa"/>
          </w:tcPr>
          <w:p w14:paraId="66273A2A" w14:textId="1B9004B6" w:rsidR="00F36875" w:rsidRPr="00945668" w:rsidRDefault="006A00B2" w:rsidP="00135E15">
            <w:pPr>
              <w:jc w:val="center"/>
              <w:rPr>
                <w:b/>
                <w:color w:val="0000FF"/>
              </w:rPr>
            </w:pPr>
            <w:r w:rsidRPr="00945668">
              <w:rPr>
                <w:b/>
                <w:color w:val="0000FF"/>
              </w:rPr>
              <w:t>​​</w:t>
            </w:r>
            <w:r w:rsidR="00135E15" w:rsidRPr="00945668">
              <w:rPr>
                <w:b/>
                <w:color w:val="0000FF"/>
              </w:rPr>
              <w:t>3</w:t>
            </w:r>
            <w:r w:rsidR="00610F75">
              <w:rPr>
                <w:b/>
                <w:color w:val="0000FF"/>
              </w:rPr>
              <w:t>8</w:t>
            </w:r>
            <w:r w:rsidR="00135E15" w:rsidRPr="00945668">
              <w:rPr>
                <w:b/>
                <w:color w:val="0000FF"/>
              </w:rPr>
              <w:t>%</w:t>
            </w:r>
          </w:p>
        </w:tc>
      </w:tr>
      <w:tr w:rsidR="00F36875" w14:paraId="3FCA02D9" w14:textId="77777777" w:rsidTr="00F36875">
        <w:tc>
          <w:tcPr>
            <w:tcW w:w="4684" w:type="dxa"/>
          </w:tcPr>
          <w:p w14:paraId="39C84441" w14:textId="77777777" w:rsidR="00F36875" w:rsidRPr="00F36875" w:rsidRDefault="00F36875" w:rsidP="00F36875">
            <w:pPr>
              <w:jc w:val="center"/>
              <w:rPr>
                <w:color w:val="0000FF"/>
              </w:rPr>
            </w:pPr>
            <w:r w:rsidRPr="00F36875">
              <w:rPr>
                <w:color w:val="0000FF"/>
              </w:rPr>
              <w:t>Natural Gas</w:t>
            </w:r>
          </w:p>
        </w:tc>
        <w:tc>
          <w:tcPr>
            <w:tcW w:w="4666" w:type="dxa"/>
          </w:tcPr>
          <w:p w14:paraId="52EF4229" w14:textId="7F11681F" w:rsidR="00F36875" w:rsidRPr="00945668" w:rsidRDefault="006A00B2" w:rsidP="00135E15">
            <w:pPr>
              <w:jc w:val="center"/>
              <w:rPr>
                <w:b/>
                <w:color w:val="0000FF"/>
              </w:rPr>
            </w:pPr>
            <w:r w:rsidRPr="00945668">
              <w:rPr>
                <w:b/>
                <w:color w:val="0000FF"/>
              </w:rPr>
              <w:t>​</w:t>
            </w:r>
            <w:r w:rsidR="00135E15" w:rsidRPr="00945668">
              <w:rPr>
                <w:b/>
                <w:color w:val="0000FF"/>
              </w:rPr>
              <w:t>4</w:t>
            </w:r>
            <w:r w:rsidR="00610F75">
              <w:rPr>
                <w:b/>
                <w:color w:val="0000FF"/>
              </w:rPr>
              <w:t>5</w:t>
            </w:r>
            <w:r w:rsidR="00135E15" w:rsidRPr="00945668">
              <w:rPr>
                <w:b/>
                <w:color w:val="0000FF"/>
              </w:rPr>
              <w:t>%</w:t>
            </w:r>
          </w:p>
        </w:tc>
      </w:tr>
      <w:tr w:rsidR="00F36875" w14:paraId="6FA442A5" w14:textId="77777777" w:rsidTr="00137057">
        <w:trPr>
          <w:trHeight w:val="98"/>
        </w:trPr>
        <w:tc>
          <w:tcPr>
            <w:tcW w:w="4684" w:type="dxa"/>
          </w:tcPr>
          <w:p w14:paraId="43DC2483" w14:textId="77777777" w:rsidR="00F36875" w:rsidRPr="00F36875" w:rsidRDefault="00F36875" w:rsidP="00F36875">
            <w:pPr>
              <w:jc w:val="center"/>
              <w:rPr>
                <w:color w:val="0000FF"/>
              </w:rPr>
            </w:pPr>
            <w:r w:rsidRPr="00F36875">
              <w:rPr>
                <w:color w:val="0000FF"/>
              </w:rPr>
              <w:t>Nuclear</w:t>
            </w:r>
          </w:p>
        </w:tc>
        <w:tc>
          <w:tcPr>
            <w:tcW w:w="4666" w:type="dxa"/>
          </w:tcPr>
          <w:p w14:paraId="6F717BB8" w14:textId="59D45B55" w:rsidR="00135E15" w:rsidRPr="00945668" w:rsidRDefault="006A00B2" w:rsidP="00135E15">
            <w:pPr>
              <w:jc w:val="center"/>
              <w:rPr>
                <w:b/>
                <w:color w:val="0000FF"/>
              </w:rPr>
            </w:pPr>
            <w:r w:rsidRPr="00945668">
              <w:rPr>
                <w:b/>
                <w:color w:val="0000FF"/>
              </w:rPr>
              <w:t>​</w:t>
            </w:r>
            <w:r w:rsidR="00135E15" w:rsidRPr="00945668">
              <w:rPr>
                <w:b/>
                <w:color w:val="0000FF"/>
              </w:rPr>
              <w:t>1</w:t>
            </w:r>
            <w:r w:rsidR="00610F75">
              <w:rPr>
                <w:b/>
                <w:color w:val="0000FF"/>
              </w:rPr>
              <w:t>3</w:t>
            </w:r>
            <w:r w:rsidR="00135E15" w:rsidRPr="00945668">
              <w:rPr>
                <w:b/>
                <w:color w:val="0000FF"/>
              </w:rPr>
              <w:t>%</w:t>
            </w:r>
          </w:p>
        </w:tc>
      </w:tr>
      <w:tr w:rsidR="00135E15" w14:paraId="608BB137" w14:textId="77777777" w:rsidTr="00945668">
        <w:trPr>
          <w:trHeight w:val="70"/>
        </w:trPr>
        <w:tc>
          <w:tcPr>
            <w:tcW w:w="4684" w:type="dxa"/>
          </w:tcPr>
          <w:p w14:paraId="0B9D9713" w14:textId="77777777" w:rsidR="00135E15" w:rsidRPr="00F36875" w:rsidRDefault="00135E15" w:rsidP="00F36875">
            <w:pPr>
              <w:jc w:val="center"/>
              <w:rPr>
                <w:color w:val="0000FF"/>
              </w:rPr>
            </w:pPr>
            <w:r>
              <w:rPr>
                <w:color w:val="0000FF"/>
              </w:rPr>
              <w:t>“Other”</w:t>
            </w:r>
          </w:p>
        </w:tc>
        <w:tc>
          <w:tcPr>
            <w:tcW w:w="4666" w:type="dxa"/>
          </w:tcPr>
          <w:p w14:paraId="37B9735E" w14:textId="72AB20A3" w:rsidR="00135E15" w:rsidRPr="00945668" w:rsidRDefault="00135E15" w:rsidP="00135E15">
            <w:pPr>
              <w:jc w:val="center"/>
              <w:rPr>
                <w:b/>
                <w:color w:val="0000FF"/>
              </w:rPr>
            </w:pPr>
            <w:r w:rsidRPr="00945668">
              <w:rPr>
                <w:b/>
                <w:color w:val="0000FF"/>
              </w:rPr>
              <w:t>4%</w:t>
            </w:r>
          </w:p>
        </w:tc>
      </w:tr>
    </w:tbl>
    <w:p w14:paraId="6A1A838A" w14:textId="77777777" w:rsidR="00F36875" w:rsidRPr="005722B2" w:rsidRDefault="00F36875" w:rsidP="0097227C">
      <w:pPr>
        <w:spacing w:line="480" w:lineRule="auto"/>
        <w:ind w:firstLine="720"/>
        <w:jc w:val="both"/>
      </w:pPr>
    </w:p>
    <w:p w14:paraId="163528F1" w14:textId="1A347A23" w:rsidR="00BC2C93" w:rsidRDefault="005722B2" w:rsidP="00BC2C93">
      <w:pPr>
        <w:spacing w:line="480" w:lineRule="auto"/>
        <w:ind w:firstLine="720"/>
        <w:jc w:val="both"/>
        <w:rPr>
          <w:b/>
        </w:rPr>
      </w:pPr>
      <w:r>
        <w:t xml:space="preserve">Entering a custom fuel mix is optional.  Should an analyst choose to enter a custom fuel mix, </w:t>
      </w:r>
      <w:r w:rsidR="0097227C" w:rsidRPr="004D777C">
        <w:t>their NERC region within the calculator</w:t>
      </w:r>
      <w:r>
        <w:t xml:space="preserve"> must be selected</w:t>
      </w:r>
      <w:r w:rsidR="0097227C" w:rsidRPr="004D777C">
        <w:t xml:space="preserve">; Texas’s eGRID sub region is called </w:t>
      </w:r>
      <w:r w:rsidR="0097227C" w:rsidRPr="00945668">
        <w:rPr>
          <w:b/>
          <w:color w:val="0000FF"/>
        </w:rPr>
        <w:t>“ERCT.”</w:t>
      </w:r>
      <w:r w:rsidR="0097227C" w:rsidRPr="00945668">
        <w:rPr>
          <w:color w:val="0000FF"/>
        </w:rPr>
        <w:t xml:space="preserve">  </w:t>
      </w:r>
      <w:r w:rsidR="001904FB" w:rsidRPr="00D33B88">
        <w:t xml:space="preserve">A box on the eGrid Region Page can be selected in order to turn the fuel mix on or off. </w:t>
      </w:r>
      <w:r w:rsidR="00D33B88" w:rsidRPr="00D33B88">
        <w:t xml:space="preserve">A Custom fuel mix was entered into the FY 2014 Calculator, </w:t>
      </w:r>
      <w:r w:rsidR="00211F23">
        <w:t xml:space="preserve">and is being “used”. </w:t>
      </w:r>
      <w:r w:rsidR="001904FB">
        <w:t xml:space="preserve"> </w:t>
      </w:r>
    </w:p>
    <w:p w14:paraId="107056EF" w14:textId="77777777" w:rsidR="00066AA8" w:rsidRDefault="00066AA8" w:rsidP="00BC2C93">
      <w:pPr>
        <w:spacing w:line="480" w:lineRule="auto"/>
        <w:jc w:val="both"/>
        <w:rPr>
          <w:i/>
        </w:rPr>
      </w:pPr>
    </w:p>
    <w:p w14:paraId="40C3B6D6" w14:textId="77777777" w:rsidR="0097227C" w:rsidRPr="00760EB2" w:rsidRDefault="0097227C" w:rsidP="00BC2C93">
      <w:pPr>
        <w:spacing w:line="480" w:lineRule="auto"/>
        <w:jc w:val="both"/>
        <w:rPr>
          <w:b/>
        </w:rPr>
      </w:pPr>
      <w:r w:rsidRPr="00760EB2">
        <w:rPr>
          <w:i/>
        </w:rPr>
        <w:t>Commuting</w:t>
      </w:r>
    </w:p>
    <w:p w14:paraId="2F4A096F" w14:textId="274B7C7C" w:rsidR="0097227C" w:rsidRDefault="0097227C" w:rsidP="0097227C">
      <w:pPr>
        <w:spacing w:line="480" w:lineRule="auto"/>
        <w:ind w:firstLine="720"/>
        <w:jc w:val="both"/>
      </w:pPr>
      <w:r w:rsidRPr="00760EB2">
        <w:t xml:space="preserve">The </w:t>
      </w:r>
      <w:r w:rsidR="0033501D" w:rsidRPr="00760EB2">
        <w:t>C</w:t>
      </w:r>
      <w:r w:rsidR="0033501D">
        <w:t>CC</w:t>
      </w:r>
      <w:r w:rsidR="0033501D" w:rsidRPr="00760EB2">
        <w:t xml:space="preserve"> </w:t>
      </w:r>
      <w:r w:rsidRPr="00760EB2">
        <w:t>calculator requires data regarding the commuting habits of students, faculty, and staff.  These data are used to compute emissions (MT-eCO</w:t>
      </w:r>
      <w:r w:rsidRPr="00760EB2">
        <w:rPr>
          <w:vertAlign w:val="subscript"/>
        </w:rPr>
        <w:t>2</w:t>
      </w:r>
      <w:r w:rsidRPr="00760EB2">
        <w:t>)</w:t>
      </w:r>
      <w:r w:rsidRPr="00760EB2">
        <w:rPr>
          <w:vertAlign w:val="subscript"/>
        </w:rPr>
        <w:t xml:space="preserve"> </w:t>
      </w:r>
      <w:r w:rsidRPr="00760EB2">
        <w:t xml:space="preserve">due to commuting.  </w:t>
      </w:r>
      <w:r w:rsidR="00FE6CA3">
        <w:t xml:space="preserve">In order to collect this data, a survey was designed on Surveymonkey.com and sent via email to all faculty, staff, and students that live off campus. Since Austin College students are required to live on campus for three years, we sent the survey specifically only to those who live off campus and must commute. Cyndi Gilliam in the Student Life office provided a list of these students. </w:t>
      </w:r>
      <w:r w:rsidR="0064528F" w:rsidRPr="00760EB2">
        <w:t>Respondents</w:t>
      </w:r>
      <w:r w:rsidRPr="00760EB2">
        <w:t xml:space="preserve"> were asked</w:t>
      </w:r>
      <w:r w:rsidR="001D55A7" w:rsidRPr="00760EB2">
        <w:t xml:space="preserve"> several</w:t>
      </w:r>
      <w:r w:rsidRPr="00760EB2">
        <w:t xml:space="preserve"> simple questions about their commuting habits</w:t>
      </w:r>
      <w:r w:rsidR="00FE6CA3">
        <w:t>. The questions were as follows:</w:t>
      </w:r>
    </w:p>
    <w:p w14:paraId="5E888E97" w14:textId="6A848F29" w:rsidR="00FE6CA3" w:rsidRDefault="00FE6CA3" w:rsidP="00FE6CA3">
      <w:pPr>
        <w:pStyle w:val="ListParagraph"/>
        <w:numPr>
          <w:ilvl w:val="0"/>
          <w:numId w:val="3"/>
        </w:numPr>
        <w:spacing w:line="480" w:lineRule="auto"/>
        <w:jc w:val="both"/>
      </w:pPr>
      <w:r>
        <w:t>What is your one-way commute distance to campus in miles?</w:t>
      </w:r>
    </w:p>
    <w:p w14:paraId="2ED989B4" w14:textId="7810956D" w:rsidR="00FE6CA3" w:rsidRDefault="00FE6CA3" w:rsidP="00FE6CA3">
      <w:pPr>
        <w:pStyle w:val="ListParagraph"/>
        <w:numPr>
          <w:ilvl w:val="0"/>
          <w:numId w:val="3"/>
        </w:numPr>
        <w:spacing w:line="480" w:lineRule="auto"/>
        <w:jc w:val="both"/>
      </w:pPr>
      <w:r>
        <w:t>How many weeks of the year do you commute to campus?</w:t>
      </w:r>
    </w:p>
    <w:p w14:paraId="7A7510C0" w14:textId="7AAE884A" w:rsidR="00FE6CA3" w:rsidRDefault="00FE6CA3" w:rsidP="00FE6CA3">
      <w:pPr>
        <w:pStyle w:val="ListParagraph"/>
        <w:numPr>
          <w:ilvl w:val="0"/>
          <w:numId w:val="3"/>
        </w:numPr>
        <w:spacing w:line="480" w:lineRule="auto"/>
        <w:jc w:val="both"/>
      </w:pPr>
      <w:r>
        <w:t>In a typical week, how many emission free trips to you make? (e.g. bike, walk)</w:t>
      </w:r>
    </w:p>
    <w:p w14:paraId="2F416438" w14:textId="1B34337F" w:rsidR="00FE6CA3" w:rsidRDefault="00FE6CA3" w:rsidP="00FE6CA3">
      <w:pPr>
        <w:pStyle w:val="ListParagraph"/>
        <w:numPr>
          <w:ilvl w:val="0"/>
          <w:numId w:val="3"/>
        </w:numPr>
        <w:spacing w:line="480" w:lineRule="auto"/>
        <w:jc w:val="both"/>
      </w:pPr>
      <w:r>
        <w:t xml:space="preserve">How many times do you drive alone? </w:t>
      </w:r>
    </w:p>
    <w:p w14:paraId="3CA85725" w14:textId="2123EF46" w:rsidR="00FE6CA3" w:rsidRDefault="00FE6CA3" w:rsidP="00FE6CA3">
      <w:pPr>
        <w:pStyle w:val="ListParagraph"/>
        <w:numPr>
          <w:ilvl w:val="0"/>
          <w:numId w:val="3"/>
        </w:numPr>
        <w:spacing w:line="480" w:lineRule="auto"/>
        <w:jc w:val="both"/>
      </w:pPr>
      <w:r>
        <w:t xml:space="preserve">How many times to you carpool? </w:t>
      </w:r>
    </w:p>
    <w:p w14:paraId="7A9F192F" w14:textId="4AC65F21" w:rsidR="00FE6CA3" w:rsidRDefault="00FE6CA3" w:rsidP="00FE6CA3">
      <w:pPr>
        <w:pStyle w:val="ListParagraph"/>
        <w:numPr>
          <w:ilvl w:val="0"/>
          <w:numId w:val="3"/>
        </w:numPr>
        <w:spacing w:line="480" w:lineRule="auto"/>
        <w:jc w:val="both"/>
      </w:pPr>
      <w:r>
        <w:t>What is the make/model/year of your vehicle?</w:t>
      </w:r>
    </w:p>
    <w:p w14:paraId="78DC324E" w14:textId="5B5212B2" w:rsidR="00FE6CA3" w:rsidRDefault="00FE6CA3" w:rsidP="00FE6CA3">
      <w:pPr>
        <w:spacing w:line="480" w:lineRule="auto"/>
        <w:jc w:val="both"/>
      </w:pPr>
      <w:r>
        <w:lastRenderedPageBreak/>
        <w:t xml:space="preserve">In the future, question three should be re-worded in a way that does not allow for emission-free vehicles to be counted in both the “drive alone” section as well as the “emission free” and perhaps even the “carpool” category. Question five should also be clarified so that responders understand ‘carpooling’ to mean that they are the passenger in someone else’s vehicle, as opposed to driving others in their own vehicle. Perhaps a follow-up question is needed to verify how many passengers are in the carpooling vehicle, so there is no double counting of carpoolers. </w:t>
      </w:r>
    </w:p>
    <w:p w14:paraId="251B6349" w14:textId="4BF32E3F" w:rsidR="00FE6CA3" w:rsidRPr="00760EB2" w:rsidRDefault="00FE6CA3" w:rsidP="00FE6CA3">
      <w:pPr>
        <w:spacing w:line="480" w:lineRule="auto"/>
        <w:jc w:val="both"/>
      </w:pPr>
      <w:r>
        <w:tab/>
        <w:t xml:space="preserve">When the survey was last administered in 2012, a separate procedure was completed to calculate the MPG of each surveyed vehicle to come up with an overall average. Since the average MPG calculated in 2012 differed from that provided by the CC Calculator by less than 2.0 miles, we did not take the time to complete this extra analysis again. Instead, we used the average MPG provided by the calculator. </w:t>
      </w:r>
    </w:p>
    <w:p w14:paraId="029834E9" w14:textId="1BB74315" w:rsidR="005C7876" w:rsidRPr="00760EB2" w:rsidRDefault="0097227C" w:rsidP="00821292">
      <w:pPr>
        <w:spacing w:line="480" w:lineRule="auto"/>
        <w:ind w:firstLine="360"/>
        <w:jc w:val="both"/>
      </w:pPr>
      <w:r w:rsidRPr="00760EB2">
        <w:t>Base</w:t>
      </w:r>
      <w:r w:rsidR="005C7876" w:rsidRPr="00760EB2">
        <w:t xml:space="preserve">d on information provided by </w:t>
      </w:r>
      <w:r w:rsidRPr="00760EB2">
        <w:t xml:space="preserve">respondents, the following statistics were entered into the </w:t>
      </w:r>
      <w:r w:rsidR="0033501D" w:rsidRPr="00760EB2">
        <w:t>C</w:t>
      </w:r>
      <w:r w:rsidR="0033501D">
        <w:t>CC</w:t>
      </w:r>
      <w:r w:rsidR="0033501D" w:rsidRPr="00760EB2">
        <w:t xml:space="preserve"> </w:t>
      </w:r>
      <w:r w:rsidRPr="00760EB2">
        <w:t xml:space="preserve">calculator’s commuting worksheet for students, faculty, and staff, respectively: </w:t>
      </w:r>
      <w:r w:rsidR="00FE6CA3" w:rsidRPr="00760EB2">
        <w:t>average trips per week, average weeks per year, and average miles per trip</w:t>
      </w:r>
      <w:r w:rsidR="00FE6CA3">
        <w:t xml:space="preserve"> (varies based on mode),</w:t>
      </w:r>
      <w:r w:rsidR="00FE6CA3" w:rsidRPr="00760EB2">
        <w:t xml:space="preserve"> </w:t>
      </w:r>
      <w:r w:rsidRPr="00760EB2">
        <w:t>percent of people that used a personal vehicle to travel to campus, percent of people that carpooled,</w:t>
      </w:r>
      <w:r w:rsidR="00FE6CA3">
        <w:t xml:space="preserve"> percentage of people that walked/biked to campus,</w:t>
      </w:r>
      <w:r w:rsidR="001904FB">
        <w:t xml:space="preserve">. </w:t>
      </w:r>
    </w:p>
    <w:p w14:paraId="51E4E3B7" w14:textId="77777777" w:rsidR="00945668" w:rsidRPr="00945668" w:rsidRDefault="00945668" w:rsidP="00945668">
      <w:pPr>
        <w:jc w:val="both"/>
        <w:rPr>
          <w:b/>
        </w:rPr>
      </w:pPr>
    </w:p>
    <w:p w14:paraId="5500C3EA" w14:textId="77777777" w:rsidR="00945668" w:rsidRPr="00945668" w:rsidRDefault="00945668" w:rsidP="00945668">
      <w:pPr>
        <w:jc w:val="both"/>
        <w:rPr>
          <w:b/>
        </w:rPr>
      </w:pPr>
    </w:p>
    <w:p w14:paraId="24326FC4" w14:textId="77777777" w:rsidR="005C7876" w:rsidRDefault="005C7876" w:rsidP="00A03A80">
      <w:pPr>
        <w:pStyle w:val="ListParagraph"/>
        <w:numPr>
          <w:ilvl w:val="0"/>
          <w:numId w:val="2"/>
        </w:numPr>
        <w:jc w:val="both"/>
        <w:rPr>
          <w:b/>
        </w:rPr>
      </w:pPr>
      <w:r w:rsidRPr="00945668">
        <w:rPr>
          <w:b/>
        </w:rPr>
        <w:t>Students</w:t>
      </w:r>
    </w:p>
    <w:p w14:paraId="60955052" w14:textId="7FF17382" w:rsidR="00FE6CA3" w:rsidRPr="00FE6CA3" w:rsidRDefault="00FE6CA3" w:rsidP="00FE6CA3">
      <w:pPr>
        <w:pStyle w:val="ListParagraph"/>
        <w:numPr>
          <w:ilvl w:val="1"/>
          <w:numId w:val="2"/>
        </w:numPr>
        <w:jc w:val="both"/>
      </w:pPr>
      <w:r w:rsidRPr="00FE6CA3">
        <w:t xml:space="preserve">Students who received survey/live off campus: </w:t>
      </w:r>
      <w:r w:rsidRPr="00FE6CA3">
        <w:rPr>
          <w:b/>
        </w:rPr>
        <w:t>272</w:t>
      </w:r>
    </w:p>
    <w:p w14:paraId="5B3755DE" w14:textId="5ABE1F59" w:rsidR="00FE6CA3" w:rsidRPr="00FE6CA3" w:rsidRDefault="00FE6CA3" w:rsidP="00FE6CA3">
      <w:pPr>
        <w:pStyle w:val="ListParagraph"/>
        <w:numPr>
          <w:ilvl w:val="1"/>
          <w:numId w:val="2"/>
        </w:numPr>
        <w:jc w:val="both"/>
      </w:pPr>
      <w:r w:rsidRPr="00FE6CA3">
        <w:t xml:space="preserve">Students who responded: </w:t>
      </w:r>
      <w:r w:rsidRPr="00FE6CA3">
        <w:rPr>
          <w:b/>
        </w:rPr>
        <w:t>101 only 96 valid answer sets</w:t>
      </w:r>
    </w:p>
    <w:p w14:paraId="3DF6709F" w14:textId="74E0F1B5" w:rsidR="005C7876" w:rsidRPr="00FE6CA3" w:rsidRDefault="00FE6CA3" w:rsidP="00A03A80">
      <w:pPr>
        <w:pStyle w:val="ListParagraph"/>
        <w:numPr>
          <w:ilvl w:val="1"/>
          <w:numId w:val="2"/>
        </w:numPr>
        <w:jc w:val="both"/>
      </w:pPr>
      <w:r w:rsidRPr="00FE6CA3">
        <w:t>Avg. trips per week:</w:t>
      </w:r>
      <w:r>
        <w:t xml:space="preserve"> </w:t>
      </w:r>
      <w:r w:rsidRPr="00FE6CA3">
        <w:rPr>
          <w:b/>
        </w:rPr>
        <w:t>9.69</w:t>
      </w:r>
    </w:p>
    <w:p w14:paraId="375FB81E" w14:textId="74A5A948" w:rsidR="00FE6CA3" w:rsidRPr="00FE6CA3" w:rsidRDefault="00FE6CA3" w:rsidP="00A03A80">
      <w:pPr>
        <w:pStyle w:val="ListParagraph"/>
        <w:numPr>
          <w:ilvl w:val="1"/>
          <w:numId w:val="2"/>
        </w:numPr>
        <w:jc w:val="both"/>
      </w:pPr>
      <w:r w:rsidRPr="00FE6CA3">
        <w:t>Avg. weeks per year:</w:t>
      </w:r>
      <w:r>
        <w:t xml:space="preserve"> </w:t>
      </w:r>
      <w:r w:rsidRPr="00FE6CA3">
        <w:rPr>
          <w:b/>
        </w:rPr>
        <w:t>35.42</w:t>
      </w:r>
    </w:p>
    <w:p w14:paraId="7162EA5F" w14:textId="28D26591" w:rsidR="00FE6CA3" w:rsidRPr="00FE6CA3" w:rsidRDefault="00FE6CA3" w:rsidP="00A03A80">
      <w:pPr>
        <w:pStyle w:val="ListParagraph"/>
        <w:numPr>
          <w:ilvl w:val="1"/>
          <w:numId w:val="2"/>
        </w:numPr>
        <w:jc w:val="both"/>
        <w:rPr>
          <w:b/>
        </w:rPr>
      </w:pPr>
      <w:r>
        <w:t xml:space="preserve">Avg. miles per trip (walking): </w:t>
      </w:r>
      <w:r w:rsidRPr="00FE6CA3">
        <w:rPr>
          <w:b/>
        </w:rPr>
        <w:t>1.23</w:t>
      </w:r>
    </w:p>
    <w:p w14:paraId="516C5E1A" w14:textId="2A8F42F8" w:rsidR="00FE6CA3" w:rsidRPr="00FE6CA3" w:rsidRDefault="00FE6CA3" w:rsidP="00A03A80">
      <w:pPr>
        <w:pStyle w:val="ListParagraph"/>
        <w:numPr>
          <w:ilvl w:val="1"/>
          <w:numId w:val="2"/>
        </w:numPr>
        <w:jc w:val="both"/>
        <w:rPr>
          <w:b/>
        </w:rPr>
      </w:pPr>
      <w:r>
        <w:t xml:space="preserve">Avg. miles per trip (driving/carpooling): </w:t>
      </w:r>
      <w:r w:rsidRPr="00FE6CA3">
        <w:rPr>
          <w:b/>
        </w:rPr>
        <w:t xml:space="preserve">5.93 </w:t>
      </w:r>
    </w:p>
    <w:p w14:paraId="15218FCE" w14:textId="5508EF05" w:rsidR="00FE6CA3" w:rsidRPr="00FE6CA3" w:rsidRDefault="00FE6CA3" w:rsidP="00FE6CA3">
      <w:pPr>
        <w:pStyle w:val="ListParagraph"/>
        <w:numPr>
          <w:ilvl w:val="1"/>
          <w:numId w:val="2"/>
        </w:numPr>
        <w:jc w:val="both"/>
        <w:rPr>
          <w:b/>
        </w:rPr>
      </w:pPr>
      <w:r w:rsidRPr="00FE6CA3">
        <w:t>Percentage who drive alone:</w:t>
      </w:r>
      <w:r>
        <w:t xml:space="preserve"> </w:t>
      </w:r>
      <w:r w:rsidRPr="00FE6CA3">
        <w:rPr>
          <w:b/>
        </w:rPr>
        <w:t>55.72%</w:t>
      </w:r>
    </w:p>
    <w:p w14:paraId="0F87EEDB" w14:textId="52C6853B" w:rsidR="00FE6CA3" w:rsidRPr="00FE6CA3" w:rsidRDefault="00FE6CA3" w:rsidP="00FE6CA3">
      <w:pPr>
        <w:pStyle w:val="ListParagraph"/>
        <w:numPr>
          <w:ilvl w:val="1"/>
          <w:numId w:val="2"/>
        </w:numPr>
        <w:jc w:val="both"/>
      </w:pPr>
      <w:r w:rsidRPr="00FE6CA3">
        <w:t>Percentage who carpool:</w:t>
      </w:r>
      <w:r>
        <w:t xml:space="preserve"> </w:t>
      </w:r>
      <w:r w:rsidRPr="00FE6CA3">
        <w:rPr>
          <w:b/>
        </w:rPr>
        <w:t>15.78%</w:t>
      </w:r>
    </w:p>
    <w:p w14:paraId="1C16C73E" w14:textId="24F21049" w:rsidR="00FE6CA3" w:rsidRPr="00FE6CA3" w:rsidRDefault="00FE6CA3" w:rsidP="00FE6CA3">
      <w:pPr>
        <w:pStyle w:val="ListParagraph"/>
        <w:numPr>
          <w:ilvl w:val="1"/>
          <w:numId w:val="2"/>
        </w:numPr>
        <w:jc w:val="both"/>
      </w:pPr>
      <w:r w:rsidRPr="00FE6CA3">
        <w:t>Percentage who bike/walk:</w:t>
      </w:r>
      <w:r>
        <w:t xml:space="preserve"> </w:t>
      </w:r>
      <w:r w:rsidRPr="00FE6CA3">
        <w:rPr>
          <w:b/>
        </w:rPr>
        <w:t>28.48%</w:t>
      </w:r>
    </w:p>
    <w:p w14:paraId="35FF9326" w14:textId="77777777" w:rsidR="005C624C" w:rsidRPr="00945668" w:rsidRDefault="005C624C" w:rsidP="005C624C">
      <w:pPr>
        <w:pStyle w:val="ListParagraph"/>
        <w:jc w:val="both"/>
        <w:rPr>
          <w:b/>
        </w:rPr>
      </w:pPr>
    </w:p>
    <w:p w14:paraId="28BCDCD7" w14:textId="77777777" w:rsidR="005C7876" w:rsidRDefault="005C7876" w:rsidP="00A03A80">
      <w:pPr>
        <w:pStyle w:val="ListParagraph"/>
        <w:numPr>
          <w:ilvl w:val="0"/>
          <w:numId w:val="2"/>
        </w:numPr>
        <w:jc w:val="both"/>
        <w:rPr>
          <w:b/>
        </w:rPr>
      </w:pPr>
      <w:r w:rsidRPr="00945668">
        <w:rPr>
          <w:b/>
        </w:rPr>
        <w:t>Faculty</w:t>
      </w:r>
    </w:p>
    <w:p w14:paraId="38AE737A" w14:textId="3126E45D" w:rsidR="00FE6CA3" w:rsidRPr="00FE6CA3" w:rsidRDefault="00FE6CA3" w:rsidP="00FE6CA3">
      <w:pPr>
        <w:pStyle w:val="ListParagraph"/>
        <w:numPr>
          <w:ilvl w:val="1"/>
          <w:numId w:val="2"/>
        </w:numPr>
        <w:jc w:val="both"/>
      </w:pPr>
      <w:r>
        <w:lastRenderedPageBreak/>
        <w:t xml:space="preserve">Total number of faculty: </w:t>
      </w:r>
      <w:r w:rsidRPr="00FE6CA3">
        <w:rPr>
          <w:b/>
        </w:rPr>
        <w:t>115 Full-time equivalent</w:t>
      </w:r>
      <w:r>
        <w:t xml:space="preserve"> </w:t>
      </w:r>
    </w:p>
    <w:p w14:paraId="1790CFD6" w14:textId="17F93E0C" w:rsidR="00FE6CA3" w:rsidRPr="00FE6CA3" w:rsidRDefault="00FE6CA3" w:rsidP="00FE6CA3">
      <w:pPr>
        <w:pStyle w:val="ListParagraph"/>
        <w:numPr>
          <w:ilvl w:val="1"/>
          <w:numId w:val="2"/>
        </w:numPr>
        <w:jc w:val="both"/>
      </w:pPr>
      <w:r>
        <w:t>Faculty that</w:t>
      </w:r>
      <w:r w:rsidRPr="00FE6CA3">
        <w:t xml:space="preserve"> responded: </w:t>
      </w:r>
      <w:r>
        <w:rPr>
          <w:b/>
        </w:rPr>
        <w:t>42</w:t>
      </w:r>
    </w:p>
    <w:p w14:paraId="29820748" w14:textId="539C2273" w:rsidR="00FE6CA3" w:rsidRPr="00FE6CA3" w:rsidRDefault="00FE6CA3" w:rsidP="00FE6CA3">
      <w:pPr>
        <w:pStyle w:val="ListParagraph"/>
        <w:numPr>
          <w:ilvl w:val="1"/>
          <w:numId w:val="2"/>
        </w:numPr>
        <w:jc w:val="both"/>
      </w:pPr>
      <w:r w:rsidRPr="00FE6CA3">
        <w:t>Avg. trips per week:</w:t>
      </w:r>
      <w:r>
        <w:t xml:space="preserve"> </w:t>
      </w:r>
      <w:r>
        <w:rPr>
          <w:b/>
        </w:rPr>
        <w:t>5.16</w:t>
      </w:r>
    </w:p>
    <w:p w14:paraId="7C5E1405" w14:textId="3459B826" w:rsidR="00FE6CA3" w:rsidRPr="00FE6CA3" w:rsidRDefault="00FE6CA3" w:rsidP="00FE6CA3">
      <w:pPr>
        <w:pStyle w:val="ListParagraph"/>
        <w:numPr>
          <w:ilvl w:val="1"/>
          <w:numId w:val="2"/>
        </w:numPr>
        <w:jc w:val="both"/>
      </w:pPr>
      <w:r w:rsidRPr="00FE6CA3">
        <w:t>Avg. weeks per year:</w:t>
      </w:r>
      <w:r>
        <w:t xml:space="preserve"> </w:t>
      </w:r>
      <w:r>
        <w:rPr>
          <w:b/>
        </w:rPr>
        <w:t>42.26</w:t>
      </w:r>
    </w:p>
    <w:p w14:paraId="4032ECDE" w14:textId="51042028" w:rsidR="00FE6CA3" w:rsidRPr="00FE6CA3" w:rsidRDefault="00FE6CA3" w:rsidP="00FE6CA3">
      <w:pPr>
        <w:pStyle w:val="ListParagraph"/>
        <w:numPr>
          <w:ilvl w:val="1"/>
          <w:numId w:val="2"/>
        </w:numPr>
        <w:jc w:val="both"/>
        <w:rPr>
          <w:b/>
        </w:rPr>
      </w:pPr>
      <w:r>
        <w:t xml:space="preserve">Avg. miles per trip (walking): </w:t>
      </w:r>
      <w:r>
        <w:rPr>
          <w:b/>
        </w:rPr>
        <w:t>1.31</w:t>
      </w:r>
    </w:p>
    <w:p w14:paraId="7CB5CD99" w14:textId="462D714E" w:rsidR="00FE6CA3" w:rsidRPr="00FE6CA3" w:rsidRDefault="00FE6CA3" w:rsidP="00FE6CA3">
      <w:pPr>
        <w:pStyle w:val="ListParagraph"/>
        <w:numPr>
          <w:ilvl w:val="1"/>
          <w:numId w:val="2"/>
        </w:numPr>
        <w:jc w:val="both"/>
        <w:rPr>
          <w:b/>
        </w:rPr>
      </w:pPr>
      <w:r>
        <w:t xml:space="preserve">Avg. miles per trip (driving/carpooling): </w:t>
      </w:r>
      <w:r>
        <w:rPr>
          <w:b/>
        </w:rPr>
        <w:t>17.98</w:t>
      </w:r>
    </w:p>
    <w:p w14:paraId="659D5553" w14:textId="0F20EDAA" w:rsidR="00FE6CA3" w:rsidRPr="00FE6CA3" w:rsidRDefault="00FE6CA3" w:rsidP="00FE6CA3">
      <w:pPr>
        <w:pStyle w:val="ListParagraph"/>
        <w:numPr>
          <w:ilvl w:val="1"/>
          <w:numId w:val="2"/>
        </w:numPr>
        <w:jc w:val="both"/>
        <w:rPr>
          <w:b/>
        </w:rPr>
      </w:pPr>
      <w:r w:rsidRPr="00FE6CA3">
        <w:t>Percentage who drive alone:</w:t>
      </w:r>
      <w:r>
        <w:t xml:space="preserve"> </w:t>
      </w:r>
      <w:r>
        <w:rPr>
          <w:b/>
        </w:rPr>
        <w:t>76.03%</w:t>
      </w:r>
    </w:p>
    <w:p w14:paraId="5FDF3CF9" w14:textId="28ED7582" w:rsidR="00FE6CA3" w:rsidRPr="00FE6CA3" w:rsidRDefault="00FE6CA3" w:rsidP="00FE6CA3">
      <w:pPr>
        <w:pStyle w:val="ListParagraph"/>
        <w:numPr>
          <w:ilvl w:val="1"/>
          <w:numId w:val="2"/>
        </w:numPr>
        <w:jc w:val="both"/>
      </w:pPr>
      <w:r w:rsidRPr="00FE6CA3">
        <w:t>Percentage who carpool:</w:t>
      </w:r>
      <w:r>
        <w:t xml:space="preserve"> </w:t>
      </w:r>
      <w:r>
        <w:rPr>
          <w:b/>
        </w:rPr>
        <w:t>12.90%</w:t>
      </w:r>
    </w:p>
    <w:p w14:paraId="123304E9" w14:textId="7E13294B" w:rsidR="00FE6CA3" w:rsidRPr="00FE6CA3" w:rsidRDefault="00FE6CA3" w:rsidP="00FE6CA3">
      <w:pPr>
        <w:pStyle w:val="ListParagraph"/>
        <w:numPr>
          <w:ilvl w:val="1"/>
          <w:numId w:val="2"/>
        </w:numPr>
        <w:jc w:val="both"/>
      </w:pPr>
      <w:r w:rsidRPr="00FE6CA3">
        <w:t>Percentage who bike/walk:</w:t>
      </w:r>
      <w:r>
        <w:t xml:space="preserve"> </w:t>
      </w:r>
      <w:r>
        <w:rPr>
          <w:b/>
        </w:rPr>
        <w:t>11.06%</w:t>
      </w:r>
    </w:p>
    <w:p w14:paraId="4A083A39" w14:textId="77777777" w:rsidR="00FE6CA3" w:rsidRPr="00945668" w:rsidRDefault="00FE6CA3" w:rsidP="00FE6CA3">
      <w:pPr>
        <w:pStyle w:val="ListParagraph"/>
        <w:ind w:left="1440"/>
        <w:jc w:val="both"/>
        <w:rPr>
          <w:b/>
        </w:rPr>
      </w:pPr>
    </w:p>
    <w:p w14:paraId="1DDE5F75" w14:textId="77777777" w:rsidR="005C624C" w:rsidRPr="00945668" w:rsidRDefault="005C624C" w:rsidP="005C624C">
      <w:pPr>
        <w:pStyle w:val="ListParagraph"/>
        <w:jc w:val="both"/>
        <w:rPr>
          <w:b/>
        </w:rPr>
      </w:pPr>
    </w:p>
    <w:p w14:paraId="7700C0A0" w14:textId="77777777" w:rsidR="005C7876" w:rsidRDefault="00B81DA0" w:rsidP="00A03A80">
      <w:pPr>
        <w:pStyle w:val="ListParagraph"/>
        <w:numPr>
          <w:ilvl w:val="0"/>
          <w:numId w:val="2"/>
        </w:numPr>
        <w:jc w:val="both"/>
        <w:rPr>
          <w:b/>
        </w:rPr>
      </w:pPr>
      <w:r w:rsidRPr="00945668">
        <w:rPr>
          <w:b/>
        </w:rPr>
        <w:t>Staff</w:t>
      </w:r>
    </w:p>
    <w:p w14:paraId="47DDABEF" w14:textId="5E94BD5C" w:rsidR="00FE6CA3" w:rsidRPr="00FE6CA3" w:rsidRDefault="00FE6CA3" w:rsidP="00FE6CA3">
      <w:pPr>
        <w:pStyle w:val="ListParagraph"/>
        <w:numPr>
          <w:ilvl w:val="1"/>
          <w:numId w:val="2"/>
        </w:numPr>
        <w:jc w:val="both"/>
      </w:pPr>
      <w:r>
        <w:t xml:space="preserve">Total number of staff: </w:t>
      </w:r>
      <w:r w:rsidRPr="00FE6CA3">
        <w:rPr>
          <w:b/>
        </w:rPr>
        <w:t xml:space="preserve">201 Full-time equivalent </w:t>
      </w:r>
    </w:p>
    <w:p w14:paraId="1E19CA91" w14:textId="01C82428" w:rsidR="00FE6CA3" w:rsidRPr="00FE6CA3" w:rsidRDefault="00FE6CA3" w:rsidP="00FE6CA3">
      <w:pPr>
        <w:pStyle w:val="ListParagraph"/>
        <w:numPr>
          <w:ilvl w:val="1"/>
          <w:numId w:val="2"/>
        </w:numPr>
        <w:jc w:val="both"/>
      </w:pPr>
      <w:r>
        <w:t>Staff that</w:t>
      </w:r>
      <w:r w:rsidRPr="00FE6CA3">
        <w:t xml:space="preserve"> responded: </w:t>
      </w:r>
      <w:r>
        <w:rPr>
          <w:b/>
        </w:rPr>
        <w:t>78</w:t>
      </w:r>
    </w:p>
    <w:p w14:paraId="5E7CCEE0" w14:textId="3B7AB239" w:rsidR="00FE6CA3" w:rsidRPr="00FE6CA3" w:rsidRDefault="00FE6CA3" w:rsidP="00FE6CA3">
      <w:pPr>
        <w:pStyle w:val="ListParagraph"/>
        <w:numPr>
          <w:ilvl w:val="1"/>
          <w:numId w:val="2"/>
        </w:numPr>
        <w:jc w:val="both"/>
      </w:pPr>
      <w:r w:rsidRPr="00FE6CA3">
        <w:t>Avg. trips per week:</w:t>
      </w:r>
      <w:r>
        <w:t xml:space="preserve"> </w:t>
      </w:r>
      <w:r>
        <w:rPr>
          <w:b/>
        </w:rPr>
        <w:t>5.06</w:t>
      </w:r>
    </w:p>
    <w:p w14:paraId="75195C09" w14:textId="322C08D0" w:rsidR="00FE6CA3" w:rsidRPr="00FE6CA3" w:rsidRDefault="00FE6CA3" w:rsidP="00FE6CA3">
      <w:pPr>
        <w:pStyle w:val="ListParagraph"/>
        <w:numPr>
          <w:ilvl w:val="1"/>
          <w:numId w:val="2"/>
        </w:numPr>
        <w:jc w:val="both"/>
      </w:pPr>
      <w:r w:rsidRPr="00FE6CA3">
        <w:t>Avg. weeks per year:</w:t>
      </w:r>
      <w:r>
        <w:t xml:space="preserve"> </w:t>
      </w:r>
      <w:r>
        <w:rPr>
          <w:b/>
        </w:rPr>
        <w:t>49.62</w:t>
      </w:r>
    </w:p>
    <w:p w14:paraId="68ECBE5A" w14:textId="601BE80E" w:rsidR="00FE6CA3" w:rsidRPr="00FE6CA3" w:rsidRDefault="00FE6CA3" w:rsidP="00FE6CA3">
      <w:pPr>
        <w:pStyle w:val="ListParagraph"/>
        <w:numPr>
          <w:ilvl w:val="1"/>
          <w:numId w:val="2"/>
        </w:numPr>
        <w:jc w:val="both"/>
        <w:rPr>
          <w:b/>
        </w:rPr>
      </w:pPr>
      <w:r>
        <w:t xml:space="preserve">Avg. miles per trip (walking): </w:t>
      </w:r>
      <w:r>
        <w:rPr>
          <w:b/>
        </w:rPr>
        <w:t>1.11</w:t>
      </w:r>
    </w:p>
    <w:p w14:paraId="5D4F70EA" w14:textId="75BF2776" w:rsidR="00FE6CA3" w:rsidRDefault="00FE6CA3" w:rsidP="00FE6CA3">
      <w:pPr>
        <w:pStyle w:val="ListParagraph"/>
        <w:numPr>
          <w:ilvl w:val="1"/>
          <w:numId w:val="2"/>
        </w:numPr>
        <w:jc w:val="both"/>
        <w:rPr>
          <w:b/>
        </w:rPr>
      </w:pPr>
      <w:r>
        <w:t xml:space="preserve">Avg. miles per trip (driving alone): </w:t>
      </w:r>
      <w:r>
        <w:rPr>
          <w:b/>
        </w:rPr>
        <w:t>17.17</w:t>
      </w:r>
    </w:p>
    <w:p w14:paraId="4159D6C6" w14:textId="2E913BFA" w:rsidR="00FE6CA3" w:rsidRPr="00FE6CA3" w:rsidRDefault="00FE6CA3" w:rsidP="00FE6CA3">
      <w:pPr>
        <w:pStyle w:val="ListParagraph"/>
        <w:numPr>
          <w:ilvl w:val="1"/>
          <w:numId w:val="2"/>
        </w:numPr>
        <w:jc w:val="both"/>
        <w:rPr>
          <w:b/>
        </w:rPr>
      </w:pPr>
      <w:r w:rsidRPr="00FE6CA3">
        <w:t>Avg. miles per trip (carpooling:</w:t>
      </w:r>
      <w:r>
        <w:rPr>
          <w:b/>
        </w:rPr>
        <w:t xml:space="preserve"> 19.32</w:t>
      </w:r>
    </w:p>
    <w:p w14:paraId="4BABA244" w14:textId="3AD909AA" w:rsidR="00FE6CA3" w:rsidRPr="00FE6CA3" w:rsidRDefault="00FE6CA3" w:rsidP="00FE6CA3">
      <w:pPr>
        <w:pStyle w:val="ListParagraph"/>
        <w:numPr>
          <w:ilvl w:val="1"/>
          <w:numId w:val="2"/>
        </w:numPr>
        <w:jc w:val="both"/>
        <w:rPr>
          <w:b/>
        </w:rPr>
      </w:pPr>
      <w:r w:rsidRPr="00FE6CA3">
        <w:t>Percentage who drive alone:</w:t>
      </w:r>
      <w:r>
        <w:t xml:space="preserve"> </w:t>
      </w:r>
      <w:r>
        <w:rPr>
          <w:b/>
        </w:rPr>
        <w:t>86.0%</w:t>
      </w:r>
    </w:p>
    <w:p w14:paraId="127CDBB4" w14:textId="50A0909F" w:rsidR="00FE6CA3" w:rsidRPr="00FE6CA3" w:rsidRDefault="00FE6CA3" w:rsidP="00FE6CA3">
      <w:pPr>
        <w:pStyle w:val="ListParagraph"/>
        <w:numPr>
          <w:ilvl w:val="1"/>
          <w:numId w:val="2"/>
        </w:numPr>
        <w:jc w:val="both"/>
      </w:pPr>
      <w:r w:rsidRPr="00FE6CA3">
        <w:t>Percentage who carpool:</w:t>
      </w:r>
      <w:r>
        <w:t xml:space="preserve"> </w:t>
      </w:r>
      <w:r>
        <w:rPr>
          <w:b/>
        </w:rPr>
        <w:t>6.0%</w:t>
      </w:r>
    </w:p>
    <w:p w14:paraId="5B05496D" w14:textId="5F2CB174" w:rsidR="00FE6CA3" w:rsidRPr="00FE6CA3" w:rsidRDefault="00FE6CA3" w:rsidP="00FE6CA3">
      <w:pPr>
        <w:pStyle w:val="ListParagraph"/>
        <w:numPr>
          <w:ilvl w:val="1"/>
          <w:numId w:val="2"/>
        </w:numPr>
        <w:jc w:val="both"/>
      </w:pPr>
      <w:r w:rsidRPr="00FE6CA3">
        <w:t>Percentage who bike/walk:</w:t>
      </w:r>
      <w:r>
        <w:t xml:space="preserve"> </w:t>
      </w:r>
      <w:r>
        <w:rPr>
          <w:b/>
        </w:rPr>
        <w:t>8.0%</w:t>
      </w:r>
    </w:p>
    <w:p w14:paraId="3722A9ED" w14:textId="77777777" w:rsidR="00FE6CA3" w:rsidRPr="00945668" w:rsidRDefault="00FE6CA3" w:rsidP="00A03A80">
      <w:pPr>
        <w:pStyle w:val="ListParagraph"/>
        <w:numPr>
          <w:ilvl w:val="0"/>
          <w:numId w:val="2"/>
        </w:numPr>
        <w:jc w:val="both"/>
        <w:rPr>
          <w:b/>
        </w:rPr>
      </w:pPr>
    </w:p>
    <w:p w14:paraId="24432031" w14:textId="77777777" w:rsidR="00BC2C93" w:rsidRDefault="00BC2C93" w:rsidP="00BC2C93">
      <w:pPr>
        <w:spacing w:line="480" w:lineRule="auto"/>
        <w:jc w:val="both"/>
      </w:pPr>
    </w:p>
    <w:p w14:paraId="3E36BD1C" w14:textId="4EE76F50" w:rsidR="000F7844" w:rsidRPr="00760EB2" w:rsidRDefault="00FE6CA3" w:rsidP="00BC2C93">
      <w:pPr>
        <w:spacing w:line="480" w:lineRule="auto"/>
        <w:ind w:firstLine="360"/>
        <w:jc w:val="both"/>
      </w:pPr>
      <w:r>
        <w:t>The</w:t>
      </w:r>
      <w:r w:rsidR="000F7844" w:rsidRPr="00760EB2">
        <w:t xml:space="preserve"> following is a summary of survey responses including full-time and part-time students, faculty, and staff:</w:t>
      </w:r>
    </w:p>
    <w:p w14:paraId="5501B5AF" w14:textId="6FA5B56D" w:rsidR="000F7844" w:rsidRPr="00760EB2" w:rsidRDefault="000F7844" w:rsidP="000F7844">
      <w:pPr>
        <w:pStyle w:val="ListParagraph"/>
        <w:numPr>
          <w:ilvl w:val="0"/>
          <w:numId w:val="2"/>
        </w:numPr>
        <w:spacing w:line="480" w:lineRule="auto"/>
        <w:jc w:val="both"/>
      </w:pPr>
      <w:r w:rsidRPr="00760EB2">
        <w:t xml:space="preserve">Students: </w:t>
      </w:r>
      <w:r w:rsidR="00FE6CA3">
        <w:t>101</w:t>
      </w:r>
      <w:r w:rsidRPr="00760EB2">
        <w:t xml:space="preserve"> Responses/</w:t>
      </w:r>
      <w:r w:rsidR="00FE6CA3">
        <w:t>272 Total = 3</w:t>
      </w:r>
      <w:r w:rsidRPr="00760EB2">
        <w:t>7</w:t>
      </w:r>
      <w:r w:rsidR="00FE6CA3">
        <w:t>.1</w:t>
      </w:r>
      <w:r w:rsidRPr="00760EB2">
        <w:t>% of Students Responded</w:t>
      </w:r>
    </w:p>
    <w:p w14:paraId="3DA3E499" w14:textId="44A456E0" w:rsidR="000F7844" w:rsidRPr="00760EB2" w:rsidRDefault="00FE6CA3" w:rsidP="000F7844">
      <w:pPr>
        <w:pStyle w:val="ListParagraph"/>
        <w:numPr>
          <w:ilvl w:val="0"/>
          <w:numId w:val="2"/>
        </w:numPr>
        <w:spacing w:line="480" w:lineRule="auto"/>
        <w:jc w:val="both"/>
      </w:pPr>
      <w:r>
        <w:t>Faculty: 42 Responses/115 Total = 36.5</w:t>
      </w:r>
      <w:r w:rsidR="000F7844" w:rsidRPr="00760EB2">
        <w:t>% of Faculty Responded</w:t>
      </w:r>
    </w:p>
    <w:p w14:paraId="53859C3F" w14:textId="77C45100" w:rsidR="000F7844" w:rsidRPr="00760EB2" w:rsidRDefault="00FE6CA3" w:rsidP="000F7844">
      <w:pPr>
        <w:pStyle w:val="ListParagraph"/>
        <w:numPr>
          <w:ilvl w:val="0"/>
          <w:numId w:val="2"/>
        </w:numPr>
        <w:spacing w:line="480" w:lineRule="auto"/>
        <w:jc w:val="both"/>
      </w:pPr>
      <w:r>
        <w:t>Staff: 78 Responses/201 Staff = 38.8</w:t>
      </w:r>
      <w:r w:rsidR="000F7844" w:rsidRPr="00760EB2">
        <w:t>% of Staff Responded</w:t>
      </w:r>
    </w:p>
    <w:p w14:paraId="5C14DD77" w14:textId="77777777" w:rsidR="0097227C" w:rsidRPr="00760EB2" w:rsidRDefault="000F7844" w:rsidP="0097227C">
      <w:pPr>
        <w:spacing w:line="480" w:lineRule="auto"/>
        <w:jc w:val="both"/>
        <w:rPr>
          <w:i/>
        </w:rPr>
      </w:pPr>
      <w:r>
        <w:rPr>
          <w:i/>
        </w:rPr>
        <w:br/>
      </w:r>
      <w:r w:rsidR="0097227C" w:rsidRPr="00760EB2">
        <w:rPr>
          <w:i/>
        </w:rPr>
        <w:t>Dire</w:t>
      </w:r>
      <w:r w:rsidR="00306610" w:rsidRPr="00760EB2">
        <w:rPr>
          <w:i/>
        </w:rPr>
        <w:t>ctly Financed Outsourced Travel</w:t>
      </w:r>
      <w:r w:rsidR="00242BE6" w:rsidRPr="00760EB2">
        <w:t xml:space="preserve"> </w:t>
      </w:r>
    </w:p>
    <w:p w14:paraId="278116F1" w14:textId="64A7468C" w:rsidR="009F18B8" w:rsidRPr="00760EB2" w:rsidRDefault="009F18B8" w:rsidP="009F18B8">
      <w:pPr>
        <w:pStyle w:val="ListParagraph"/>
        <w:numPr>
          <w:ilvl w:val="0"/>
          <w:numId w:val="2"/>
        </w:numPr>
        <w:spacing w:line="480" w:lineRule="auto"/>
        <w:jc w:val="both"/>
        <w:rPr>
          <w:i/>
        </w:rPr>
      </w:pPr>
      <w:r w:rsidRPr="00760EB2">
        <w:t>According to VP of Bus</w:t>
      </w:r>
      <w:r w:rsidR="001B65E8" w:rsidRPr="00760EB2">
        <w:t>iness Affairs Heidi Ellis, faculty/staff air travel</w:t>
      </w:r>
      <w:r w:rsidRPr="00760EB2">
        <w:t xml:space="preserve"> data are </w:t>
      </w:r>
      <w:r w:rsidR="00A91A0B">
        <w:t>difficult</w:t>
      </w:r>
      <w:r w:rsidRPr="00760EB2">
        <w:t xml:space="preserve"> to tally from College records; </w:t>
      </w:r>
      <w:r w:rsidRPr="00945668">
        <w:t>a new tracking system is necessary</w:t>
      </w:r>
      <w:r w:rsidRPr="00760EB2">
        <w:t>.</w:t>
      </w:r>
      <w:r w:rsidR="001B65E8" w:rsidRPr="00760EB2">
        <w:t xml:space="preserve">  Ellis suggested that all VP’s be given a form that allows them to easily record air travel information (dates, destination(s), airports used, etc.) for faculty/staff within their respective departments.  </w:t>
      </w:r>
      <w:r w:rsidR="001B65E8" w:rsidRPr="00760EB2">
        <w:lastRenderedPageBreak/>
        <w:t>Ellis suggested that the completion of such a form be mandated by President Hass. In the meantime, the value of faculty/staff air miles reported for FY 2010, which was also largely based on estimation, was used</w:t>
      </w:r>
      <w:r w:rsidR="00F73D85" w:rsidRPr="00760EB2">
        <w:t xml:space="preserve"> (see Katie Masucci (2011) for methods)</w:t>
      </w:r>
      <w:r w:rsidR="001B65E8" w:rsidRPr="00760EB2">
        <w:t xml:space="preserve">: </w:t>
      </w:r>
      <w:r w:rsidR="001B65E8" w:rsidRPr="00FE6CA3">
        <w:rPr>
          <w:b/>
          <w:color w:val="00B050"/>
        </w:rPr>
        <w:t>907,457 miles</w:t>
      </w:r>
      <w:r w:rsidR="00F73D85" w:rsidRPr="00FE6CA3">
        <w:rPr>
          <w:color w:val="00B050"/>
        </w:rPr>
        <w:t xml:space="preserve"> </w:t>
      </w:r>
      <w:r w:rsidR="00F73D85" w:rsidRPr="00FE6CA3">
        <w:rPr>
          <w:b/>
          <w:color w:val="00B050"/>
        </w:rPr>
        <w:t>(Value A</w:t>
      </w:r>
      <w:r w:rsidR="00F73D85" w:rsidRPr="00760EB2">
        <w:rPr>
          <w:b/>
        </w:rPr>
        <w:t>)</w:t>
      </w:r>
      <w:r w:rsidR="001B65E8" w:rsidRPr="00760EB2">
        <w:rPr>
          <w:b/>
        </w:rPr>
        <w:t>.</w:t>
      </w:r>
    </w:p>
    <w:p w14:paraId="1E59E6EE" w14:textId="0B64826E" w:rsidR="00242BE6" w:rsidRPr="00760EB2" w:rsidRDefault="0084400B" w:rsidP="00FD6846">
      <w:pPr>
        <w:pStyle w:val="ListParagraph"/>
        <w:numPr>
          <w:ilvl w:val="0"/>
          <w:numId w:val="2"/>
        </w:numPr>
        <w:spacing w:line="480" w:lineRule="auto"/>
        <w:jc w:val="both"/>
      </w:pPr>
      <w:r w:rsidRPr="00760EB2">
        <w:t xml:space="preserve">Julie Travis, </w:t>
      </w:r>
      <w:r w:rsidR="00B94F57" w:rsidRPr="00760EB2">
        <w:t>Athletics Office Coordinator</w:t>
      </w:r>
      <w:r w:rsidR="001904FB">
        <w:t>, provided s</w:t>
      </w:r>
      <w:r w:rsidR="001904FB" w:rsidRPr="00760EB2">
        <w:t xml:space="preserve">tudent and staff air miles accrued </w:t>
      </w:r>
      <w:r w:rsidR="001904FB">
        <w:t>through</w:t>
      </w:r>
      <w:r w:rsidR="001904FB" w:rsidRPr="00760EB2">
        <w:t xml:space="preserve"> athletics event</w:t>
      </w:r>
      <w:r w:rsidR="001904FB">
        <w:t>s</w:t>
      </w:r>
      <w:r w:rsidRPr="00760EB2">
        <w:t xml:space="preserve">. </w:t>
      </w:r>
      <w:r w:rsidR="009F18B8" w:rsidRPr="00760EB2">
        <w:t xml:space="preserve">Directly financed student air miles consist only of flights taken by athletic teams.  </w:t>
      </w:r>
      <w:r w:rsidR="003F111C" w:rsidRPr="00760EB2">
        <w:t xml:space="preserve">Flights were assumed to have departed from DFW Airport; based on the destination of each flight, the number of miles traveled in a round-trip was calculated and then multiplied by the number of staff/student travelers. </w:t>
      </w:r>
      <w:r w:rsidR="00E70C2D" w:rsidRPr="00760EB2">
        <w:t xml:space="preserve">The FY 2014 value for athletics air travel is </w:t>
      </w:r>
      <w:r w:rsidR="00FE6CA3">
        <w:rPr>
          <w:b/>
          <w:color w:val="00B050"/>
        </w:rPr>
        <w:t>396,732</w:t>
      </w:r>
      <w:r w:rsidR="00E70C2D" w:rsidRPr="00760EB2">
        <w:t xml:space="preserve"> </w:t>
      </w:r>
      <w:r w:rsidR="00A3468C" w:rsidRPr="00760EB2">
        <w:t>miles.</w:t>
      </w:r>
      <w:r w:rsidR="00E70C2D" w:rsidRPr="00760EB2">
        <w:t xml:space="preserve"> </w:t>
      </w:r>
      <w:r w:rsidR="00FE6CA3">
        <w:rPr>
          <w:b/>
          <w:color w:val="00B050"/>
        </w:rPr>
        <w:t>16,192</w:t>
      </w:r>
      <w:r w:rsidR="00A3468C" w:rsidRPr="00FE6CA3">
        <w:rPr>
          <w:b/>
          <w:color w:val="00B050"/>
        </w:rPr>
        <w:t xml:space="preserve"> (value B)</w:t>
      </w:r>
      <w:r w:rsidR="00FD6846" w:rsidRPr="00FE6CA3">
        <w:rPr>
          <w:b/>
          <w:color w:val="00B050"/>
        </w:rPr>
        <w:t xml:space="preserve"> </w:t>
      </w:r>
      <w:r w:rsidR="00FD6846" w:rsidRPr="00760EB2">
        <w:t xml:space="preserve">were attributed to athletics staff travel and </w:t>
      </w:r>
      <w:r w:rsidR="00FE6CA3">
        <w:rPr>
          <w:b/>
          <w:color w:val="00B050"/>
        </w:rPr>
        <w:t>380</w:t>
      </w:r>
      <w:r w:rsidR="00FE6CA3" w:rsidRPr="00FE6CA3">
        <w:rPr>
          <w:b/>
          <w:color w:val="00B050"/>
        </w:rPr>
        <w:t>,</w:t>
      </w:r>
      <w:r w:rsidR="00FE6CA3">
        <w:rPr>
          <w:b/>
          <w:color w:val="00B050"/>
        </w:rPr>
        <w:t>540</w:t>
      </w:r>
      <w:r w:rsidR="00FD6846" w:rsidRPr="00FE6CA3">
        <w:rPr>
          <w:b/>
          <w:color w:val="00B050"/>
        </w:rPr>
        <w:t xml:space="preserve"> miles</w:t>
      </w:r>
      <w:r w:rsidR="00FD6846" w:rsidRPr="00FE6CA3">
        <w:rPr>
          <w:color w:val="00B050"/>
        </w:rPr>
        <w:t xml:space="preserve"> </w:t>
      </w:r>
      <w:r w:rsidR="00FD6846" w:rsidRPr="00760EB2">
        <w:t xml:space="preserve">to students’ travel. </w:t>
      </w:r>
    </w:p>
    <w:p w14:paraId="79FD07F5" w14:textId="77777777" w:rsidR="009F18B8" w:rsidRPr="00760EB2" w:rsidRDefault="004439A0" w:rsidP="009F18B8">
      <w:pPr>
        <w:pStyle w:val="ListParagraph"/>
        <w:jc w:val="both"/>
      </w:pPr>
      <w:r w:rsidRPr="00760EB2">
        <w:t xml:space="preserve"> </w:t>
      </w:r>
    </w:p>
    <w:p w14:paraId="2A88AF6C" w14:textId="3803C796" w:rsidR="009F18B8" w:rsidRPr="009F18B8" w:rsidRDefault="00F73D85" w:rsidP="00A93ECD">
      <w:pPr>
        <w:pStyle w:val="ListParagraph"/>
        <w:numPr>
          <w:ilvl w:val="0"/>
          <w:numId w:val="2"/>
        </w:numPr>
        <w:spacing w:line="480" w:lineRule="auto"/>
        <w:jc w:val="both"/>
      </w:pPr>
      <w:r w:rsidRPr="00760EB2">
        <w:t xml:space="preserve">Based on the data above, total faculty/staff directly financed outsourced travel is equal to the sum of Values A and B: </w:t>
      </w:r>
      <w:r w:rsidR="00FE6CA3" w:rsidRPr="006D131C">
        <w:rPr>
          <w:b/>
          <w:color w:val="00B050"/>
        </w:rPr>
        <w:t>923,649</w:t>
      </w:r>
      <w:r w:rsidR="00E70C2D" w:rsidRPr="006D131C">
        <w:rPr>
          <w:b/>
        </w:rPr>
        <w:t xml:space="preserve">. </w:t>
      </w:r>
      <w:r w:rsidR="00FC3222" w:rsidRPr="00760EB2">
        <w:t xml:space="preserve"> </w:t>
      </w:r>
    </w:p>
    <w:p w14:paraId="0134023E" w14:textId="77777777" w:rsidR="00676D18" w:rsidRDefault="00676D18" w:rsidP="0097227C">
      <w:pPr>
        <w:spacing w:line="480" w:lineRule="auto"/>
        <w:jc w:val="both"/>
        <w:rPr>
          <w:i/>
          <w:color w:val="000000" w:themeColor="text1"/>
        </w:rPr>
      </w:pPr>
    </w:p>
    <w:p w14:paraId="58BE8332" w14:textId="77777777" w:rsidR="0097227C" w:rsidRPr="00760EB2" w:rsidRDefault="0097227C" w:rsidP="0097227C">
      <w:pPr>
        <w:spacing w:line="480" w:lineRule="auto"/>
        <w:jc w:val="both"/>
        <w:rPr>
          <w:i/>
          <w:color w:val="000000" w:themeColor="text1"/>
        </w:rPr>
      </w:pPr>
      <w:r w:rsidRPr="00760EB2">
        <w:rPr>
          <w:i/>
          <w:color w:val="000000" w:themeColor="text1"/>
        </w:rPr>
        <w:t>Bus Travel</w:t>
      </w:r>
    </w:p>
    <w:p w14:paraId="15B22086" w14:textId="23E1955F" w:rsidR="00D0723B" w:rsidRPr="00760EB2" w:rsidRDefault="0097227C" w:rsidP="0097227C">
      <w:pPr>
        <w:spacing w:line="480" w:lineRule="auto"/>
        <w:jc w:val="both"/>
        <w:rPr>
          <w:color w:val="000000" w:themeColor="text1"/>
        </w:rPr>
      </w:pPr>
      <w:r w:rsidRPr="00760EB2">
        <w:rPr>
          <w:color w:val="000000" w:themeColor="text1"/>
        </w:rPr>
        <w:tab/>
      </w:r>
      <w:r w:rsidR="00E70C2D" w:rsidRPr="00760EB2">
        <w:rPr>
          <w:color w:val="000000" w:themeColor="text1"/>
        </w:rPr>
        <w:t>Although</w:t>
      </w:r>
      <w:r w:rsidRPr="00760EB2">
        <w:rPr>
          <w:color w:val="000000" w:themeColor="text1"/>
        </w:rPr>
        <w:t xml:space="preserve"> this emissions source was determined to be </w:t>
      </w:r>
      <w:r w:rsidRPr="00760EB2">
        <w:rPr>
          <w:i/>
          <w:color w:val="000000" w:themeColor="text1"/>
        </w:rPr>
        <w:t xml:space="preserve">de minimus </w:t>
      </w:r>
      <w:r w:rsidRPr="00760EB2">
        <w:rPr>
          <w:color w:val="000000" w:themeColor="text1"/>
        </w:rPr>
        <w:t xml:space="preserve">by </w:t>
      </w:r>
      <w:r w:rsidR="00BC2C93" w:rsidRPr="00760EB2">
        <w:rPr>
          <w:color w:val="000000" w:themeColor="text1"/>
        </w:rPr>
        <w:t xml:space="preserve">Jade </w:t>
      </w:r>
      <w:r w:rsidRPr="00760EB2">
        <w:rPr>
          <w:color w:val="000000" w:themeColor="text1"/>
        </w:rPr>
        <w:t>Rutledge (2009),</w:t>
      </w:r>
      <w:r w:rsidR="00BC2C93" w:rsidRPr="00760EB2">
        <w:rPr>
          <w:color w:val="000000" w:themeColor="text1"/>
        </w:rPr>
        <w:t xml:space="preserve"> </w:t>
      </w:r>
      <w:r w:rsidR="00E70C2D" w:rsidRPr="00760EB2">
        <w:rPr>
          <w:color w:val="000000" w:themeColor="text1"/>
        </w:rPr>
        <w:t xml:space="preserve">and the </w:t>
      </w:r>
      <w:r w:rsidR="00BC2C93" w:rsidRPr="00760EB2">
        <w:rPr>
          <w:color w:val="000000" w:themeColor="text1"/>
        </w:rPr>
        <w:t>FY 2008</w:t>
      </w:r>
      <w:r w:rsidRPr="00760EB2">
        <w:rPr>
          <w:color w:val="000000" w:themeColor="text1"/>
        </w:rPr>
        <w:t xml:space="preserve"> bus travel data were used for the FY 2010</w:t>
      </w:r>
      <w:r w:rsidR="00BC2C93" w:rsidRPr="00760EB2">
        <w:rPr>
          <w:color w:val="000000" w:themeColor="text1"/>
        </w:rPr>
        <w:t xml:space="preserve"> and FY 2012 inventories</w:t>
      </w:r>
      <w:r w:rsidR="00E70C2D" w:rsidRPr="00760EB2">
        <w:rPr>
          <w:color w:val="000000" w:themeColor="text1"/>
        </w:rPr>
        <w:t xml:space="preserve">, the figure was recalculated for the FY 2014 inventory. </w:t>
      </w:r>
      <w:r w:rsidR="001904FB">
        <w:rPr>
          <w:color w:val="000000" w:themeColor="text1"/>
        </w:rPr>
        <w:t xml:space="preserve">Buses were used by athletic teams to travel to and from events. Julie Travis provided a list of destinations so that the total miles could be calculated. In total, there were </w:t>
      </w:r>
      <w:r w:rsidR="00FE6CA3" w:rsidRPr="00FE6CA3">
        <w:rPr>
          <w:b/>
          <w:color w:val="00B050"/>
        </w:rPr>
        <w:t>33,200</w:t>
      </w:r>
      <w:r w:rsidR="001904FB" w:rsidRPr="00FE6CA3">
        <w:rPr>
          <w:b/>
          <w:color w:val="00B050"/>
        </w:rPr>
        <w:t xml:space="preserve"> miles</w:t>
      </w:r>
      <w:r w:rsidR="001904FB" w:rsidRPr="00FE6CA3">
        <w:rPr>
          <w:color w:val="00B050"/>
        </w:rPr>
        <w:t xml:space="preserve"> </w:t>
      </w:r>
      <w:r w:rsidR="001904FB">
        <w:rPr>
          <w:color w:val="000000" w:themeColor="text1"/>
        </w:rPr>
        <w:t xml:space="preserve">traveled by bus. </w:t>
      </w:r>
      <w:r w:rsidR="0084400B" w:rsidRPr="00760EB2">
        <w:rPr>
          <w:color w:val="000000" w:themeColor="text1"/>
        </w:rPr>
        <w:br/>
      </w:r>
    </w:p>
    <w:p w14:paraId="0A92CB18" w14:textId="77777777" w:rsidR="00BC2C93" w:rsidRPr="00760EB2" w:rsidRDefault="0097227C" w:rsidP="0097227C">
      <w:pPr>
        <w:spacing w:line="480" w:lineRule="auto"/>
        <w:jc w:val="both"/>
        <w:rPr>
          <w:i/>
          <w:color w:val="000000" w:themeColor="text1"/>
        </w:rPr>
      </w:pPr>
      <w:r w:rsidRPr="00760EB2">
        <w:rPr>
          <w:i/>
          <w:color w:val="000000" w:themeColor="text1"/>
        </w:rPr>
        <w:t xml:space="preserve">Personal Mileage Reimbursement </w:t>
      </w:r>
    </w:p>
    <w:p w14:paraId="3C861CA7" w14:textId="054F06C2" w:rsidR="0097227C" w:rsidRPr="00760EB2" w:rsidRDefault="00BC2C93" w:rsidP="009F18B8">
      <w:pPr>
        <w:spacing w:line="480" w:lineRule="auto"/>
        <w:ind w:firstLine="720"/>
        <w:jc w:val="both"/>
        <w:rPr>
          <w:i/>
          <w:color w:val="000000" w:themeColor="text1"/>
        </w:rPr>
      </w:pPr>
      <w:r w:rsidRPr="00760EB2">
        <w:rPr>
          <w:color w:val="000000" w:themeColor="text1"/>
        </w:rPr>
        <w:lastRenderedPageBreak/>
        <w:t xml:space="preserve">Likewise, Jade </w:t>
      </w:r>
      <w:r w:rsidR="0097227C" w:rsidRPr="00760EB2">
        <w:rPr>
          <w:color w:val="000000" w:themeColor="text1"/>
        </w:rPr>
        <w:t xml:space="preserve">Rutledge (2009) determined that this emissions source was </w:t>
      </w:r>
      <w:r w:rsidR="0097227C" w:rsidRPr="00760EB2">
        <w:rPr>
          <w:i/>
          <w:color w:val="000000" w:themeColor="text1"/>
        </w:rPr>
        <w:t>de minimus</w:t>
      </w:r>
      <w:r w:rsidR="0097227C" w:rsidRPr="00760EB2">
        <w:rPr>
          <w:color w:val="000000" w:themeColor="text1"/>
        </w:rPr>
        <w:t xml:space="preserve">, or largely insignificant in terms of the campus’s total emissions.  </w:t>
      </w:r>
      <w:r w:rsidR="009F18B8" w:rsidRPr="00760EB2">
        <w:rPr>
          <w:color w:val="000000" w:themeColor="text1"/>
        </w:rPr>
        <w:t xml:space="preserve">According to VP of Business Affairs Heidi Ellis, these data are not easy to pull and/or tally from College records; </w:t>
      </w:r>
      <w:r w:rsidR="009F18B8" w:rsidRPr="00945668">
        <w:rPr>
          <w:color w:val="000000" w:themeColor="text1"/>
        </w:rPr>
        <w:t>a new tracking system is necessary</w:t>
      </w:r>
      <w:r w:rsidR="009F18B8" w:rsidRPr="00760EB2">
        <w:rPr>
          <w:color w:val="000000" w:themeColor="text1"/>
        </w:rPr>
        <w:t>.</w:t>
      </w:r>
      <w:r w:rsidR="009F18B8" w:rsidRPr="00760EB2">
        <w:rPr>
          <w:i/>
          <w:color w:val="000000" w:themeColor="text1"/>
        </w:rPr>
        <w:t xml:space="preserve">  </w:t>
      </w:r>
      <w:r w:rsidRPr="00760EB2">
        <w:rPr>
          <w:color w:val="000000" w:themeColor="text1"/>
        </w:rPr>
        <w:t>Data on reimbursement for work-related travel in personal vehicles we</w:t>
      </w:r>
      <w:r w:rsidR="00E70C2D" w:rsidRPr="00760EB2">
        <w:rPr>
          <w:color w:val="000000" w:themeColor="text1"/>
        </w:rPr>
        <w:t>re not readily available for the FY 2014</w:t>
      </w:r>
      <w:r w:rsidRPr="00760EB2">
        <w:rPr>
          <w:color w:val="000000" w:themeColor="text1"/>
        </w:rPr>
        <w:t xml:space="preserve"> inventory; thus data from FY 201</w:t>
      </w:r>
      <w:r w:rsidR="001904FB">
        <w:rPr>
          <w:color w:val="000000" w:themeColor="text1"/>
        </w:rPr>
        <w:t>0</w:t>
      </w:r>
      <w:r w:rsidRPr="00760EB2">
        <w:rPr>
          <w:color w:val="000000" w:themeColor="text1"/>
        </w:rPr>
        <w:t xml:space="preserve"> were used</w:t>
      </w:r>
      <w:r w:rsidR="009F18B8" w:rsidRPr="00760EB2">
        <w:rPr>
          <w:color w:val="000000" w:themeColor="text1"/>
        </w:rPr>
        <w:t xml:space="preserve">: </w:t>
      </w:r>
      <w:r w:rsidR="001B65E8" w:rsidRPr="006D131C">
        <w:rPr>
          <w:b/>
          <w:color w:val="00B050"/>
        </w:rPr>
        <w:t>97,694 miles</w:t>
      </w:r>
      <w:r w:rsidRPr="00760EB2">
        <w:rPr>
          <w:color w:val="0000FF"/>
        </w:rPr>
        <w:t xml:space="preserve">.  </w:t>
      </w:r>
      <w:r w:rsidRPr="00760EB2">
        <w:rPr>
          <w:color w:val="000000" w:themeColor="text1"/>
        </w:rPr>
        <w:t xml:space="preserve">Should future analysts pursue up-to-date data, they’ll need to consider two values: 1) when employees are reimbursed for miles and 2) when employees are reimbursed for fuel purchases.  Somehow, these two values – a value of miles and a value of dollars or gallons, respectively – will have to be summed.  </w:t>
      </w:r>
    </w:p>
    <w:p w14:paraId="000610B5" w14:textId="77777777" w:rsidR="00B94F57" w:rsidRDefault="00B94F57" w:rsidP="0097227C">
      <w:pPr>
        <w:spacing w:line="480" w:lineRule="auto"/>
        <w:jc w:val="both"/>
        <w:rPr>
          <w:i/>
        </w:rPr>
      </w:pPr>
    </w:p>
    <w:p w14:paraId="03BBA1A9" w14:textId="77777777" w:rsidR="0097227C" w:rsidRPr="004D777C" w:rsidRDefault="0097227C" w:rsidP="0097227C">
      <w:pPr>
        <w:spacing w:line="480" w:lineRule="auto"/>
        <w:jc w:val="both"/>
        <w:rPr>
          <w:i/>
        </w:rPr>
      </w:pPr>
      <w:r w:rsidRPr="004D777C">
        <w:rPr>
          <w:i/>
        </w:rPr>
        <w:t>Study Abroad Air Travel</w:t>
      </w:r>
    </w:p>
    <w:p w14:paraId="503582D2" w14:textId="4E470725" w:rsidR="003C2992" w:rsidRPr="00760EB2" w:rsidRDefault="00FE6CA3" w:rsidP="003C2992">
      <w:pPr>
        <w:pStyle w:val="ListParagraph"/>
        <w:numPr>
          <w:ilvl w:val="0"/>
          <w:numId w:val="2"/>
        </w:numPr>
        <w:spacing w:line="480" w:lineRule="auto"/>
        <w:jc w:val="both"/>
        <w:rPr>
          <w:color w:val="000000" w:themeColor="text1"/>
        </w:rPr>
      </w:pPr>
      <w:r>
        <w:rPr>
          <w:color w:val="000000" w:themeColor="text1"/>
        </w:rPr>
        <w:t>Amy Parsons</w:t>
      </w:r>
      <w:r w:rsidR="00E41C3C" w:rsidRPr="00760EB2">
        <w:rPr>
          <w:color w:val="000000" w:themeColor="text1"/>
        </w:rPr>
        <w:t xml:space="preserve"> of the </w:t>
      </w:r>
      <w:r w:rsidR="003A24D7" w:rsidRPr="00760EB2">
        <w:rPr>
          <w:color w:val="000000" w:themeColor="text1"/>
        </w:rPr>
        <w:t>C</w:t>
      </w:r>
      <w:r w:rsidR="00E41C3C" w:rsidRPr="00760EB2">
        <w:rPr>
          <w:color w:val="000000" w:themeColor="text1"/>
        </w:rPr>
        <w:t>enter for Global Learning</w:t>
      </w:r>
      <w:r w:rsidR="0097227C" w:rsidRPr="00760EB2">
        <w:rPr>
          <w:color w:val="000000" w:themeColor="text1"/>
        </w:rPr>
        <w:t xml:space="preserve"> provided lists of students who studied abroad and their respective destinations for </w:t>
      </w:r>
      <w:r>
        <w:rPr>
          <w:color w:val="000000" w:themeColor="text1"/>
        </w:rPr>
        <w:t>FY 2016</w:t>
      </w:r>
      <w:r w:rsidR="0084400B" w:rsidRPr="00760EB2">
        <w:rPr>
          <w:color w:val="000000" w:themeColor="text1"/>
        </w:rPr>
        <w:t xml:space="preserve"> (Summer 201</w:t>
      </w:r>
      <w:r>
        <w:rPr>
          <w:color w:val="000000" w:themeColor="text1"/>
        </w:rPr>
        <w:t>5</w:t>
      </w:r>
      <w:r w:rsidR="0084400B" w:rsidRPr="00760EB2">
        <w:rPr>
          <w:color w:val="000000" w:themeColor="text1"/>
        </w:rPr>
        <w:t>, Fall 201</w:t>
      </w:r>
      <w:r>
        <w:rPr>
          <w:color w:val="000000" w:themeColor="text1"/>
        </w:rPr>
        <w:t>5</w:t>
      </w:r>
      <w:r w:rsidR="0084400B" w:rsidRPr="00760EB2">
        <w:rPr>
          <w:color w:val="000000" w:themeColor="text1"/>
        </w:rPr>
        <w:t>, Spring 201</w:t>
      </w:r>
      <w:r>
        <w:rPr>
          <w:color w:val="000000" w:themeColor="text1"/>
        </w:rPr>
        <w:t>6</w:t>
      </w:r>
      <w:r w:rsidR="003C2992" w:rsidRPr="00760EB2">
        <w:rPr>
          <w:color w:val="000000" w:themeColor="text1"/>
        </w:rPr>
        <w:t xml:space="preserve">, </w:t>
      </w:r>
      <w:r w:rsidR="008528B3" w:rsidRPr="00760EB2">
        <w:rPr>
          <w:color w:val="000000" w:themeColor="text1"/>
        </w:rPr>
        <w:t xml:space="preserve">and </w:t>
      </w:r>
      <w:r w:rsidR="0084400B" w:rsidRPr="00760EB2">
        <w:rPr>
          <w:color w:val="000000" w:themeColor="text1"/>
        </w:rPr>
        <w:t>Summer 201</w:t>
      </w:r>
      <w:r>
        <w:rPr>
          <w:color w:val="000000" w:themeColor="text1"/>
        </w:rPr>
        <w:t>6</w:t>
      </w:r>
      <w:r w:rsidR="003C2992" w:rsidRPr="00760EB2">
        <w:rPr>
          <w:color w:val="000000" w:themeColor="text1"/>
        </w:rPr>
        <w:t>)</w:t>
      </w:r>
      <w:r w:rsidR="00171F34" w:rsidRPr="00760EB2">
        <w:rPr>
          <w:color w:val="000000" w:themeColor="text1"/>
        </w:rPr>
        <w:t>.  The website www.airmilescalculator</w:t>
      </w:r>
      <w:r w:rsidR="0097227C" w:rsidRPr="00760EB2">
        <w:rPr>
          <w:color w:val="000000" w:themeColor="text1"/>
        </w:rPr>
        <w:t>.com was used to calculate mileage from DFW International Airport to each student’s destination.  If only a destination nation was provided, the nation’s capital city was assumed as the student’s destination</w:t>
      </w:r>
      <w:r w:rsidR="00E70C2D" w:rsidRPr="00760EB2">
        <w:rPr>
          <w:color w:val="000000" w:themeColor="text1"/>
        </w:rPr>
        <w:t>. For Summer Study Abroad programs,</w:t>
      </w:r>
      <w:r w:rsidR="003C2992" w:rsidRPr="00760EB2">
        <w:rPr>
          <w:color w:val="000000" w:themeColor="text1"/>
        </w:rPr>
        <w:t xml:space="preserve"> mileage </w:t>
      </w:r>
      <w:r w:rsidR="00E70C2D" w:rsidRPr="00760EB2">
        <w:rPr>
          <w:color w:val="000000" w:themeColor="text1"/>
        </w:rPr>
        <w:t>is</w:t>
      </w:r>
      <w:r w:rsidR="003C2992" w:rsidRPr="00760EB2">
        <w:rPr>
          <w:color w:val="000000" w:themeColor="text1"/>
        </w:rPr>
        <w:t xml:space="preserve"> calculated for one-way trips only (unless otherwise noted), as only the departure or return flig</w:t>
      </w:r>
      <w:r w:rsidR="00E70C2D" w:rsidRPr="00760EB2">
        <w:rPr>
          <w:color w:val="000000" w:themeColor="text1"/>
        </w:rPr>
        <w:t xml:space="preserve">ht typically falls within a given </w:t>
      </w:r>
      <w:r w:rsidR="00A91A0B">
        <w:rPr>
          <w:color w:val="000000" w:themeColor="text1"/>
        </w:rPr>
        <w:t xml:space="preserve">fiscal </w:t>
      </w:r>
      <w:r w:rsidR="00E70C2D" w:rsidRPr="00760EB2">
        <w:rPr>
          <w:color w:val="000000" w:themeColor="text1"/>
        </w:rPr>
        <w:t>year</w:t>
      </w:r>
      <w:r w:rsidR="003C2992" w:rsidRPr="00760EB2">
        <w:rPr>
          <w:color w:val="000000" w:themeColor="text1"/>
        </w:rPr>
        <w:t>.</w:t>
      </w:r>
      <w:r w:rsidR="00E70C2D" w:rsidRPr="00760EB2">
        <w:rPr>
          <w:color w:val="000000" w:themeColor="text1"/>
        </w:rPr>
        <w:t xml:space="preserve"> </w:t>
      </w:r>
    </w:p>
    <w:p w14:paraId="2FE8A327" w14:textId="48F23AD7" w:rsidR="00893082" w:rsidRPr="00760EB2" w:rsidRDefault="00FE6CA3" w:rsidP="004A4F8C">
      <w:pPr>
        <w:pStyle w:val="ListParagraph"/>
        <w:numPr>
          <w:ilvl w:val="0"/>
          <w:numId w:val="2"/>
        </w:numPr>
        <w:spacing w:line="480" w:lineRule="auto"/>
        <w:rPr>
          <w:b/>
          <w:bCs/>
          <w:color w:val="000000" w:themeColor="text1"/>
        </w:rPr>
      </w:pPr>
      <w:r>
        <w:rPr>
          <w:color w:val="000000" w:themeColor="text1"/>
        </w:rPr>
        <w:t xml:space="preserve">Amy Parsons also provided a list of Janterm classes for 2016. This list included the </w:t>
      </w:r>
      <w:r w:rsidR="00171F34" w:rsidRPr="00760EB2">
        <w:rPr>
          <w:color w:val="000000" w:themeColor="text1"/>
        </w:rPr>
        <w:t xml:space="preserve">number of faculty/students enrolled and </w:t>
      </w:r>
      <w:r w:rsidR="004A4F8C" w:rsidRPr="00760EB2">
        <w:rPr>
          <w:color w:val="000000" w:themeColor="text1"/>
        </w:rPr>
        <w:t xml:space="preserve">their </w:t>
      </w:r>
      <w:r w:rsidR="00171F34" w:rsidRPr="00760EB2">
        <w:rPr>
          <w:color w:val="000000" w:themeColor="text1"/>
        </w:rPr>
        <w:t xml:space="preserve">flight destinations. </w:t>
      </w:r>
      <w:r w:rsidR="003A24D7" w:rsidRPr="00760EB2">
        <w:rPr>
          <w:color w:val="000000" w:themeColor="text1"/>
        </w:rPr>
        <w:t xml:space="preserve">From the </w:t>
      </w:r>
      <w:r w:rsidR="0097227C" w:rsidRPr="00760EB2">
        <w:rPr>
          <w:color w:val="000000" w:themeColor="text1"/>
        </w:rPr>
        <w:t xml:space="preserve">spreadsheet, round-trip miles to the destination city/cities were multiplied by the number of travelers (students + faculty + alumni) who participated in each trip. </w:t>
      </w:r>
      <w:r w:rsidR="00893082" w:rsidRPr="00760EB2">
        <w:rPr>
          <w:color w:val="000000" w:themeColor="text1"/>
        </w:rPr>
        <w:t xml:space="preserve">Faculty travelled a total of </w:t>
      </w:r>
      <w:r w:rsidRPr="00FE6CA3">
        <w:rPr>
          <w:bCs/>
          <w:color w:val="00B050"/>
        </w:rPr>
        <w:lastRenderedPageBreak/>
        <w:t xml:space="preserve">148,236 </w:t>
      </w:r>
      <w:r w:rsidR="00893082" w:rsidRPr="00FE6CA3">
        <w:rPr>
          <w:bCs/>
          <w:color w:val="00B050"/>
        </w:rPr>
        <w:t xml:space="preserve"> miles</w:t>
      </w:r>
      <w:r>
        <w:rPr>
          <w:bCs/>
          <w:color w:val="000000" w:themeColor="text1"/>
        </w:rPr>
        <w:t xml:space="preserve">, and students </w:t>
      </w:r>
      <w:r w:rsidRPr="00FE6CA3">
        <w:rPr>
          <w:bCs/>
          <w:color w:val="00B050"/>
        </w:rPr>
        <w:t>1,730,343</w:t>
      </w:r>
      <w:r w:rsidR="00893082" w:rsidRPr="00FE6CA3">
        <w:rPr>
          <w:bCs/>
          <w:color w:val="00B050"/>
        </w:rPr>
        <w:t xml:space="preserve"> </w:t>
      </w:r>
      <w:r w:rsidR="00893082" w:rsidRPr="00760EB2">
        <w:rPr>
          <w:bCs/>
          <w:color w:val="000000" w:themeColor="text1"/>
        </w:rPr>
        <w:t xml:space="preserve">miles, which comes to a grand total of </w:t>
      </w:r>
      <w:r w:rsidRPr="00FE6CA3">
        <w:rPr>
          <w:b/>
          <w:bCs/>
          <w:color w:val="00B050"/>
        </w:rPr>
        <w:t>1,878,579</w:t>
      </w:r>
      <w:r w:rsidR="00893082" w:rsidRPr="00FE6CA3">
        <w:rPr>
          <w:b/>
          <w:bCs/>
          <w:color w:val="00B050"/>
        </w:rPr>
        <w:t xml:space="preserve"> miles</w:t>
      </w:r>
      <w:r w:rsidR="00893082" w:rsidRPr="00760EB2">
        <w:rPr>
          <w:b/>
          <w:bCs/>
          <w:color w:val="000000" w:themeColor="text1"/>
        </w:rPr>
        <w:t xml:space="preserve">. </w:t>
      </w:r>
    </w:p>
    <w:p w14:paraId="0AC7CFE9" w14:textId="04FBBC7B" w:rsidR="003C2992" w:rsidRPr="00760EB2" w:rsidRDefault="00A02FD9" w:rsidP="000D5559">
      <w:pPr>
        <w:pStyle w:val="ListParagraph"/>
        <w:numPr>
          <w:ilvl w:val="0"/>
          <w:numId w:val="2"/>
        </w:numPr>
        <w:spacing w:line="480" w:lineRule="auto"/>
        <w:jc w:val="both"/>
      </w:pPr>
      <w:r w:rsidRPr="00760EB2">
        <w:t xml:space="preserve">Similarly, January Term </w:t>
      </w:r>
      <w:r w:rsidR="00FE6CA3">
        <w:t>2016</w:t>
      </w:r>
      <w:r w:rsidRPr="00760EB2">
        <w:t xml:space="preserve"> </w:t>
      </w:r>
      <w:r w:rsidR="00B51B15">
        <w:t>Career Study Off Campus</w:t>
      </w:r>
      <w:r w:rsidR="00B51B15" w:rsidRPr="00760EB2">
        <w:t xml:space="preserve"> </w:t>
      </w:r>
      <w:r w:rsidR="0097227C" w:rsidRPr="00760EB2">
        <w:t xml:space="preserve">and </w:t>
      </w:r>
      <w:r w:rsidRPr="00760EB2">
        <w:t xml:space="preserve">“Other” FY </w:t>
      </w:r>
      <w:r w:rsidR="0084400B" w:rsidRPr="00760EB2">
        <w:t>201</w:t>
      </w:r>
      <w:r w:rsidR="00FE6CA3">
        <w:t>6</w:t>
      </w:r>
      <w:r w:rsidRPr="00760EB2">
        <w:t xml:space="preserve"> </w:t>
      </w:r>
      <w:r w:rsidR="0097227C" w:rsidRPr="00760EB2">
        <w:t xml:space="preserve">CSOC course miles were added.  A separate spreadsheet was obtained from </w:t>
      </w:r>
      <w:r w:rsidR="00CF57AB" w:rsidRPr="00760EB2">
        <w:t>Viki Reeder, Assistant Director of Career Services &amp; Internship Coordinator</w:t>
      </w:r>
      <w:r w:rsidRPr="00760EB2">
        <w:t xml:space="preserve">, </w:t>
      </w:r>
      <w:r w:rsidR="0097227C" w:rsidRPr="00760EB2">
        <w:t>which l</w:t>
      </w:r>
      <w:r w:rsidR="003A24D7" w:rsidRPr="00760EB2">
        <w:t xml:space="preserve">isted the </w:t>
      </w:r>
      <w:r w:rsidR="006B0848" w:rsidRPr="00760EB2">
        <w:t xml:space="preserve">dates and </w:t>
      </w:r>
      <w:r w:rsidR="003A24D7" w:rsidRPr="00760EB2">
        <w:t>destinations of</w:t>
      </w:r>
      <w:r w:rsidR="0097227C" w:rsidRPr="00760EB2">
        <w:t xml:space="preserve"> students </w:t>
      </w:r>
      <w:r w:rsidR="00653C2B" w:rsidRPr="00760EB2">
        <w:t>who participated in CSOC courses.</w:t>
      </w:r>
      <w:r w:rsidR="00FE6CA3">
        <w:t xml:space="preserve"> In this category there were </w:t>
      </w:r>
      <w:r w:rsidR="00FE6CA3" w:rsidRPr="00FE6CA3">
        <w:rPr>
          <w:color w:val="00B050"/>
        </w:rPr>
        <w:t xml:space="preserve">73,273 air miles </w:t>
      </w:r>
      <w:r w:rsidR="00FE6CA3">
        <w:t xml:space="preserve">(and </w:t>
      </w:r>
      <w:r w:rsidR="00FE6CA3" w:rsidRPr="00FE6CA3">
        <w:rPr>
          <w:color w:val="00B050"/>
        </w:rPr>
        <w:t xml:space="preserve">484 vehicle miles </w:t>
      </w:r>
      <w:r w:rsidR="00FE6CA3">
        <w:t xml:space="preserve">which were counted in the </w:t>
      </w:r>
      <w:r w:rsidR="00FE6CA3" w:rsidRPr="00FE6CA3">
        <w:rPr>
          <w:color w:val="FF0000"/>
        </w:rPr>
        <w:t>___________ section of the calculator</w:t>
      </w:r>
      <w:r w:rsidR="00FE6CA3">
        <w:t>)</w:t>
      </w:r>
    </w:p>
    <w:p w14:paraId="2E7FCEB9" w14:textId="5C88CEFB" w:rsidR="00A02FD9" w:rsidRPr="00760EB2" w:rsidRDefault="00A02FD9" w:rsidP="00A02FD9">
      <w:pPr>
        <w:pStyle w:val="ListParagraph"/>
        <w:numPr>
          <w:ilvl w:val="0"/>
          <w:numId w:val="2"/>
        </w:numPr>
        <w:spacing w:line="480" w:lineRule="auto"/>
        <w:jc w:val="both"/>
      </w:pPr>
      <w:r w:rsidRPr="00760EB2">
        <w:t>Finally, Viki Reeder, Assistant Director of Career Services and Internship Coordinator, provided a spreadsheet of travel information concerning FY 201</w:t>
      </w:r>
      <w:r w:rsidR="00FE6CA3">
        <w:t>6</w:t>
      </w:r>
      <w:r w:rsidRPr="00760EB2">
        <w:t xml:space="preserve"> GO (Global Outreach) Fellows.</w:t>
      </w:r>
      <w:r w:rsidR="0084400B" w:rsidRPr="00760EB2">
        <w:t xml:space="preserve"> </w:t>
      </w:r>
      <w:r w:rsidR="00653C2B" w:rsidRPr="00760EB2">
        <w:t xml:space="preserve">The recorded information did not </w:t>
      </w:r>
      <w:r w:rsidR="00FE6CA3">
        <w:t xml:space="preserve">always </w:t>
      </w:r>
      <w:r w:rsidR="00653C2B" w:rsidRPr="00760EB2">
        <w:t xml:space="preserve">include destination airports or cities, so the capital city of each given country was used as a general destination to calculate air travel miles. </w:t>
      </w:r>
      <w:r w:rsidR="00FE6CA3">
        <w:t>For some GO Fellow trips, both the departure and return trip fell within FY 2016, but for others only the departure or return trip was counted</w:t>
      </w:r>
      <w:r w:rsidR="00653C2B" w:rsidRPr="00760EB2">
        <w:t xml:space="preserve">.  </w:t>
      </w:r>
      <w:r w:rsidR="00FE6CA3">
        <w:t>(</w:t>
      </w:r>
      <w:r w:rsidR="00FE6CA3">
        <w:rPr>
          <w:color w:val="FF0000"/>
        </w:rPr>
        <w:t>Leave GO</w:t>
      </w:r>
      <w:r w:rsidR="00FE6CA3" w:rsidRPr="00FE6CA3">
        <w:rPr>
          <w:color w:val="FF0000"/>
        </w:rPr>
        <w:t xml:space="preserve"> Miles in SA section or moved to directly financed??)</w:t>
      </w:r>
    </w:p>
    <w:p w14:paraId="782A6812" w14:textId="77777777" w:rsidR="00A02FD9" w:rsidRDefault="00A02FD9" w:rsidP="00A02FD9">
      <w:pPr>
        <w:spacing w:line="480" w:lineRule="auto"/>
        <w:jc w:val="both"/>
      </w:pPr>
      <w:r w:rsidRPr="00760EB2">
        <w:t xml:space="preserve">Below is a summary table of </w:t>
      </w:r>
      <w:r w:rsidR="008528B3" w:rsidRPr="00760EB2">
        <w:t>all Study Abroad miles traveled.</w:t>
      </w:r>
    </w:p>
    <w:tbl>
      <w:tblPr>
        <w:tblW w:w="5740" w:type="dxa"/>
        <w:tblInd w:w="2005" w:type="dxa"/>
        <w:tblLook w:val="04A0" w:firstRow="1" w:lastRow="0" w:firstColumn="1" w:lastColumn="0" w:noHBand="0" w:noVBand="1"/>
      </w:tblPr>
      <w:tblGrid>
        <w:gridCol w:w="3800"/>
        <w:gridCol w:w="1940"/>
      </w:tblGrid>
      <w:tr w:rsidR="003C2992" w:rsidRPr="00760EB2" w14:paraId="4B197612" w14:textId="77777777" w:rsidTr="00945668">
        <w:trPr>
          <w:trHeight w:val="300"/>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088A0" w14:textId="77777777" w:rsidR="00FE6CA3" w:rsidRDefault="00FE6CA3" w:rsidP="003C2992">
            <w:pPr>
              <w:jc w:val="center"/>
              <w:rPr>
                <w:rFonts w:ascii="Calibri" w:hAnsi="Calibri"/>
                <w:b/>
                <w:bCs/>
                <w:sz w:val="20"/>
                <w:szCs w:val="20"/>
              </w:rPr>
            </w:pPr>
          </w:p>
          <w:p w14:paraId="0DE764B7" w14:textId="77777777" w:rsidR="003C2992" w:rsidRPr="00760EB2" w:rsidRDefault="003C2992" w:rsidP="003C2992">
            <w:pPr>
              <w:jc w:val="center"/>
              <w:rPr>
                <w:rFonts w:ascii="Calibri" w:hAnsi="Calibri"/>
                <w:b/>
                <w:bCs/>
                <w:sz w:val="20"/>
                <w:szCs w:val="20"/>
              </w:rPr>
            </w:pPr>
            <w:r w:rsidRPr="00760EB2">
              <w:rPr>
                <w:rFonts w:ascii="Calibri" w:hAnsi="Calibri"/>
                <w:b/>
                <w:bCs/>
                <w:sz w:val="20"/>
                <w:szCs w:val="20"/>
              </w:rPr>
              <w:t>Program</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010F82CC" w14:textId="77777777" w:rsidR="003C2992" w:rsidRPr="00760EB2" w:rsidRDefault="003C2992" w:rsidP="003C2992">
            <w:pPr>
              <w:jc w:val="center"/>
              <w:rPr>
                <w:rFonts w:ascii="Calibri" w:hAnsi="Calibri"/>
                <w:b/>
                <w:bCs/>
                <w:sz w:val="20"/>
                <w:szCs w:val="20"/>
              </w:rPr>
            </w:pPr>
            <w:r w:rsidRPr="00760EB2">
              <w:rPr>
                <w:rFonts w:ascii="Calibri" w:hAnsi="Calibri"/>
                <w:b/>
                <w:bCs/>
                <w:sz w:val="20"/>
                <w:szCs w:val="20"/>
              </w:rPr>
              <w:t>Miles Traveled</w:t>
            </w:r>
          </w:p>
        </w:tc>
      </w:tr>
      <w:tr w:rsidR="003C2992" w:rsidRPr="00760EB2" w14:paraId="48D7EBFE" w14:textId="77777777" w:rsidTr="00945668">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AD35F97" w14:textId="5B83CD46" w:rsidR="003C2992" w:rsidRPr="00760EB2" w:rsidRDefault="00E70C2D" w:rsidP="00FE6CA3">
            <w:pPr>
              <w:jc w:val="center"/>
              <w:rPr>
                <w:rFonts w:ascii="Calibri" w:hAnsi="Calibri"/>
                <w:sz w:val="20"/>
                <w:szCs w:val="20"/>
              </w:rPr>
            </w:pPr>
            <w:r w:rsidRPr="00760EB2">
              <w:rPr>
                <w:rFonts w:ascii="Calibri" w:hAnsi="Calibri"/>
                <w:sz w:val="20"/>
                <w:szCs w:val="20"/>
              </w:rPr>
              <w:t>Summer 201</w:t>
            </w:r>
            <w:r w:rsidR="00FE6CA3">
              <w:rPr>
                <w:rFonts w:ascii="Calibri" w:hAnsi="Calibri"/>
                <w:sz w:val="20"/>
                <w:szCs w:val="20"/>
              </w:rPr>
              <w:t>5</w:t>
            </w:r>
            <w:r w:rsidR="003C2992" w:rsidRPr="00760EB2">
              <w:rPr>
                <w:rFonts w:ascii="Calibri" w:hAnsi="Calibri"/>
                <w:sz w:val="20"/>
                <w:szCs w:val="20"/>
              </w:rPr>
              <w:t xml:space="preserve"> Study Abroad</w:t>
            </w:r>
          </w:p>
        </w:tc>
        <w:tc>
          <w:tcPr>
            <w:tcW w:w="1940" w:type="dxa"/>
            <w:tcBorders>
              <w:top w:val="nil"/>
              <w:left w:val="nil"/>
              <w:bottom w:val="single" w:sz="4" w:space="0" w:color="auto"/>
              <w:right w:val="single" w:sz="4" w:space="0" w:color="auto"/>
            </w:tcBorders>
            <w:shd w:val="clear" w:color="auto" w:fill="auto"/>
            <w:noWrap/>
            <w:vAlign w:val="bottom"/>
            <w:hideMark/>
          </w:tcPr>
          <w:p w14:paraId="0A06FB00" w14:textId="06EA1473" w:rsidR="003C2992" w:rsidRPr="00760EB2" w:rsidRDefault="00FE6CA3" w:rsidP="003C2992">
            <w:pPr>
              <w:jc w:val="center"/>
              <w:rPr>
                <w:rFonts w:ascii="Calibri" w:hAnsi="Calibri"/>
                <w:sz w:val="20"/>
                <w:szCs w:val="20"/>
              </w:rPr>
            </w:pPr>
            <w:r>
              <w:rPr>
                <w:rFonts w:ascii="Calibri" w:hAnsi="Calibri"/>
                <w:sz w:val="20"/>
                <w:szCs w:val="20"/>
              </w:rPr>
              <w:t>4509</w:t>
            </w:r>
          </w:p>
        </w:tc>
      </w:tr>
      <w:tr w:rsidR="003C2992" w:rsidRPr="00760EB2" w14:paraId="70BDC1BB" w14:textId="77777777" w:rsidTr="00945668">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E854392" w14:textId="6F54D8AB" w:rsidR="003C2992" w:rsidRPr="00760EB2" w:rsidRDefault="00E70C2D" w:rsidP="00FE6CA3">
            <w:pPr>
              <w:jc w:val="center"/>
              <w:rPr>
                <w:rFonts w:ascii="Calibri" w:hAnsi="Calibri"/>
                <w:sz w:val="20"/>
                <w:szCs w:val="20"/>
              </w:rPr>
            </w:pPr>
            <w:r w:rsidRPr="00760EB2">
              <w:rPr>
                <w:rFonts w:ascii="Calibri" w:hAnsi="Calibri"/>
                <w:sz w:val="20"/>
                <w:szCs w:val="20"/>
              </w:rPr>
              <w:t>Fall 201</w:t>
            </w:r>
            <w:r w:rsidR="00FE6CA3">
              <w:rPr>
                <w:rFonts w:ascii="Calibri" w:hAnsi="Calibri"/>
                <w:sz w:val="20"/>
                <w:szCs w:val="20"/>
              </w:rPr>
              <w:t>5</w:t>
            </w:r>
            <w:r w:rsidR="003C2992" w:rsidRPr="00760EB2">
              <w:rPr>
                <w:rFonts w:ascii="Calibri" w:hAnsi="Calibri"/>
                <w:sz w:val="20"/>
                <w:szCs w:val="20"/>
              </w:rPr>
              <w:t xml:space="preserve"> Study Abroad</w:t>
            </w:r>
          </w:p>
        </w:tc>
        <w:tc>
          <w:tcPr>
            <w:tcW w:w="1940" w:type="dxa"/>
            <w:tcBorders>
              <w:top w:val="nil"/>
              <w:left w:val="nil"/>
              <w:bottom w:val="single" w:sz="4" w:space="0" w:color="auto"/>
              <w:right w:val="single" w:sz="4" w:space="0" w:color="auto"/>
            </w:tcBorders>
            <w:shd w:val="clear" w:color="auto" w:fill="auto"/>
            <w:noWrap/>
            <w:vAlign w:val="bottom"/>
            <w:hideMark/>
          </w:tcPr>
          <w:p w14:paraId="797DF8C6" w14:textId="0910CD8C" w:rsidR="003C2992" w:rsidRPr="00760EB2" w:rsidRDefault="00FE6CA3" w:rsidP="003C2992">
            <w:pPr>
              <w:jc w:val="center"/>
              <w:rPr>
                <w:rFonts w:ascii="Calibri" w:hAnsi="Calibri"/>
                <w:sz w:val="20"/>
                <w:szCs w:val="20"/>
              </w:rPr>
            </w:pPr>
            <w:r>
              <w:rPr>
                <w:rFonts w:ascii="Calibri" w:hAnsi="Calibri"/>
                <w:sz w:val="20"/>
                <w:szCs w:val="20"/>
              </w:rPr>
              <w:t>190,070</w:t>
            </w:r>
          </w:p>
        </w:tc>
      </w:tr>
      <w:tr w:rsidR="003C2992" w:rsidRPr="00760EB2" w14:paraId="0FE1E38A" w14:textId="77777777" w:rsidTr="00945668">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ABE223D" w14:textId="68CEBBB5" w:rsidR="003C2992" w:rsidRPr="00760EB2" w:rsidRDefault="00E70C2D" w:rsidP="00FE6CA3">
            <w:pPr>
              <w:jc w:val="center"/>
              <w:rPr>
                <w:rFonts w:ascii="Calibri" w:hAnsi="Calibri"/>
                <w:sz w:val="20"/>
                <w:szCs w:val="20"/>
              </w:rPr>
            </w:pPr>
            <w:r w:rsidRPr="00760EB2">
              <w:rPr>
                <w:rFonts w:ascii="Calibri" w:hAnsi="Calibri"/>
                <w:sz w:val="20"/>
                <w:szCs w:val="20"/>
              </w:rPr>
              <w:t>Spring 201</w:t>
            </w:r>
            <w:r w:rsidR="00FE6CA3">
              <w:rPr>
                <w:rFonts w:ascii="Calibri" w:hAnsi="Calibri"/>
                <w:sz w:val="20"/>
                <w:szCs w:val="20"/>
              </w:rPr>
              <w:t>6</w:t>
            </w:r>
            <w:r w:rsidR="003C2992" w:rsidRPr="00760EB2">
              <w:rPr>
                <w:rFonts w:ascii="Calibri" w:hAnsi="Calibri"/>
                <w:sz w:val="20"/>
                <w:szCs w:val="20"/>
              </w:rPr>
              <w:t xml:space="preserve"> Study Abroad</w:t>
            </w:r>
          </w:p>
        </w:tc>
        <w:tc>
          <w:tcPr>
            <w:tcW w:w="1940" w:type="dxa"/>
            <w:tcBorders>
              <w:top w:val="nil"/>
              <w:left w:val="nil"/>
              <w:bottom w:val="single" w:sz="4" w:space="0" w:color="auto"/>
              <w:right w:val="single" w:sz="4" w:space="0" w:color="auto"/>
            </w:tcBorders>
            <w:shd w:val="clear" w:color="auto" w:fill="auto"/>
            <w:noWrap/>
            <w:vAlign w:val="bottom"/>
            <w:hideMark/>
          </w:tcPr>
          <w:p w14:paraId="2B344904" w14:textId="10905E2B" w:rsidR="003C2992" w:rsidRPr="00760EB2" w:rsidRDefault="00FE6CA3" w:rsidP="003C2992">
            <w:pPr>
              <w:jc w:val="center"/>
              <w:rPr>
                <w:rFonts w:ascii="Calibri" w:hAnsi="Calibri"/>
                <w:sz w:val="20"/>
                <w:szCs w:val="20"/>
              </w:rPr>
            </w:pPr>
            <w:r>
              <w:rPr>
                <w:rFonts w:ascii="Calibri" w:hAnsi="Calibri"/>
                <w:sz w:val="20"/>
                <w:szCs w:val="20"/>
              </w:rPr>
              <w:t>100,154</w:t>
            </w:r>
          </w:p>
        </w:tc>
      </w:tr>
      <w:tr w:rsidR="003C2992" w:rsidRPr="00760EB2" w14:paraId="47CFE4E6" w14:textId="77777777" w:rsidTr="00945668">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7E2EABD" w14:textId="5ADE9446" w:rsidR="003C2992" w:rsidRPr="00760EB2" w:rsidRDefault="003C2992" w:rsidP="00E70C2D">
            <w:pPr>
              <w:jc w:val="center"/>
              <w:rPr>
                <w:rFonts w:ascii="Calibri" w:hAnsi="Calibri"/>
                <w:sz w:val="20"/>
                <w:szCs w:val="20"/>
              </w:rPr>
            </w:pPr>
            <w:r w:rsidRPr="00760EB2">
              <w:rPr>
                <w:rFonts w:ascii="Calibri" w:hAnsi="Calibri"/>
                <w:sz w:val="20"/>
                <w:szCs w:val="20"/>
              </w:rPr>
              <w:t>Summer 201</w:t>
            </w:r>
            <w:r w:rsidR="00FE6CA3">
              <w:rPr>
                <w:rFonts w:ascii="Calibri" w:hAnsi="Calibri"/>
                <w:sz w:val="20"/>
                <w:szCs w:val="20"/>
              </w:rPr>
              <w:t>6</w:t>
            </w:r>
            <w:r w:rsidRPr="00760EB2">
              <w:rPr>
                <w:rFonts w:ascii="Calibri" w:hAnsi="Calibri"/>
                <w:sz w:val="20"/>
                <w:szCs w:val="20"/>
              </w:rPr>
              <w:t xml:space="preserve"> Study Abroad</w:t>
            </w:r>
          </w:p>
        </w:tc>
        <w:tc>
          <w:tcPr>
            <w:tcW w:w="1940" w:type="dxa"/>
            <w:tcBorders>
              <w:top w:val="nil"/>
              <w:left w:val="nil"/>
              <w:bottom w:val="single" w:sz="4" w:space="0" w:color="auto"/>
              <w:right w:val="single" w:sz="4" w:space="0" w:color="auto"/>
            </w:tcBorders>
            <w:shd w:val="clear" w:color="auto" w:fill="auto"/>
            <w:noWrap/>
            <w:vAlign w:val="bottom"/>
            <w:hideMark/>
          </w:tcPr>
          <w:p w14:paraId="07544B0D" w14:textId="77777777" w:rsidR="003C2992" w:rsidRPr="00760EB2" w:rsidRDefault="00E70C2D" w:rsidP="003C2992">
            <w:pPr>
              <w:jc w:val="center"/>
              <w:rPr>
                <w:rFonts w:ascii="Calibri" w:hAnsi="Calibri"/>
                <w:sz w:val="20"/>
                <w:szCs w:val="20"/>
              </w:rPr>
            </w:pPr>
            <w:r w:rsidRPr="00760EB2">
              <w:rPr>
                <w:rFonts w:ascii="Calibri" w:hAnsi="Calibri"/>
                <w:sz w:val="20"/>
                <w:szCs w:val="20"/>
              </w:rPr>
              <w:t>0</w:t>
            </w:r>
          </w:p>
        </w:tc>
      </w:tr>
      <w:tr w:rsidR="003C2992" w:rsidRPr="00760EB2" w14:paraId="68244CC8" w14:textId="77777777" w:rsidTr="00945668">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D8D27B8" w14:textId="77777777" w:rsidR="003C2992" w:rsidRPr="00760EB2" w:rsidRDefault="00E70C2D" w:rsidP="003C2992">
            <w:pPr>
              <w:jc w:val="center"/>
              <w:rPr>
                <w:rFonts w:ascii="Calibri" w:hAnsi="Calibri"/>
                <w:sz w:val="20"/>
                <w:szCs w:val="20"/>
              </w:rPr>
            </w:pPr>
            <w:r w:rsidRPr="00760EB2">
              <w:rPr>
                <w:rFonts w:ascii="Calibri" w:hAnsi="Calibri"/>
                <w:sz w:val="20"/>
                <w:szCs w:val="20"/>
              </w:rPr>
              <w:t>January Term 2014</w:t>
            </w:r>
            <w:r w:rsidR="003C2992" w:rsidRPr="00760EB2">
              <w:rPr>
                <w:rFonts w:ascii="Calibri" w:hAnsi="Calibri"/>
                <w:sz w:val="20"/>
                <w:szCs w:val="20"/>
              </w:rPr>
              <w:t xml:space="preserve"> Travel Courses</w:t>
            </w:r>
          </w:p>
        </w:tc>
        <w:tc>
          <w:tcPr>
            <w:tcW w:w="1940" w:type="dxa"/>
            <w:tcBorders>
              <w:top w:val="nil"/>
              <w:left w:val="nil"/>
              <w:bottom w:val="single" w:sz="4" w:space="0" w:color="auto"/>
              <w:right w:val="single" w:sz="4" w:space="0" w:color="auto"/>
            </w:tcBorders>
            <w:shd w:val="clear" w:color="auto" w:fill="auto"/>
            <w:noWrap/>
            <w:vAlign w:val="bottom"/>
            <w:hideMark/>
          </w:tcPr>
          <w:p w14:paraId="7B39815A" w14:textId="0307C4CA" w:rsidR="003C2992" w:rsidRPr="00760EB2" w:rsidRDefault="00893082" w:rsidP="00FE6CA3">
            <w:pPr>
              <w:jc w:val="center"/>
              <w:rPr>
                <w:rFonts w:ascii="Calibri" w:hAnsi="Calibri"/>
                <w:sz w:val="20"/>
                <w:szCs w:val="20"/>
              </w:rPr>
            </w:pPr>
            <w:r w:rsidRPr="00760EB2">
              <w:rPr>
                <w:rFonts w:ascii="Calibri" w:hAnsi="Calibri"/>
                <w:sz w:val="20"/>
                <w:szCs w:val="20"/>
              </w:rPr>
              <w:t>1,</w:t>
            </w:r>
            <w:r w:rsidR="00FE6CA3">
              <w:rPr>
                <w:rFonts w:ascii="Calibri" w:hAnsi="Calibri"/>
                <w:sz w:val="20"/>
                <w:szCs w:val="20"/>
              </w:rPr>
              <w:t>878,579</w:t>
            </w:r>
          </w:p>
        </w:tc>
      </w:tr>
      <w:tr w:rsidR="003C2992" w:rsidRPr="00760EB2" w14:paraId="6485D99B" w14:textId="77777777" w:rsidTr="00945668">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3A294DC" w14:textId="1D873E5D" w:rsidR="003C2992" w:rsidRPr="00760EB2" w:rsidRDefault="00E70C2D" w:rsidP="003C2992">
            <w:pPr>
              <w:jc w:val="center"/>
              <w:rPr>
                <w:rFonts w:ascii="Calibri" w:hAnsi="Calibri"/>
                <w:sz w:val="20"/>
                <w:szCs w:val="20"/>
              </w:rPr>
            </w:pPr>
            <w:r w:rsidRPr="00760EB2">
              <w:rPr>
                <w:rFonts w:ascii="Calibri" w:hAnsi="Calibri"/>
                <w:sz w:val="20"/>
                <w:szCs w:val="20"/>
              </w:rPr>
              <w:t xml:space="preserve">January Term </w:t>
            </w:r>
            <w:r w:rsidR="00FE6CA3">
              <w:rPr>
                <w:rFonts w:ascii="Calibri" w:hAnsi="Calibri"/>
                <w:sz w:val="20"/>
                <w:szCs w:val="20"/>
              </w:rPr>
              <w:t>or other 2016</w:t>
            </w:r>
            <w:r w:rsidR="003C2992" w:rsidRPr="00760EB2">
              <w:rPr>
                <w:rFonts w:ascii="Calibri" w:hAnsi="Calibri"/>
                <w:sz w:val="20"/>
                <w:szCs w:val="20"/>
              </w:rPr>
              <w:t xml:space="preserve"> CSOC</w:t>
            </w:r>
          </w:p>
        </w:tc>
        <w:tc>
          <w:tcPr>
            <w:tcW w:w="1940" w:type="dxa"/>
            <w:tcBorders>
              <w:top w:val="nil"/>
              <w:left w:val="nil"/>
              <w:bottom w:val="single" w:sz="4" w:space="0" w:color="auto"/>
              <w:right w:val="single" w:sz="4" w:space="0" w:color="auto"/>
            </w:tcBorders>
            <w:shd w:val="clear" w:color="auto" w:fill="auto"/>
            <w:noWrap/>
            <w:vAlign w:val="bottom"/>
            <w:hideMark/>
          </w:tcPr>
          <w:p w14:paraId="1F358D99" w14:textId="33E5F7E0" w:rsidR="003C2992" w:rsidRPr="00760EB2" w:rsidRDefault="00FE6CA3" w:rsidP="002C7590">
            <w:pPr>
              <w:jc w:val="center"/>
              <w:rPr>
                <w:rFonts w:ascii="Calibri" w:hAnsi="Calibri"/>
                <w:sz w:val="20"/>
                <w:szCs w:val="20"/>
              </w:rPr>
            </w:pPr>
            <w:r>
              <w:rPr>
                <w:rFonts w:ascii="Calibri" w:hAnsi="Calibri"/>
                <w:sz w:val="20"/>
                <w:szCs w:val="20"/>
              </w:rPr>
              <w:t>73,273</w:t>
            </w:r>
          </w:p>
        </w:tc>
      </w:tr>
      <w:tr w:rsidR="003C2992" w:rsidRPr="00760EB2" w14:paraId="0AF2BCE1" w14:textId="77777777" w:rsidTr="00945668">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5F531AE" w14:textId="6955483D" w:rsidR="003C2992" w:rsidRPr="00FE6CA3" w:rsidRDefault="00FE6CA3" w:rsidP="003C2992">
            <w:pPr>
              <w:jc w:val="center"/>
              <w:rPr>
                <w:rFonts w:ascii="Calibri" w:hAnsi="Calibri"/>
                <w:color w:val="FF0000"/>
                <w:sz w:val="20"/>
                <w:szCs w:val="20"/>
              </w:rPr>
            </w:pPr>
            <w:r w:rsidRPr="00FE6CA3">
              <w:rPr>
                <w:rFonts w:ascii="Calibri" w:hAnsi="Calibri"/>
                <w:color w:val="FF0000"/>
                <w:sz w:val="20"/>
                <w:szCs w:val="20"/>
              </w:rPr>
              <w:t>GO Fellows FY 2016</w:t>
            </w:r>
          </w:p>
        </w:tc>
        <w:tc>
          <w:tcPr>
            <w:tcW w:w="1940" w:type="dxa"/>
            <w:tcBorders>
              <w:top w:val="nil"/>
              <w:left w:val="nil"/>
              <w:bottom w:val="single" w:sz="4" w:space="0" w:color="auto"/>
              <w:right w:val="single" w:sz="4" w:space="0" w:color="auto"/>
            </w:tcBorders>
            <w:shd w:val="clear" w:color="auto" w:fill="auto"/>
            <w:noWrap/>
            <w:vAlign w:val="bottom"/>
            <w:hideMark/>
          </w:tcPr>
          <w:p w14:paraId="7A7F9136" w14:textId="60DBBDC4" w:rsidR="003C2992" w:rsidRPr="00FE6CA3" w:rsidRDefault="003C2992" w:rsidP="0054295D">
            <w:pPr>
              <w:jc w:val="center"/>
              <w:rPr>
                <w:rFonts w:ascii="Calibri" w:hAnsi="Calibri"/>
                <w:color w:val="FF0000"/>
                <w:sz w:val="20"/>
                <w:szCs w:val="20"/>
              </w:rPr>
            </w:pPr>
          </w:p>
        </w:tc>
      </w:tr>
      <w:tr w:rsidR="00760EB2" w:rsidRPr="00760EB2" w14:paraId="58725819" w14:textId="77777777" w:rsidTr="00945668">
        <w:trPr>
          <w:trHeight w:val="107"/>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D44CBBF" w14:textId="77777777" w:rsidR="003C2992" w:rsidRPr="00760EB2" w:rsidRDefault="003C2992" w:rsidP="003C2992">
            <w:pPr>
              <w:jc w:val="center"/>
              <w:rPr>
                <w:rFonts w:ascii="Calibri" w:hAnsi="Calibri"/>
                <w:b/>
                <w:bCs/>
                <w:color w:val="0000FF"/>
                <w:sz w:val="20"/>
                <w:szCs w:val="20"/>
              </w:rPr>
            </w:pPr>
            <w:r w:rsidRPr="00FE6CA3">
              <w:rPr>
                <w:rFonts w:ascii="Calibri" w:hAnsi="Calibri"/>
                <w:b/>
                <w:bCs/>
                <w:color w:val="00B050"/>
                <w:sz w:val="20"/>
                <w:szCs w:val="20"/>
              </w:rPr>
              <w:t>Total Study Abroad Miles for FY 2012</w:t>
            </w:r>
          </w:p>
        </w:tc>
        <w:tc>
          <w:tcPr>
            <w:tcW w:w="1940" w:type="dxa"/>
            <w:tcBorders>
              <w:top w:val="nil"/>
              <w:left w:val="nil"/>
              <w:bottom w:val="single" w:sz="4" w:space="0" w:color="auto"/>
              <w:right w:val="single" w:sz="4" w:space="0" w:color="auto"/>
            </w:tcBorders>
            <w:shd w:val="clear" w:color="auto" w:fill="auto"/>
            <w:noWrap/>
            <w:vAlign w:val="bottom"/>
            <w:hideMark/>
          </w:tcPr>
          <w:p w14:paraId="73492737" w14:textId="4F56A091" w:rsidR="003C2992" w:rsidRPr="00760EB2" w:rsidRDefault="003C2992" w:rsidP="007C3B41">
            <w:pPr>
              <w:jc w:val="center"/>
              <w:rPr>
                <w:rFonts w:ascii="Calibri" w:hAnsi="Calibri"/>
                <w:b/>
                <w:bCs/>
                <w:color w:val="0000FF"/>
                <w:sz w:val="20"/>
                <w:szCs w:val="20"/>
              </w:rPr>
            </w:pPr>
          </w:p>
        </w:tc>
      </w:tr>
    </w:tbl>
    <w:p w14:paraId="35AA9F4F" w14:textId="77777777" w:rsidR="0097227C" w:rsidRPr="00760EB2" w:rsidRDefault="003C2992" w:rsidP="003C2992">
      <w:pPr>
        <w:spacing w:line="480" w:lineRule="auto"/>
        <w:jc w:val="both"/>
      </w:pPr>
      <w:r w:rsidRPr="00760EB2">
        <w:br/>
      </w:r>
      <w:r w:rsidR="0097227C" w:rsidRPr="00760EB2">
        <w:rPr>
          <w:i/>
        </w:rPr>
        <w:t>Solid Waste</w:t>
      </w:r>
    </w:p>
    <w:p w14:paraId="6DAE6693" w14:textId="77777777" w:rsidR="009409DC" w:rsidRPr="00760EB2" w:rsidRDefault="00911326" w:rsidP="00911326">
      <w:pPr>
        <w:spacing w:line="480" w:lineRule="auto"/>
        <w:ind w:firstLine="720"/>
      </w:pPr>
      <w:r w:rsidRPr="00760EB2">
        <w:lastRenderedPageBreak/>
        <w:t xml:space="preserve">The solid waste calculations included assumptions made when estimating weight. Trash quantities were calculated from averages, since there are no meters on the equipment to measure the actual </w:t>
      </w:r>
      <w:r w:rsidR="001D6287" w:rsidRPr="00760EB2">
        <w:t>tons of waste. Thus, an average</w:t>
      </w:r>
      <w:r w:rsidR="009409DC" w:rsidRPr="00760EB2">
        <w:t xml:space="preserve"> weight</w:t>
      </w:r>
      <w:r w:rsidRPr="00760EB2">
        <w:t xml:space="preserve"> of </w:t>
      </w:r>
      <w:r w:rsidR="009409DC" w:rsidRPr="00760EB2">
        <w:t>90</w:t>
      </w:r>
      <w:r w:rsidRPr="00760EB2">
        <w:t xml:space="preserve"> lbs. per cubic yard of un-</w:t>
      </w:r>
      <w:r w:rsidR="009409DC" w:rsidRPr="00760EB2">
        <w:t>compacted solid waste and 3</w:t>
      </w:r>
      <w:r w:rsidRPr="00760EB2">
        <w:t xml:space="preserve">00 lbs. of solid waste per cubic yard of compacted waste was used to calculate trash based on the size of our receptacles and the frequency of pickup </w:t>
      </w:r>
      <w:r w:rsidR="009409DC" w:rsidRPr="00760EB2">
        <w:t>(</w:t>
      </w:r>
      <w:r w:rsidR="009409DC" w:rsidRPr="00760EB2">
        <w:rPr>
          <w:noProof/>
        </w:rPr>
        <w:t>CURC Campus Refuse Profile, 1997</w:t>
      </w:r>
      <w:r w:rsidR="00267823" w:rsidRPr="00760EB2">
        <w:rPr>
          <w:noProof/>
        </w:rPr>
        <w:t>: http://recyclemaniacs.org/sites/default/files/documents/Volume-weight-conversions.pdf</w:t>
      </w:r>
      <w:r w:rsidR="009409DC" w:rsidRPr="00760EB2">
        <w:t xml:space="preserve">); note that this is the same source from which Jade Rutledge (2009) pulled a conversion factor from volume to weight of solid waste.  </w:t>
      </w:r>
    </w:p>
    <w:p w14:paraId="56A1FD2D" w14:textId="0F01447D" w:rsidR="006F331C" w:rsidRDefault="00911326" w:rsidP="001D6287">
      <w:pPr>
        <w:spacing w:line="480" w:lineRule="auto"/>
        <w:ind w:firstLine="720"/>
      </w:pPr>
      <w:r w:rsidRPr="00760EB2">
        <w:t>The fullness of the rece</w:t>
      </w:r>
      <w:r w:rsidR="009409DC" w:rsidRPr="00760EB2">
        <w:t xml:space="preserve">ptacles is not known in detail; calculations are based on information provided </w:t>
      </w:r>
      <w:r w:rsidRPr="00760EB2">
        <w:t xml:space="preserve">by </w:t>
      </w:r>
      <w:r w:rsidR="00FE6CA3">
        <w:t>Linda Welch (</w:t>
      </w:r>
      <w:r w:rsidR="00FE6CA3" w:rsidRPr="00FE6CA3">
        <w:rPr>
          <w:color w:val="FF0000"/>
        </w:rPr>
        <w:t>is her position already mentioned elsewhere?)</w:t>
      </w:r>
      <w:r w:rsidR="009409DC" w:rsidRPr="00FE6CA3">
        <w:rPr>
          <w:color w:val="FF0000"/>
        </w:rPr>
        <w:t xml:space="preserve">, </w:t>
      </w:r>
      <w:r w:rsidR="009409DC" w:rsidRPr="00760EB2">
        <w:t xml:space="preserve">who </w:t>
      </w:r>
      <w:r w:rsidR="00B51B15">
        <w:t>reports</w:t>
      </w:r>
      <w:r w:rsidR="00B51B15" w:rsidRPr="00760EB2">
        <w:t xml:space="preserve"> </w:t>
      </w:r>
      <w:r w:rsidR="009409DC" w:rsidRPr="00760EB2">
        <w:t>that</w:t>
      </w:r>
      <w:r w:rsidRPr="00760EB2">
        <w:t xml:space="preserve"> receptacles are full 95% of the time. A sensitivity test was performed to determine the extent that the results differ depending on the fullness of the receptacle</w:t>
      </w:r>
      <w:r w:rsidR="009409DC" w:rsidRPr="00760EB2">
        <w:t xml:space="preserve">s.  </w:t>
      </w:r>
      <w:r w:rsidR="009F2F72" w:rsidRPr="00760EB2">
        <w:t>T</w:t>
      </w:r>
      <w:r w:rsidRPr="00760EB2">
        <w:t>he 100% full figure was</w:t>
      </w:r>
      <w:r w:rsidR="009409DC" w:rsidRPr="00760EB2">
        <w:t xml:space="preserve"> used in the final calculations:</w:t>
      </w:r>
      <w:r w:rsidRPr="00760EB2">
        <w:t xml:space="preserve"> a conservative overestimate</w:t>
      </w:r>
      <w:r w:rsidR="009409DC" w:rsidRPr="00760EB2">
        <w:t xml:space="preserve"> considering </w:t>
      </w:r>
      <w:r w:rsidR="00FE6CA3">
        <w:t>Welch’s</w:t>
      </w:r>
      <w:r w:rsidR="009409DC" w:rsidRPr="00760EB2">
        <w:t xml:space="preserve"> statement</w:t>
      </w:r>
      <w:r w:rsidRPr="00760EB2">
        <w:t>.</w:t>
      </w:r>
    </w:p>
    <w:p w14:paraId="24E1802C" w14:textId="77777777" w:rsidR="00945668" w:rsidRDefault="00945668" w:rsidP="001D6287">
      <w:pPr>
        <w:spacing w:line="480" w:lineRule="auto"/>
        <w:ind w:firstLine="720"/>
      </w:pPr>
    </w:p>
    <w:p w14:paraId="79FECB62" w14:textId="77777777" w:rsidR="00945668" w:rsidRDefault="00945668" w:rsidP="001D6287">
      <w:pPr>
        <w:spacing w:line="480" w:lineRule="auto"/>
        <w:ind w:firstLine="720"/>
      </w:pPr>
    </w:p>
    <w:p w14:paraId="3ECD5FAB" w14:textId="77777777" w:rsidR="00945668" w:rsidRPr="00760EB2" w:rsidRDefault="00945668" w:rsidP="001D6287">
      <w:pPr>
        <w:spacing w:line="480" w:lineRule="auto"/>
        <w:ind w:firstLine="720"/>
      </w:pPr>
    </w:p>
    <w:tbl>
      <w:tblPr>
        <w:tblW w:w="9680" w:type="dxa"/>
        <w:tblInd w:w="93" w:type="dxa"/>
        <w:tblLook w:val="04A0" w:firstRow="1" w:lastRow="0" w:firstColumn="1" w:lastColumn="0" w:noHBand="0" w:noVBand="1"/>
      </w:tblPr>
      <w:tblGrid>
        <w:gridCol w:w="2800"/>
        <w:gridCol w:w="2240"/>
        <w:gridCol w:w="2600"/>
        <w:gridCol w:w="2040"/>
      </w:tblGrid>
      <w:tr w:rsidR="009F2F72" w:rsidRPr="00760EB2" w14:paraId="78096D84" w14:textId="77777777" w:rsidTr="009F2F72">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A9738" w14:textId="77777777" w:rsidR="009F2F72" w:rsidRPr="00760EB2" w:rsidRDefault="009F2F72" w:rsidP="009F2F72">
            <w:pPr>
              <w:jc w:val="center"/>
              <w:rPr>
                <w:rFonts w:ascii="Calibri" w:hAnsi="Calibri"/>
                <w:b/>
                <w:bCs/>
                <w:sz w:val="14"/>
                <w:szCs w:val="14"/>
              </w:rPr>
            </w:pPr>
            <w:r w:rsidRPr="00760EB2">
              <w:rPr>
                <w:rFonts w:ascii="Calibri" w:hAnsi="Calibri"/>
                <w:b/>
                <w:bCs/>
                <w:sz w:val="14"/>
                <w:szCs w:val="14"/>
              </w:rPr>
              <w:t>Containers of Landfill-Bound Waste</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3D07FA17" w14:textId="77777777" w:rsidR="009F2F72" w:rsidRPr="00760EB2" w:rsidRDefault="009F2F72" w:rsidP="009F2F72">
            <w:pPr>
              <w:jc w:val="center"/>
              <w:rPr>
                <w:rFonts w:ascii="Calibri" w:hAnsi="Calibri"/>
                <w:b/>
                <w:bCs/>
                <w:sz w:val="14"/>
                <w:szCs w:val="14"/>
              </w:rPr>
            </w:pPr>
            <w:r w:rsidRPr="00760EB2">
              <w:rPr>
                <w:rFonts w:ascii="Calibri" w:hAnsi="Calibri"/>
                <w:b/>
                <w:bCs/>
                <w:sz w:val="14"/>
                <w:szCs w:val="14"/>
              </w:rPr>
              <w:t>Container Size (Cubic Yards)</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7612076A" w14:textId="77777777" w:rsidR="009F2F72" w:rsidRPr="00760EB2" w:rsidRDefault="009F2F72" w:rsidP="009F2F72">
            <w:pPr>
              <w:jc w:val="center"/>
              <w:rPr>
                <w:rFonts w:ascii="Calibri" w:hAnsi="Calibri"/>
                <w:b/>
                <w:bCs/>
                <w:sz w:val="14"/>
                <w:szCs w:val="14"/>
              </w:rPr>
            </w:pPr>
            <w:r w:rsidRPr="00760EB2">
              <w:rPr>
                <w:rFonts w:ascii="Calibri" w:hAnsi="Calibri"/>
                <w:b/>
                <w:bCs/>
                <w:sz w:val="14"/>
                <w:szCs w:val="14"/>
              </w:rPr>
              <w:t xml:space="preserve">Pick-Up Frequency (# / Week) </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2CB35D27" w14:textId="77777777" w:rsidR="009F2F72" w:rsidRPr="00760EB2" w:rsidRDefault="009F2F72" w:rsidP="009F2F72">
            <w:pPr>
              <w:jc w:val="center"/>
              <w:rPr>
                <w:rFonts w:ascii="Calibri" w:hAnsi="Calibri"/>
                <w:b/>
                <w:bCs/>
                <w:sz w:val="14"/>
                <w:szCs w:val="14"/>
              </w:rPr>
            </w:pPr>
            <w:r w:rsidRPr="00760EB2">
              <w:rPr>
                <w:rFonts w:ascii="Calibri" w:hAnsi="Calibri"/>
                <w:b/>
                <w:bCs/>
                <w:sz w:val="14"/>
                <w:szCs w:val="14"/>
              </w:rPr>
              <w:t>Estimated Pick-Ups / Year</w:t>
            </w:r>
          </w:p>
        </w:tc>
      </w:tr>
      <w:tr w:rsidR="009F2F72" w:rsidRPr="00760EB2" w14:paraId="3085E31B" w14:textId="77777777" w:rsidTr="009F2F7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CBB64AE" w14:textId="77777777" w:rsidR="009F2F72" w:rsidRPr="00760EB2" w:rsidRDefault="009F2F72" w:rsidP="009F2F72">
            <w:pPr>
              <w:rPr>
                <w:rFonts w:ascii="Calibri" w:hAnsi="Calibri"/>
                <w:sz w:val="14"/>
                <w:szCs w:val="14"/>
              </w:rPr>
            </w:pPr>
            <w:r w:rsidRPr="00760EB2">
              <w:rPr>
                <w:rFonts w:ascii="Calibri" w:hAnsi="Calibri"/>
                <w:sz w:val="14"/>
                <w:szCs w:val="14"/>
              </w:rPr>
              <w:t>Flats - 916 E. Brockett</w:t>
            </w:r>
          </w:p>
        </w:tc>
        <w:tc>
          <w:tcPr>
            <w:tcW w:w="2240" w:type="dxa"/>
            <w:tcBorders>
              <w:top w:val="nil"/>
              <w:left w:val="nil"/>
              <w:bottom w:val="single" w:sz="4" w:space="0" w:color="auto"/>
              <w:right w:val="single" w:sz="4" w:space="0" w:color="auto"/>
            </w:tcBorders>
            <w:shd w:val="clear" w:color="auto" w:fill="auto"/>
            <w:noWrap/>
            <w:vAlign w:val="bottom"/>
            <w:hideMark/>
          </w:tcPr>
          <w:p w14:paraId="5C122746" w14:textId="77777777" w:rsidR="009F2F72" w:rsidRPr="00760EB2" w:rsidRDefault="009F2F72" w:rsidP="009F2F72">
            <w:pPr>
              <w:jc w:val="center"/>
              <w:rPr>
                <w:rFonts w:ascii="Calibri" w:hAnsi="Calibri"/>
                <w:sz w:val="14"/>
                <w:szCs w:val="14"/>
              </w:rPr>
            </w:pPr>
            <w:r w:rsidRPr="00760EB2">
              <w:rPr>
                <w:rFonts w:ascii="Calibri" w:hAnsi="Calibri"/>
                <w:sz w:val="14"/>
                <w:szCs w:val="14"/>
              </w:rPr>
              <w:t>8</w:t>
            </w:r>
          </w:p>
        </w:tc>
        <w:tc>
          <w:tcPr>
            <w:tcW w:w="2600" w:type="dxa"/>
            <w:tcBorders>
              <w:top w:val="nil"/>
              <w:left w:val="nil"/>
              <w:bottom w:val="single" w:sz="4" w:space="0" w:color="auto"/>
              <w:right w:val="single" w:sz="4" w:space="0" w:color="auto"/>
            </w:tcBorders>
            <w:shd w:val="clear" w:color="auto" w:fill="auto"/>
            <w:noWrap/>
            <w:vAlign w:val="bottom"/>
            <w:hideMark/>
          </w:tcPr>
          <w:p w14:paraId="3F798DE2" w14:textId="77777777" w:rsidR="009F2F72" w:rsidRPr="00760EB2" w:rsidRDefault="009F2F72" w:rsidP="009F2F72">
            <w:pPr>
              <w:jc w:val="center"/>
              <w:rPr>
                <w:rFonts w:ascii="Calibri" w:hAnsi="Calibri"/>
                <w:sz w:val="14"/>
                <w:szCs w:val="14"/>
              </w:rPr>
            </w:pPr>
            <w:r w:rsidRPr="00760EB2">
              <w:rPr>
                <w:rFonts w:ascii="Calibri" w:hAnsi="Calibri"/>
                <w:sz w:val="14"/>
                <w:szCs w:val="14"/>
              </w:rPr>
              <w:t>3</w:t>
            </w:r>
          </w:p>
        </w:tc>
        <w:tc>
          <w:tcPr>
            <w:tcW w:w="2040" w:type="dxa"/>
            <w:tcBorders>
              <w:top w:val="nil"/>
              <w:left w:val="nil"/>
              <w:bottom w:val="single" w:sz="4" w:space="0" w:color="auto"/>
              <w:right w:val="single" w:sz="4" w:space="0" w:color="auto"/>
            </w:tcBorders>
            <w:shd w:val="clear" w:color="auto" w:fill="auto"/>
            <w:noWrap/>
            <w:vAlign w:val="bottom"/>
            <w:hideMark/>
          </w:tcPr>
          <w:p w14:paraId="3544EEB2" w14:textId="77777777" w:rsidR="009F2F72" w:rsidRPr="00760EB2" w:rsidRDefault="009F2F72" w:rsidP="009F2F72">
            <w:pPr>
              <w:jc w:val="center"/>
              <w:rPr>
                <w:rFonts w:ascii="Calibri" w:hAnsi="Calibri"/>
                <w:sz w:val="14"/>
                <w:szCs w:val="14"/>
              </w:rPr>
            </w:pPr>
            <w:r w:rsidRPr="00760EB2">
              <w:rPr>
                <w:rFonts w:ascii="Calibri" w:hAnsi="Calibri"/>
                <w:sz w:val="14"/>
                <w:szCs w:val="14"/>
              </w:rPr>
              <w:t>156</w:t>
            </w:r>
          </w:p>
        </w:tc>
      </w:tr>
      <w:tr w:rsidR="009F2F72" w:rsidRPr="00760EB2" w14:paraId="3018DB26" w14:textId="77777777" w:rsidTr="009F2F7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B663E61" w14:textId="77777777" w:rsidR="009F2F72" w:rsidRPr="00760EB2" w:rsidRDefault="009F2F72" w:rsidP="009F2F72">
            <w:pPr>
              <w:rPr>
                <w:rFonts w:ascii="Calibri" w:hAnsi="Calibri"/>
                <w:sz w:val="14"/>
                <w:szCs w:val="14"/>
              </w:rPr>
            </w:pPr>
            <w:r w:rsidRPr="00760EB2">
              <w:rPr>
                <w:rFonts w:ascii="Calibri" w:hAnsi="Calibri"/>
                <w:sz w:val="14"/>
                <w:szCs w:val="14"/>
              </w:rPr>
              <w:t>Bryan Apts. - 1114 E. Brockett</w:t>
            </w:r>
          </w:p>
        </w:tc>
        <w:tc>
          <w:tcPr>
            <w:tcW w:w="2240" w:type="dxa"/>
            <w:tcBorders>
              <w:top w:val="nil"/>
              <w:left w:val="nil"/>
              <w:bottom w:val="single" w:sz="4" w:space="0" w:color="auto"/>
              <w:right w:val="single" w:sz="4" w:space="0" w:color="auto"/>
            </w:tcBorders>
            <w:shd w:val="clear" w:color="auto" w:fill="auto"/>
            <w:noWrap/>
            <w:vAlign w:val="bottom"/>
            <w:hideMark/>
          </w:tcPr>
          <w:p w14:paraId="3C73D23A" w14:textId="77777777" w:rsidR="009F2F72" w:rsidRPr="00760EB2" w:rsidRDefault="009F2F72" w:rsidP="009F2F72">
            <w:pPr>
              <w:jc w:val="center"/>
              <w:rPr>
                <w:rFonts w:ascii="Calibri" w:hAnsi="Calibri"/>
                <w:sz w:val="14"/>
                <w:szCs w:val="14"/>
              </w:rPr>
            </w:pPr>
            <w:r w:rsidRPr="00760EB2">
              <w:rPr>
                <w:rFonts w:ascii="Calibri" w:hAnsi="Calibri"/>
                <w:sz w:val="14"/>
                <w:szCs w:val="14"/>
              </w:rPr>
              <w:t>6</w:t>
            </w:r>
          </w:p>
        </w:tc>
        <w:tc>
          <w:tcPr>
            <w:tcW w:w="2600" w:type="dxa"/>
            <w:tcBorders>
              <w:top w:val="nil"/>
              <w:left w:val="nil"/>
              <w:bottom w:val="single" w:sz="4" w:space="0" w:color="auto"/>
              <w:right w:val="single" w:sz="4" w:space="0" w:color="auto"/>
            </w:tcBorders>
            <w:shd w:val="clear" w:color="auto" w:fill="auto"/>
            <w:noWrap/>
            <w:vAlign w:val="bottom"/>
            <w:hideMark/>
          </w:tcPr>
          <w:p w14:paraId="4254BD62" w14:textId="77777777" w:rsidR="009F2F72" w:rsidRPr="00760EB2" w:rsidRDefault="009F2F72" w:rsidP="009F2F72">
            <w:pPr>
              <w:jc w:val="center"/>
              <w:rPr>
                <w:rFonts w:ascii="Calibri" w:hAnsi="Calibri"/>
                <w:sz w:val="14"/>
                <w:szCs w:val="14"/>
              </w:rPr>
            </w:pPr>
            <w:r w:rsidRPr="00760EB2">
              <w:rPr>
                <w:rFonts w:ascii="Calibri" w:hAnsi="Calibri"/>
                <w:sz w:val="14"/>
                <w:szCs w:val="14"/>
              </w:rPr>
              <w:t>3</w:t>
            </w:r>
          </w:p>
        </w:tc>
        <w:tc>
          <w:tcPr>
            <w:tcW w:w="2040" w:type="dxa"/>
            <w:tcBorders>
              <w:top w:val="nil"/>
              <w:left w:val="nil"/>
              <w:bottom w:val="single" w:sz="4" w:space="0" w:color="auto"/>
              <w:right w:val="single" w:sz="4" w:space="0" w:color="auto"/>
            </w:tcBorders>
            <w:shd w:val="clear" w:color="auto" w:fill="auto"/>
            <w:noWrap/>
            <w:vAlign w:val="bottom"/>
            <w:hideMark/>
          </w:tcPr>
          <w:p w14:paraId="47F228ED" w14:textId="77777777" w:rsidR="009F2F72" w:rsidRPr="00760EB2" w:rsidRDefault="009F2F72" w:rsidP="009F2F72">
            <w:pPr>
              <w:jc w:val="center"/>
              <w:rPr>
                <w:rFonts w:ascii="Calibri" w:hAnsi="Calibri"/>
                <w:sz w:val="14"/>
                <w:szCs w:val="14"/>
              </w:rPr>
            </w:pPr>
            <w:r w:rsidRPr="00760EB2">
              <w:rPr>
                <w:rFonts w:ascii="Calibri" w:hAnsi="Calibri"/>
                <w:sz w:val="14"/>
                <w:szCs w:val="14"/>
              </w:rPr>
              <w:t>156</w:t>
            </w:r>
          </w:p>
        </w:tc>
      </w:tr>
      <w:tr w:rsidR="009F2F72" w:rsidRPr="00760EB2" w14:paraId="2CDF71AB" w14:textId="77777777" w:rsidTr="009F2F7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49C0C7B" w14:textId="77777777" w:rsidR="009F2F72" w:rsidRPr="00760EB2" w:rsidRDefault="009F2F72" w:rsidP="009F2F72">
            <w:pPr>
              <w:rPr>
                <w:rFonts w:ascii="Calibri" w:hAnsi="Calibri"/>
                <w:sz w:val="14"/>
                <w:szCs w:val="14"/>
              </w:rPr>
            </w:pPr>
            <w:r w:rsidRPr="00760EB2">
              <w:rPr>
                <w:rFonts w:ascii="Calibri" w:hAnsi="Calibri"/>
                <w:sz w:val="14"/>
                <w:szCs w:val="14"/>
              </w:rPr>
              <w:t>Physical Plant - 603 N. Porter</w:t>
            </w:r>
          </w:p>
        </w:tc>
        <w:tc>
          <w:tcPr>
            <w:tcW w:w="2240" w:type="dxa"/>
            <w:tcBorders>
              <w:top w:val="nil"/>
              <w:left w:val="nil"/>
              <w:bottom w:val="single" w:sz="4" w:space="0" w:color="auto"/>
              <w:right w:val="single" w:sz="4" w:space="0" w:color="auto"/>
            </w:tcBorders>
            <w:shd w:val="clear" w:color="auto" w:fill="auto"/>
            <w:noWrap/>
            <w:vAlign w:val="bottom"/>
            <w:hideMark/>
          </w:tcPr>
          <w:p w14:paraId="3197B60F" w14:textId="77777777" w:rsidR="009F2F72" w:rsidRPr="00760EB2" w:rsidRDefault="009F2F72" w:rsidP="009F2F72">
            <w:pPr>
              <w:jc w:val="center"/>
              <w:rPr>
                <w:rFonts w:ascii="Calibri" w:hAnsi="Calibri"/>
                <w:sz w:val="14"/>
                <w:szCs w:val="14"/>
              </w:rPr>
            </w:pPr>
            <w:r w:rsidRPr="00760EB2">
              <w:rPr>
                <w:rFonts w:ascii="Calibri" w:hAnsi="Calibri"/>
                <w:sz w:val="14"/>
                <w:szCs w:val="14"/>
              </w:rPr>
              <w:t>30</w:t>
            </w:r>
          </w:p>
        </w:tc>
        <w:tc>
          <w:tcPr>
            <w:tcW w:w="2600" w:type="dxa"/>
            <w:tcBorders>
              <w:top w:val="nil"/>
              <w:left w:val="nil"/>
              <w:bottom w:val="single" w:sz="4" w:space="0" w:color="auto"/>
              <w:right w:val="single" w:sz="4" w:space="0" w:color="auto"/>
            </w:tcBorders>
            <w:shd w:val="clear" w:color="auto" w:fill="auto"/>
            <w:noWrap/>
            <w:vAlign w:val="bottom"/>
            <w:hideMark/>
          </w:tcPr>
          <w:p w14:paraId="24301C17" w14:textId="77777777" w:rsidR="009F2F72" w:rsidRPr="00760EB2" w:rsidRDefault="009F2F72" w:rsidP="009F2F72">
            <w:pPr>
              <w:jc w:val="center"/>
              <w:rPr>
                <w:rFonts w:ascii="Calibri" w:hAnsi="Calibri"/>
                <w:sz w:val="14"/>
                <w:szCs w:val="14"/>
              </w:rPr>
            </w:pPr>
            <w:r w:rsidRPr="00760EB2">
              <w:rPr>
                <w:rFonts w:ascii="Calibri" w:hAnsi="Calibri"/>
                <w:sz w:val="14"/>
                <w:szCs w:val="14"/>
              </w:rPr>
              <w:t>1*</w:t>
            </w:r>
          </w:p>
        </w:tc>
        <w:tc>
          <w:tcPr>
            <w:tcW w:w="2040" w:type="dxa"/>
            <w:tcBorders>
              <w:top w:val="nil"/>
              <w:left w:val="nil"/>
              <w:bottom w:val="single" w:sz="4" w:space="0" w:color="auto"/>
              <w:right w:val="single" w:sz="4" w:space="0" w:color="auto"/>
            </w:tcBorders>
            <w:shd w:val="clear" w:color="auto" w:fill="auto"/>
            <w:noWrap/>
            <w:vAlign w:val="bottom"/>
            <w:hideMark/>
          </w:tcPr>
          <w:p w14:paraId="64B2727F" w14:textId="77777777" w:rsidR="009F2F72" w:rsidRPr="00760EB2" w:rsidRDefault="009F2F72" w:rsidP="009F2F72">
            <w:pPr>
              <w:jc w:val="center"/>
              <w:rPr>
                <w:rFonts w:ascii="Calibri" w:hAnsi="Calibri"/>
                <w:sz w:val="14"/>
                <w:szCs w:val="14"/>
              </w:rPr>
            </w:pPr>
            <w:r w:rsidRPr="00760EB2">
              <w:rPr>
                <w:rFonts w:ascii="Calibri" w:hAnsi="Calibri"/>
                <w:sz w:val="14"/>
                <w:szCs w:val="14"/>
              </w:rPr>
              <w:t>52</w:t>
            </w:r>
          </w:p>
        </w:tc>
      </w:tr>
      <w:tr w:rsidR="009F2F72" w:rsidRPr="00760EB2" w14:paraId="42BA598A" w14:textId="77777777" w:rsidTr="009F2F7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3186672" w14:textId="77777777" w:rsidR="009F2F72" w:rsidRPr="00760EB2" w:rsidRDefault="009F2F72" w:rsidP="009F2F72">
            <w:pPr>
              <w:rPr>
                <w:rFonts w:ascii="Calibri" w:hAnsi="Calibri"/>
                <w:sz w:val="14"/>
                <w:szCs w:val="14"/>
              </w:rPr>
            </w:pPr>
            <w:r w:rsidRPr="00760EB2">
              <w:rPr>
                <w:rFonts w:ascii="Calibri" w:hAnsi="Calibri"/>
                <w:sz w:val="14"/>
                <w:szCs w:val="14"/>
              </w:rPr>
              <w:t>Physical Plant - 603 N. Porter *Compactor*</w:t>
            </w:r>
          </w:p>
        </w:tc>
        <w:tc>
          <w:tcPr>
            <w:tcW w:w="2240" w:type="dxa"/>
            <w:tcBorders>
              <w:top w:val="nil"/>
              <w:left w:val="nil"/>
              <w:bottom w:val="single" w:sz="4" w:space="0" w:color="auto"/>
              <w:right w:val="single" w:sz="4" w:space="0" w:color="auto"/>
            </w:tcBorders>
            <w:shd w:val="clear" w:color="auto" w:fill="auto"/>
            <w:noWrap/>
            <w:vAlign w:val="bottom"/>
            <w:hideMark/>
          </w:tcPr>
          <w:p w14:paraId="2A1ED52B" w14:textId="77777777" w:rsidR="009F2F72" w:rsidRPr="00760EB2" w:rsidRDefault="009F2F72" w:rsidP="009F2F72">
            <w:pPr>
              <w:jc w:val="center"/>
              <w:rPr>
                <w:rFonts w:ascii="Calibri" w:hAnsi="Calibri"/>
                <w:sz w:val="14"/>
                <w:szCs w:val="14"/>
              </w:rPr>
            </w:pPr>
            <w:r w:rsidRPr="00760EB2">
              <w:rPr>
                <w:rFonts w:ascii="Calibri" w:hAnsi="Calibri"/>
                <w:sz w:val="14"/>
                <w:szCs w:val="14"/>
              </w:rPr>
              <w:t>30</w:t>
            </w:r>
          </w:p>
        </w:tc>
        <w:tc>
          <w:tcPr>
            <w:tcW w:w="2600" w:type="dxa"/>
            <w:tcBorders>
              <w:top w:val="nil"/>
              <w:left w:val="nil"/>
              <w:bottom w:val="single" w:sz="4" w:space="0" w:color="auto"/>
              <w:right w:val="single" w:sz="4" w:space="0" w:color="auto"/>
            </w:tcBorders>
            <w:shd w:val="clear" w:color="auto" w:fill="auto"/>
            <w:noWrap/>
            <w:vAlign w:val="bottom"/>
            <w:hideMark/>
          </w:tcPr>
          <w:p w14:paraId="7BE49D79" w14:textId="77777777" w:rsidR="009F2F72" w:rsidRPr="00760EB2" w:rsidRDefault="009F2F72" w:rsidP="009F2F72">
            <w:pPr>
              <w:jc w:val="center"/>
              <w:rPr>
                <w:rFonts w:ascii="Calibri" w:hAnsi="Calibri"/>
                <w:sz w:val="14"/>
                <w:szCs w:val="14"/>
              </w:rPr>
            </w:pPr>
            <w:r w:rsidRPr="00760EB2">
              <w:rPr>
                <w:rFonts w:ascii="Calibri" w:hAnsi="Calibri"/>
                <w:sz w:val="14"/>
                <w:szCs w:val="14"/>
              </w:rPr>
              <w:t>1*</w:t>
            </w:r>
          </w:p>
        </w:tc>
        <w:tc>
          <w:tcPr>
            <w:tcW w:w="2040" w:type="dxa"/>
            <w:tcBorders>
              <w:top w:val="nil"/>
              <w:left w:val="nil"/>
              <w:bottom w:val="single" w:sz="4" w:space="0" w:color="auto"/>
              <w:right w:val="single" w:sz="4" w:space="0" w:color="auto"/>
            </w:tcBorders>
            <w:shd w:val="clear" w:color="auto" w:fill="auto"/>
            <w:noWrap/>
            <w:vAlign w:val="bottom"/>
            <w:hideMark/>
          </w:tcPr>
          <w:p w14:paraId="0C7A1668" w14:textId="77777777" w:rsidR="009F2F72" w:rsidRPr="00760EB2" w:rsidRDefault="009F2F72" w:rsidP="009F2F72">
            <w:pPr>
              <w:jc w:val="center"/>
              <w:rPr>
                <w:rFonts w:ascii="Calibri" w:hAnsi="Calibri"/>
                <w:sz w:val="14"/>
                <w:szCs w:val="14"/>
              </w:rPr>
            </w:pPr>
            <w:r w:rsidRPr="00760EB2">
              <w:rPr>
                <w:rFonts w:ascii="Calibri" w:hAnsi="Calibri"/>
                <w:sz w:val="14"/>
                <w:szCs w:val="14"/>
              </w:rPr>
              <w:t>52</w:t>
            </w:r>
          </w:p>
        </w:tc>
      </w:tr>
      <w:tr w:rsidR="009F2F72" w:rsidRPr="00760EB2" w14:paraId="25EAA294" w14:textId="77777777" w:rsidTr="009F2F7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209E119" w14:textId="77777777" w:rsidR="009F2F72" w:rsidRPr="00760EB2" w:rsidRDefault="009F2F72" w:rsidP="009F2F72">
            <w:pPr>
              <w:rPr>
                <w:rFonts w:ascii="Calibri" w:hAnsi="Calibri"/>
                <w:sz w:val="14"/>
                <w:szCs w:val="14"/>
              </w:rPr>
            </w:pPr>
            <w:r w:rsidRPr="00760EB2">
              <w:rPr>
                <w:rFonts w:ascii="Calibri" w:hAnsi="Calibri"/>
                <w:sz w:val="14"/>
                <w:szCs w:val="14"/>
              </w:rPr>
              <w:t>WCC - 1301 E. Brockett</w:t>
            </w:r>
          </w:p>
        </w:tc>
        <w:tc>
          <w:tcPr>
            <w:tcW w:w="2240" w:type="dxa"/>
            <w:tcBorders>
              <w:top w:val="nil"/>
              <w:left w:val="nil"/>
              <w:bottom w:val="single" w:sz="4" w:space="0" w:color="auto"/>
              <w:right w:val="single" w:sz="4" w:space="0" w:color="auto"/>
            </w:tcBorders>
            <w:shd w:val="clear" w:color="auto" w:fill="auto"/>
            <w:noWrap/>
            <w:vAlign w:val="bottom"/>
            <w:hideMark/>
          </w:tcPr>
          <w:p w14:paraId="500D2704" w14:textId="77777777" w:rsidR="009F2F72" w:rsidRPr="00760EB2" w:rsidRDefault="009F2F72" w:rsidP="009F2F72">
            <w:pPr>
              <w:jc w:val="center"/>
              <w:rPr>
                <w:rFonts w:ascii="Calibri" w:hAnsi="Calibri"/>
                <w:sz w:val="14"/>
                <w:szCs w:val="14"/>
              </w:rPr>
            </w:pPr>
            <w:r w:rsidRPr="00760EB2">
              <w:rPr>
                <w:rFonts w:ascii="Calibri" w:hAnsi="Calibri"/>
                <w:sz w:val="14"/>
                <w:szCs w:val="14"/>
              </w:rPr>
              <w:t>4</w:t>
            </w:r>
          </w:p>
        </w:tc>
        <w:tc>
          <w:tcPr>
            <w:tcW w:w="2600" w:type="dxa"/>
            <w:tcBorders>
              <w:top w:val="nil"/>
              <w:left w:val="nil"/>
              <w:bottom w:val="single" w:sz="4" w:space="0" w:color="auto"/>
              <w:right w:val="single" w:sz="4" w:space="0" w:color="auto"/>
            </w:tcBorders>
            <w:shd w:val="clear" w:color="auto" w:fill="auto"/>
            <w:noWrap/>
            <w:vAlign w:val="bottom"/>
            <w:hideMark/>
          </w:tcPr>
          <w:p w14:paraId="239EA15E" w14:textId="77777777" w:rsidR="009F2F72" w:rsidRPr="00760EB2" w:rsidRDefault="009F2F72" w:rsidP="009F2F72">
            <w:pPr>
              <w:jc w:val="center"/>
              <w:rPr>
                <w:rFonts w:ascii="Calibri" w:hAnsi="Calibri"/>
                <w:sz w:val="14"/>
                <w:szCs w:val="14"/>
              </w:rPr>
            </w:pPr>
            <w:r w:rsidRPr="00760EB2">
              <w:rPr>
                <w:rFonts w:ascii="Calibri" w:hAnsi="Calibri"/>
                <w:sz w:val="14"/>
                <w:szCs w:val="14"/>
              </w:rPr>
              <w:t>6</w:t>
            </w:r>
          </w:p>
        </w:tc>
        <w:tc>
          <w:tcPr>
            <w:tcW w:w="2040" w:type="dxa"/>
            <w:tcBorders>
              <w:top w:val="nil"/>
              <w:left w:val="nil"/>
              <w:bottom w:val="single" w:sz="4" w:space="0" w:color="auto"/>
              <w:right w:val="single" w:sz="4" w:space="0" w:color="auto"/>
            </w:tcBorders>
            <w:shd w:val="clear" w:color="auto" w:fill="auto"/>
            <w:noWrap/>
            <w:vAlign w:val="bottom"/>
            <w:hideMark/>
          </w:tcPr>
          <w:p w14:paraId="17A1669F" w14:textId="77777777" w:rsidR="009F2F72" w:rsidRPr="00760EB2" w:rsidRDefault="009F2F72" w:rsidP="009F2F72">
            <w:pPr>
              <w:jc w:val="center"/>
              <w:rPr>
                <w:rFonts w:ascii="Calibri" w:hAnsi="Calibri"/>
                <w:sz w:val="14"/>
                <w:szCs w:val="14"/>
              </w:rPr>
            </w:pPr>
            <w:r w:rsidRPr="00760EB2">
              <w:rPr>
                <w:rFonts w:ascii="Calibri" w:hAnsi="Calibri"/>
                <w:sz w:val="14"/>
                <w:szCs w:val="14"/>
              </w:rPr>
              <w:t>312</w:t>
            </w:r>
          </w:p>
        </w:tc>
      </w:tr>
      <w:tr w:rsidR="009F2F72" w:rsidRPr="00760EB2" w14:paraId="00B186D3" w14:textId="77777777" w:rsidTr="009F2F7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56BBFD0" w14:textId="77777777" w:rsidR="009F2F72" w:rsidRPr="00760EB2" w:rsidRDefault="009F2F72" w:rsidP="009F2F72">
            <w:pPr>
              <w:rPr>
                <w:rFonts w:ascii="Calibri" w:hAnsi="Calibri"/>
                <w:sz w:val="14"/>
                <w:szCs w:val="14"/>
              </w:rPr>
            </w:pPr>
            <w:r w:rsidRPr="00760EB2">
              <w:rPr>
                <w:rFonts w:ascii="Calibri" w:hAnsi="Calibri"/>
                <w:sz w:val="14"/>
                <w:szCs w:val="14"/>
              </w:rPr>
              <w:t>WCC - 1301 E. Brockett</w:t>
            </w:r>
          </w:p>
        </w:tc>
        <w:tc>
          <w:tcPr>
            <w:tcW w:w="2240" w:type="dxa"/>
            <w:tcBorders>
              <w:top w:val="nil"/>
              <w:left w:val="nil"/>
              <w:bottom w:val="single" w:sz="4" w:space="0" w:color="auto"/>
              <w:right w:val="single" w:sz="4" w:space="0" w:color="auto"/>
            </w:tcBorders>
            <w:shd w:val="clear" w:color="auto" w:fill="auto"/>
            <w:noWrap/>
            <w:vAlign w:val="bottom"/>
            <w:hideMark/>
          </w:tcPr>
          <w:p w14:paraId="01AA634F" w14:textId="77777777" w:rsidR="009F2F72" w:rsidRPr="00760EB2" w:rsidRDefault="009F2F72" w:rsidP="009F2F72">
            <w:pPr>
              <w:jc w:val="center"/>
              <w:rPr>
                <w:rFonts w:ascii="Calibri" w:hAnsi="Calibri"/>
                <w:sz w:val="14"/>
                <w:szCs w:val="14"/>
              </w:rPr>
            </w:pPr>
            <w:r w:rsidRPr="00760EB2">
              <w:rPr>
                <w:rFonts w:ascii="Calibri" w:hAnsi="Calibri"/>
                <w:sz w:val="14"/>
                <w:szCs w:val="14"/>
              </w:rPr>
              <w:t>4</w:t>
            </w:r>
          </w:p>
        </w:tc>
        <w:tc>
          <w:tcPr>
            <w:tcW w:w="2600" w:type="dxa"/>
            <w:tcBorders>
              <w:top w:val="nil"/>
              <w:left w:val="nil"/>
              <w:bottom w:val="single" w:sz="4" w:space="0" w:color="auto"/>
              <w:right w:val="single" w:sz="4" w:space="0" w:color="auto"/>
            </w:tcBorders>
            <w:shd w:val="clear" w:color="auto" w:fill="auto"/>
            <w:noWrap/>
            <w:vAlign w:val="bottom"/>
            <w:hideMark/>
          </w:tcPr>
          <w:p w14:paraId="00B091E3" w14:textId="77777777" w:rsidR="009F2F72" w:rsidRPr="00760EB2" w:rsidRDefault="009F2F72" w:rsidP="009F2F72">
            <w:pPr>
              <w:jc w:val="center"/>
              <w:rPr>
                <w:rFonts w:ascii="Calibri" w:hAnsi="Calibri"/>
                <w:sz w:val="14"/>
                <w:szCs w:val="14"/>
              </w:rPr>
            </w:pPr>
            <w:r w:rsidRPr="00760EB2">
              <w:rPr>
                <w:rFonts w:ascii="Calibri" w:hAnsi="Calibri"/>
                <w:sz w:val="14"/>
                <w:szCs w:val="14"/>
              </w:rPr>
              <w:t>6</w:t>
            </w:r>
          </w:p>
        </w:tc>
        <w:tc>
          <w:tcPr>
            <w:tcW w:w="2040" w:type="dxa"/>
            <w:tcBorders>
              <w:top w:val="nil"/>
              <w:left w:val="nil"/>
              <w:bottom w:val="single" w:sz="4" w:space="0" w:color="auto"/>
              <w:right w:val="single" w:sz="4" w:space="0" w:color="auto"/>
            </w:tcBorders>
            <w:shd w:val="clear" w:color="auto" w:fill="auto"/>
            <w:noWrap/>
            <w:vAlign w:val="bottom"/>
            <w:hideMark/>
          </w:tcPr>
          <w:p w14:paraId="10D9702F" w14:textId="77777777" w:rsidR="009F2F72" w:rsidRPr="00760EB2" w:rsidRDefault="009F2F72" w:rsidP="009F2F72">
            <w:pPr>
              <w:jc w:val="center"/>
              <w:rPr>
                <w:rFonts w:ascii="Calibri" w:hAnsi="Calibri"/>
                <w:sz w:val="14"/>
                <w:szCs w:val="14"/>
              </w:rPr>
            </w:pPr>
            <w:r w:rsidRPr="00760EB2">
              <w:rPr>
                <w:rFonts w:ascii="Calibri" w:hAnsi="Calibri"/>
                <w:sz w:val="14"/>
                <w:szCs w:val="14"/>
              </w:rPr>
              <w:t>312</w:t>
            </w:r>
          </w:p>
        </w:tc>
      </w:tr>
      <w:tr w:rsidR="009F2F72" w:rsidRPr="00760EB2" w14:paraId="472AF11C" w14:textId="77777777" w:rsidTr="009F2F72">
        <w:trPr>
          <w:trHeight w:val="300"/>
        </w:trPr>
        <w:tc>
          <w:tcPr>
            <w:tcW w:w="2800" w:type="dxa"/>
            <w:tcBorders>
              <w:top w:val="nil"/>
              <w:left w:val="nil"/>
              <w:bottom w:val="nil"/>
              <w:right w:val="nil"/>
            </w:tcBorders>
            <w:shd w:val="clear" w:color="auto" w:fill="auto"/>
            <w:noWrap/>
            <w:vAlign w:val="bottom"/>
            <w:hideMark/>
          </w:tcPr>
          <w:p w14:paraId="358E0581" w14:textId="77777777" w:rsidR="009F2F72" w:rsidRPr="00760EB2" w:rsidRDefault="009F2F72" w:rsidP="009F2F72">
            <w:pPr>
              <w:rPr>
                <w:rFonts w:ascii="Calibri" w:hAnsi="Calibri"/>
                <w:sz w:val="14"/>
                <w:szCs w:val="14"/>
              </w:rPr>
            </w:pPr>
          </w:p>
        </w:tc>
        <w:tc>
          <w:tcPr>
            <w:tcW w:w="2240" w:type="dxa"/>
            <w:tcBorders>
              <w:top w:val="nil"/>
              <w:left w:val="nil"/>
              <w:bottom w:val="nil"/>
              <w:right w:val="nil"/>
            </w:tcBorders>
            <w:shd w:val="clear" w:color="auto" w:fill="auto"/>
            <w:noWrap/>
            <w:vAlign w:val="bottom"/>
            <w:hideMark/>
          </w:tcPr>
          <w:p w14:paraId="24760262" w14:textId="77777777" w:rsidR="009F2F72" w:rsidRPr="00760EB2" w:rsidRDefault="009F2F72" w:rsidP="009F2F72">
            <w:pPr>
              <w:rPr>
                <w:rFonts w:ascii="Calibri" w:hAnsi="Calibri"/>
                <w:sz w:val="14"/>
                <w:szCs w:val="14"/>
              </w:rPr>
            </w:pPr>
          </w:p>
        </w:tc>
        <w:tc>
          <w:tcPr>
            <w:tcW w:w="2600" w:type="dxa"/>
            <w:tcBorders>
              <w:top w:val="nil"/>
              <w:left w:val="nil"/>
              <w:bottom w:val="nil"/>
              <w:right w:val="nil"/>
            </w:tcBorders>
            <w:shd w:val="clear" w:color="auto" w:fill="auto"/>
            <w:noWrap/>
            <w:vAlign w:val="bottom"/>
            <w:hideMark/>
          </w:tcPr>
          <w:p w14:paraId="5E463CEC" w14:textId="77777777" w:rsidR="009F2F72" w:rsidRPr="00760EB2" w:rsidRDefault="009F2F72" w:rsidP="009F2F72">
            <w:pPr>
              <w:jc w:val="center"/>
              <w:rPr>
                <w:rFonts w:ascii="Calibri" w:hAnsi="Calibri"/>
                <w:sz w:val="14"/>
                <w:szCs w:val="14"/>
              </w:rPr>
            </w:pPr>
          </w:p>
        </w:tc>
        <w:tc>
          <w:tcPr>
            <w:tcW w:w="2040" w:type="dxa"/>
            <w:tcBorders>
              <w:top w:val="nil"/>
              <w:left w:val="nil"/>
              <w:bottom w:val="nil"/>
              <w:right w:val="nil"/>
            </w:tcBorders>
            <w:shd w:val="clear" w:color="auto" w:fill="auto"/>
            <w:noWrap/>
            <w:vAlign w:val="bottom"/>
            <w:hideMark/>
          </w:tcPr>
          <w:p w14:paraId="479C02F9" w14:textId="77777777" w:rsidR="009F2F72" w:rsidRPr="00760EB2" w:rsidRDefault="009F2F72" w:rsidP="009F2F72">
            <w:pPr>
              <w:rPr>
                <w:rFonts w:ascii="Calibri" w:hAnsi="Calibri"/>
                <w:sz w:val="14"/>
                <w:szCs w:val="14"/>
              </w:rPr>
            </w:pPr>
          </w:p>
        </w:tc>
      </w:tr>
      <w:tr w:rsidR="009F2F72" w:rsidRPr="00760EB2" w14:paraId="13AFD05E" w14:textId="77777777" w:rsidTr="009F2F72">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0932A" w14:textId="77777777" w:rsidR="009F2F72" w:rsidRPr="00760EB2" w:rsidRDefault="009F2F72" w:rsidP="009F2F72">
            <w:pPr>
              <w:jc w:val="center"/>
              <w:rPr>
                <w:rFonts w:ascii="Calibri" w:hAnsi="Calibri"/>
                <w:b/>
                <w:bCs/>
                <w:sz w:val="14"/>
                <w:szCs w:val="14"/>
              </w:rPr>
            </w:pPr>
            <w:r w:rsidRPr="00760EB2">
              <w:rPr>
                <w:rFonts w:ascii="Calibri" w:hAnsi="Calibri"/>
                <w:b/>
                <w:bCs/>
                <w:sz w:val="14"/>
                <w:szCs w:val="14"/>
              </w:rPr>
              <w:t>Containers of Landfill-Bound Waste</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5ACAA3D9" w14:textId="77777777" w:rsidR="009F2F72" w:rsidRPr="00760EB2" w:rsidRDefault="009F2F72" w:rsidP="009F2F72">
            <w:pPr>
              <w:jc w:val="center"/>
              <w:rPr>
                <w:rFonts w:ascii="Calibri" w:hAnsi="Calibri"/>
                <w:b/>
                <w:bCs/>
                <w:sz w:val="14"/>
                <w:szCs w:val="14"/>
              </w:rPr>
            </w:pPr>
            <w:r w:rsidRPr="00760EB2">
              <w:rPr>
                <w:rFonts w:ascii="Calibri" w:hAnsi="Calibri"/>
                <w:b/>
                <w:bCs/>
                <w:sz w:val="14"/>
                <w:szCs w:val="14"/>
              </w:rPr>
              <w:t>Cubic Yards / Year</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2AFCA3C2" w14:textId="77777777" w:rsidR="009F2F72" w:rsidRPr="00760EB2" w:rsidRDefault="009F2F72" w:rsidP="009F2F72">
            <w:pPr>
              <w:jc w:val="center"/>
              <w:rPr>
                <w:rFonts w:ascii="Calibri" w:hAnsi="Calibri"/>
                <w:b/>
                <w:bCs/>
                <w:sz w:val="14"/>
                <w:szCs w:val="14"/>
              </w:rPr>
            </w:pPr>
            <w:r w:rsidRPr="00760EB2">
              <w:rPr>
                <w:rFonts w:ascii="Calibri" w:hAnsi="Calibri"/>
                <w:b/>
                <w:bCs/>
                <w:sz w:val="14"/>
                <w:szCs w:val="14"/>
              </w:rPr>
              <w:t>Conversion Factors*</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392320D8" w14:textId="77777777" w:rsidR="009F2F72" w:rsidRPr="00760EB2" w:rsidRDefault="009F2F72" w:rsidP="009F2F72">
            <w:pPr>
              <w:jc w:val="center"/>
              <w:rPr>
                <w:rFonts w:ascii="Calibri" w:hAnsi="Calibri"/>
                <w:b/>
                <w:bCs/>
                <w:sz w:val="14"/>
                <w:szCs w:val="14"/>
              </w:rPr>
            </w:pPr>
            <w:r w:rsidRPr="00760EB2">
              <w:rPr>
                <w:rFonts w:ascii="Calibri" w:hAnsi="Calibri"/>
                <w:b/>
                <w:bCs/>
                <w:sz w:val="14"/>
                <w:szCs w:val="14"/>
              </w:rPr>
              <w:t>Tons / Year</w:t>
            </w:r>
          </w:p>
        </w:tc>
      </w:tr>
      <w:tr w:rsidR="009F2F72" w:rsidRPr="00760EB2" w14:paraId="545B860F" w14:textId="77777777" w:rsidTr="009F2F7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AD96E14" w14:textId="77777777" w:rsidR="009F2F72" w:rsidRPr="00760EB2" w:rsidRDefault="009F2F72" w:rsidP="009F2F72">
            <w:pPr>
              <w:rPr>
                <w:rFonts w:ascii="Calibri" w:hAnsi="Calibri"/>
                <w:sz w:val="14"/>
                <w:szCs w:val="14"/>
              </w:rPr>
            </w:pPr>
            <w:r w:rsidRPr="00760EB2">
              <w:rPr>
                <w:rFonts w:ascii="Calibri" w:hAnsi="Calibri"/>
                <w:sz w:val="14"/>
                <w:szCs w:val="14"/>
              </w:rPr>
              <w:t>Flats - 916 E. Brockett</w:t>
            </w:r>
          </w:p>
        </w:tc>
        <w:tc>
          <w:tcPr>
            <w:tcW w:w="2240" w:type="dxa"/>
            <w:tcBorders>
              <w:top w:val="nil"/>
              <w:left w:val="nil"/>
              <w:bottom w:val="single" w:sz="4" w:space="0" w:color="auto"/>
              <w:right w:val="single" w:sz="4" w:space="0" w:color="auto"/>
            </w:tcBorders>
            <w:shd w:val="clear" w:color="auto" w:fill="auto"/>
            <w:noWrap/>
            <w:vAlign w:val="bottom"/>
            <w:hideMark/>
          </w:tcPr>
          <w:p w14:paraId="6260DD7D" w14:textId="77777777" w:rsidR="009F2F72" w:rsidRPr="00760EB2" w:rsidRDefault="009F2F72" w:rsidP="009F2F72">
            <w:pPr>
              <w:jc w:val="center"/>
              <w:rPr>
                <w:rFonts w:ascii="Calibri" w:hAnsi="Calibri"/>
                <w:sz w:val="14"/>
                <w:szCs w:val="14"/>
              </w:rPr>
            </w:pPr>
            <w:r w:rsidRPr="00760EB2">
              <w:rPr>
                <w:rFonts w:ascii="Calibri" w:hAnsi="Calibri"/>
                <w:sz w:val="14"/>
                <w:szCs w:val="14"/>
              </w:rPr>
              <w:t>1248</w:t>
            </w:r>
          </w:p>
        </w:tc>
        <w:tc>
          <w:tcPr>
            <w:tcW w:w="2600" w:type="dxa"/>
            <w:tcBorders>
              <w:top w:val="nil"/>
              <w:left w:val="nil"/>
              <w:bottom w:val="single" w:sz="4" w:space="0" w:color="auto"/>
              <w:right w:val="single" w:sz="4" w:space="0" w:color="auto"/>
            </w:tcBorders>
            <w:shd w:val="clear" w:color="auto" w:fill="auto"/>
            <w:noWrap/>
            <w:vAlign w:val="bottom"/>
            <w:hideMark/>
          </w:tcPr>
          <w:p w14:paraId="391DF7A7" w14:textId="77777777" w:rsidR="009F2F72" w:rsidRPr="00760EB2" w:rsidRDefault="009F2F72" w:rsidP="009F2F72">
            <w:pPr>
              <w:jc w:val="center"/>
              <w:rPr>
                <w:rFonts w:ascii="Calibri" w:hAnsi="Calibri"/>
                <w:sz w:val="14"/>
                <w:szCs w:val="14"/>
              </w:rPr>
            </w:pPr>
            <w:r w:rsidRPr="00760EB2">
              <w:rPr>
                <w:rFonts w:ascii="Calibri" w:hAnsi="Calibri"/>
                <w:sz w:val="14"/>
                <w:szCs w:val="14"/>
              </w:rPr>
              <w:t>Uncompacted: 90 Lbs. / CY</w:t>
            </w:r>
          </w:p>
        </w:tc>
        <w:tc>
          <w:tcPr>
            <w:tcW w:w="2040" w:type="dxa"/>
            <w:tcBorders>
              <w:top w:val="nil"/>
              <w:left w:val="nil"/>
              <w:bottom w:val="single" w:sz="4" w:space="0" w:color="auto"/>
              <w:right w:val="single" w:sz="4" w:space="0" w:color="auto"/>
            </w:tcBorders>
            <w:shd w:val="clear" w:color="auto" w:fill="auto"/>
            <w:noWrap/>
            <w:vAlign w:val="bottom"/>
            <w:hideMark/>
          </w:tcPr>
          <w:p w14:paraId="4DB28314" w14:textId="77777777" w:rsidR="009F2F72" w:rsidRPr="00760EB2" w:rsidRDefault="009F2F72" w:rsidP="009F2F72">
            <w:pPr>
              <w:jc w:val="center"/>
              <w:rPr>
                <w:rFonts w:ascii="Calibri" w:hAnsi="Calibri"/>
                <w:sz w:val="14"/>
                <w:szCs w:val="14"/>
              </w:rPr>
            </w:pPr>
            <w:r w:rsidRPr="00760EB2">
              <w:rPr>
                <w:rFonts w:ascii="Calibri" w:hAnsi="Calibri"/>
                <w:sz w:val="14"/>
                <w:szCs w:val="14"/>
              </w:rPr>
              <w:t>56.16</w:t>
            </w:r>
          </w:p>
        </w:tc>
      </w:tr>
      <w:tr w:rsidR="009F2F72" w:rsidRPr="00760EB2" w14:paraId="06BE0576" w14:textId="77777777" w:rsidTr="009F2F7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632C796" w14:textId="77777777" w:rsidR="009F2F72" w:rsidRPr="00760EB2" w:rsidRDefault="009F2F72" w:rsidP="009F2F72">
            <w:pPr>
              <w:rPr>
                <w:rFonts w:ascii="Calibri" w:hAnsi="Calibri"/>
                <w:sz w:val="14"/>
                <w:szCs w:val="14"/>
              </w:rPr>
            </w:pPr>
            <w:r w:rsidRPr="00760EB2">
              <w:rPr>
                <w:rFonts w:ascii="Calibri" w:hAnsi="Calibri"/>
                <w:sz w:val="14"/>
                <w:szCs w:val="14"/>
              </w:rPr>
              <w:t>Bryan Apts. - 1114 E. Brockett</w:t>
            </w:r>
          </w:p>
        </w:tc>
        <w:tc>
          <w:tcPr>
            <w:tcW w:w="2240" w:type="dxa"/>
            <w:tcBorders>
              <w:top w:val="nil"/>
              <w:left w:val="nil"/>
              <w:bottom w:val="single" w:sz="4" w:space="0" w:color="auto"/>
              <w:right w:val="single" w:sz="4" w:space="0" w:color="auto"/>
            </w:tcBorders>
            <w:shd w:val="clear" w:color="auto" w:fill="auto"/>
            <w:noWrap/>
            <w:vAlign w:val="bottom"/>
            <w:hideMark/>
          </w:tcPr>
          <w:p w14:paraId="751FB309" w14:textId="77777777" w:rsidR="009F2F72" w:rsidRPr="00760EB2" w:rsidRDefault="009F2F72" w:rsidP="009F2F72">
            <w:pPr>
              <w:jc w:val="center"/>
              <w:rPr>
                <w:rFonts w:ascii="Calibri" w:hAnsi="Calibri"/>
                <w:sz w:val="14"/>
                <w:szCs w:val="14"/>
              </w:rPr>
            </w:pPr>
            <w:r w:rsidRPr="00760EB2">
              <w:rPr>
                <w:rFonts w:ascii="Calibri" w:hAnsi="Calibri"/>
                <w:sz w:val="14"/>
                <w:szCs w:val="14"/>
              </w:rPr>
              <w:t>936</w:t>
            </w:r>
          </w:p>
        </w:tc>
        <w:tc>
          <w:tcPr>
            <w:tcW w:w="2600" w:type="dxa"/>
            <w:tcBorders>
              <w:top w:val="nil"/>
              <w:left w:val="nil"/>
              <w:bottom w:val="single" w:sz="4" w:space="0" w:color="auto"/>
              <w:right w:val="single" w:sz="4" w:space="0" w:color="auto"/>
            </w:tcBorders>
            <w:shd w:val="clear" w:color="auto" w:fill="auto"/>
            <w:noWrap/>
            <w:vAlign w:val="bottom"/>
            <w:hideMark/>
          </w:tcPr>
          <w:p w14:paraId="5C244F89" w14:textId="77777777" w:rsidR="009F2F72" w:rsidRPr="00760EB2" w:rsidRDefault="009F2F72" w:rsidP="009F2F72">
            <w:pPr>
              <w:jc w:val="center"/>
              <w:rPr>
                <w:rFonts w:ascii="Calibri" w:hAnsi="Calibri"/>
                <w:sz w:val="14"/>
                <w:szCs w:val="14"/>
              </w:rPr>
            </w:pPr>
            <w:r w:rsidRPr="00760EB2">
              <w:rPr>
                <w:rFonts w:ascii="Calibri" w:hAnsi="Calibri"/>
                <w:sz w:val="14"/>
                <w:szCs w:val="14"/>
              </w:rPr>
              <w:t>Uncompacted: 90 Lbs. / CY</w:t>
            </w:r>
          </w:p>
        </w:tc>
        <w:tc>
          <w:tcPr>
            <w:tcW w:w="2040" w:type="dxa"/>
            <w:tcBorders>
              <w:top w:val="nil"/>
              <w:left w:val="nil"/>
              <w:bottom w:val="single" w:sz="4" w:space="0" w:color="auto"/>
              <w:right w:val="single" w:sz="4" w:space="0" w:color="auto"/>
            </w:tcBorders>
            <w:shd w:val="clear" w:color="auto" w:fill="auto"/>
            <w:noWrap/>
            <w:vAlign w:val="bottom"/>
            <w:hideMark/>
          </w:tcPr>
          <w:p w14:paraId="780C30EE" w14:textId="77777777" w:rsidR="009F2F72" w:rsidRPr="00760EB2" w:rsidRDefault="009F2F72" w:rsidP="009F2F72">
            <w:pPr>
              <w:jc w:val="center"/>
              <w:rPr>
                <w:rFonts w:ascii="Calibri" w:hAnsi="Calibri"/>
                <w:sz w:val="14"/>
                <w:szCs w:val="14"/>
              </w:rPr>
            </w:pPr>
            <w:r w:rsidRPr="00760EB2">
              <w:rPr>
                <w:rFonts w:ascii="Calibri" w:hAnsi="Calibri"/>
                <w:sz w:val="14"/>
                <w:szCs w:val="14"/>
              </w:rPr>
              <w:t>42.12</w:t>
            </w:r>
          </w:p>
        </w:tc>
      </w:tr>
      <w:tr w:rsidR="009F2F72" w:rsidRPr="00760EB2" w14:paraId="776F85DD" w14:textId="77777777" w:rsidTr="009F2F7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2E44207" w14:textId="77777777" w:rsidR="009F2F72" w:rsidRPr="00760EB2" w:rsidRDefault="009F2F72" w:rsidP="009F2F72">
            <w:pPr>
              <w:rPr>
                <w:rFonts w:ascii="Calibri" w:hAnsi="Calibri"/>
                <w:sz w:val="14"/>
                <w:szCs w:val="14"/>
              </w:rPr>
            </w:pPr>
            <w:r w:rsidRPr="00760EB2">
              <w:rPr>
                <w:rFonts w:ascii="Calibri" w:hAnsi="Calibri"/>
                <w:sz w:val="14"/>
                <w:szCs w:val="14"/>
              </w:rPr>
              <w:lastRenderedPageBreak/>
              <w:t>Physical Plant - 603 N. Porter</w:t>
            </w:r>
          </w:p>
        </w:tc>
        <w:tc>
          <w:tcPr>
            <w:tcW w:w="2240" w:type="dxa"/>
            <w:tcBorders>
              <w:top w:val="nil"/>
              <w:left w:val="nil"/>
              <w:bottom w:val="single" w:sz="4" w:space="0" w:color="auto"/>
              <w:right w:val="single" w:sz="4" w:space="0" w:color="auto"/>
            </w:tcBorders>
            <w:shd w:val="clear" w:color="auto" w:fill="auto"/>
            <w:noWrap/>
            <w:vAlign w:val="bottom"/>
            <w:hideMark/>
          </w:tcPr>
          <w:p w14:paraId="49C5EF4B" w14:textId="77777777" w:rsidR="009F2F72" w:rsidRPr="00760EB2" w:rsidRDefault="009F2F72" w:rsidP="009F2F72">
            <w:pPr>
              <w:jc w:val="center"/>
              <w:rPr>
                <w:rFonts w:ascii="Calibri" w:hAnsi="Calibri"/>
                <w:sz w:val="14"/>
                <w:szCs w:val="14"/>
              </w:rPr>
            </w:pPr>
            <w:r w:rsidRPr="00760EB2">
              <w:rPr>
                <w:rFonts w:ascii="Calibri" w:hAnsi="Calibri"/>
                <w:sz w:val="14"/>
                <w:szCs w:val="14"/>
              </w:rPr>
              <w:t>1560</w:t>
            </w:r>
          </w:p>
        </w:tc>
        <w:tc>
          <w:tcPr>
            <w:tcW w:w="2600" w:type="dxa"/>
            <w:tcBorders>
              <w:top w:val="nil"/>
              <w:left w:val="nil"/>
              <w:bottom w:val="single" w:sz="4" w:space="0" w:color="auto"/>
              <w:right w:val="single" w:sz="4" w:space="0" w:color="auto"/>
            </w:tcBorders>
            <w:shd w:val="clear" w:color="auto" w:fill="auto"/>
            <w:noWrap/>
            <w:vAlign w:val="bottom"/>
            <w:hideMark/>
          </w:tcPr>
          <w:p w14:paraId="4979E78A" w14:textId="77777777" w:rsidR="009F2F72" w:rsidRPr="00760EB2" w:rsidRDefault="009F2F72" w:rsidP="009F2F72">
            <w:pPr>
              <w:jc w:val="center"/>
              <w:rPr>
                <w:rFonts w:ascii="Calibri" w:hAnsi="Calibri"/>
                <w:sz w:val="14"/>
                <w:szCs w:val="14"/>
              </w:rPr>
            </w:pPr>
            <w:r w:rsidRPr="00760EB2">
              <w:rPr>
                <w:rFonts w:ascii="Calibri" w:hAnsi="Calibri"/>
                <w:sz w:val="14"/>
                <w:szCs w:val="14"/>
              </w:rPr>
              <w:t>Uncompacted: 90 Lbs. / CY</w:t>
            </w:r>
          </w:p>
        </w:tc>
        <w:tc>
          <w:tcPr>
            <w:tcW w:w="2040" w:type="dxa"/>
            <w:tcBorders>
              <w:top w:val="nil"/>
              <w:left w:val="nil"/>
              <w:bottom w:val="single" w:sz="4" w:space="0" w:color="auto"/>
              <w:right w:val="single" w:sz="4" w:space="0" w:color="auto"/>
            </w:tcBorders>
            <w:shd w:val="clear" w:color="auto" w:fill="auto"/>
            <w:noWrap/>
            <w:vAlign w:val="bottom"/>
            <w:hideMark/>
          </w:tcPr>
          <w:p w14:paraId="64B4640F" w14:textId="77777777" w:rsidR="009F2F72" w:rsidRPr="00760EB2" w:rsidRDefault="009F2F72" w:rsidP="009F2F72">
            <w:pPr>
              <w:jc w:val="center"/>
              <w:rPr>
                <w:rFonts w:ascii="Calibri" w:hAnsi="Calibri"/>
                <w:sz w:val="14"/>
                <w:szCs w:val="14"/>
              </w:rPr>
            </w:pPr>
            <w:r w:rsidRPr="00760EB2">
              <w:rPr>
                <w:rFonts w:ascii="Calibri" w:hAnsi="Calibri"/>
                <w:sz w:val="14"/>
                <w:szCs w:val="14"/>
              </w:rPr>
              <w:t>70.20</w:t>
            </w:r>
          </w:p>
        </w:tc>
      </w:tr>
      <w:tr w:rsidR="009F2F72" w:rsidRPr="00760EB2" w14:paraId="1FB0D44F" w14:textId="77777777" w:rsidTr="009F2F7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C6F5724" w14:textId="77777777" w:rsidR="009F2F72" w:rsidRPr="00760EB2" w:rsidRDefault="009F2F72" w:rsidP="009F2F72">
            <w:pPr>
              <w:rPr>
                <w:rFonts w:ascii="Calibri" w:hAnsi="Calibri"/>
                <w:sz w:val="14"/>
                <w:szCs w:val="14"/>
              </w:rPr>
            </w:pPr>
            <w:r w:rsidRPr="00760EB2">
              <w:rPr>
                <w:rFonts w:ascii="Calibri" w:hAnsi="Calibri"/>
                <w:sz w:val="14"/>
                <w:szCs w:val="14"/>
              </w:rPr>
              <w:t>Physical Plant - 603 N. Porter *Compactor*</w:t>
            </w:r>
          </w:p>
        </w:tc>
        <w:tc>
          <w:tcPr>
            <w:tcW w:w="2240" w:type="dxa"/>
            <w:tcBorders>
              <w:top w:val="nil"/>
              <w:left w:val="nil"/>
              <w:bottom w:val="single" w:sz="4" w:space="0" w:color="auto"/>
              <w:right w:val="single" w:sz="4" w:space="0" w:color="auto"/>
            </w:tcBorders>
            <w:shd w:val="clear" w:color="auto" w:fill="auto"/>
            <w:noWrap/>
            <w:vAlign w:val="bottom"/>
            <w:hideMark/>
          </w:tcPr>
          <w:p w14:paraId="266EAA44" w14:textId="77777777" w:rsidR="009F2F72" w:rsidRPr="00760EB2" w:rsidRDefault="009F2F72" w:rsidP="009F2F72">
            <w:pPr>
              <w:jc w:val="center"/>
              <w:rPr>
                <w:rFonts w:ascii="Calibri" w:hAnsi="Calibri"/>
                <w:sz w:val="14"/>
                <w:szCs w:val="14"/>
              </w:rPr>
            </w:pPr>
            <w:r w:rsidRPr="00760EB2">
              <w:rPr>
                <w:rFonts w:ascii="Calibri" w:hAnsi="Calibri"/>
                <w:sz w:val="14"/>
                <w:szCs w:val="14"/>
              </w:rPr>
              <w:t>1560</w:t>
            </w:r>
          </w:p>
        </w:tc>
        <w:tc>
          <w:tcPr>
            <w:tcW w:w="2600" w:type="dxa"/>
            <w:tcBorders>
              <w:top w:val="nil"/>
              <w:left w:val="nil"/>
              <w:bottom w:val="single" w:sz="4" w:space="0" w:color="auto"/>
              <w:right w:val="single" w:sz="4" w:space="0" w:color="auto"/>
            </w:tcBorders>
            <w:shd w:val="clear" w:color="auto" w:fill="auto"/>
            <w:noWrap/>
            <w:vAlign w:val="bottom"/>
            <w:hideMark/>
          </w:tcPr>
          <w:p w14:paraId="7E86B04A" w14:textId="77777777" w:rsidR="009F2F72" w:rsidRPr="00760EB2" w:rsidRDefault="009F2F72" w:rsidP="009F2F72">
            <w:pPr>
              <w:jc w:val="center"/>
              <w:rPr>
                <w:rFonts w:ascii="Calibri" w:hAnsi="Calibri"/>
                <w:sz w:val="14"/>
                <w:szCs w:val="14"/>
              </w:rPr>
            </w:pPr>
            <w:r w:rsidRPr="00760EB2">
              <w:rPr>
                <w:rFonts w:ascii="Calibri" w:hAnsi="Calibri"/>
                <w:sz w:val="14"/>
                <w:szCs w:val="14"/>
              </w:rPr>
              <w:t>Compacted: 300 Lbs. / CY</w:t>
            </w:r>
          </w:p>
        </w:tc>
        <w:tc>
          <w:tcPr>
            <w:tcW w:w="2040" w:type="dxa"/>
            <w:tcBorders>
              <w:top w:val="nil"/>
              <w:left w:val="nil"/>
              <w:bottom w:val="single" w:sz="4" w:space="0" w:color="auto"/>
              <w:right w:val="single" w:sz="4" w:space="0" w:color="auto"/>
            </w:tcBorders>
            <w:shd w:val="clear" w:color="auto" w:fill="auto"/>
            <w:noWrap/>
            <w:vAlign w:val="bottom"/>
            <w:hideMark/>
          </w:tcPr>
          <w:p w14:paraId="102612ED" w14:textId="77777777" w:rsidR="009F2F72" w:rsidRPr="00760EB2" w:rsidRDefault="009F2F72" w:rsidP="009F2F72">
            <w:pPr>
              <w:jc w:val="center"/>
              <w:rPr>
                <w:rFonts w:ascii="Calibri" w:hAnsi="Calibri"/>
                <w:sz w:val="14"/>
                <w:szCs w:val="14"/>
              </w:rPr>
            </w:pPr>
            <w:r w:rsidRPr="00760EB2">
              <w:rPr>
                <w:rFonts w:ascii="Calibri" w:hAnsi="Calibri"/>
                <w:sz w:val="14"/>
                <w:szCs w:val="14"/>
              </w:rPr>
              <w:t>234.00</w:t>
            </w:r>
          </w:p>
        </w:tc>
      </w:tr>
      <w:tr w:rsidR="009F2F72" w:rsidRPr="00760EB2" w14:paraId="1AEE74B5" w14:textId="77777777" w:rsidTr="009F2F7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DCD95BE" w14:textId="77777777" w:rsidR="009F2F72" w:rsidRPr="00760EB2" w:rsidRDefault="009F2F72" w:rsidP="009F2F72">
            <w:pPr>
              <w:rPr>
                <w:rFonts w:ascii="Calibri" w:hAnsi="Calibri"/>
                <w:sz w:val="14"/>
                <w:szCs w:val="14"/>
              </w:rPr>
            </w:pPr>
            <w:r w:rsidRPr="00760EB2">
              <w:rPr>
                <w:rFonts w:ascii="Calibri" w:hAnsi="Calibri"/>
                <w:sz w:val="14"/>
                <w:szCs w:val="14"/>
              </w:rPr>
              <w:t>WCC - 1301 E. Brockett</w:t>
            </w:r>
          </w:p>
        </w:tc>
        <w:tc>
          <w:tcPr>
            <w:tcW w:w="2240" w:type="dxa"/>
            <w:tcBorders>
              <w:top w:val="nil"/>
              <w:left w:val="nil"/>
              <w:bottom w:val="single" w:sz="4" w:space="0" w:color="auto"/>
              <w:right w:val="single" w:sz="4" w:space="0" w:color="auto"/>
            </w:tcBorders>
            <w:shd w:val="clear" w:color="auto" w:fill="auto"/>
            <w:noWrap/>
            <w:vAlign w:val="bottom"/>
            <w:hideMark/>
          </w:tcPr>
          <w:p w14:paraId="32F678F5" w14:textId="77777777" w:rsidR="009F2F72" w:rsidRPr="00760EB2" w:rsidRDefault="009F2F72" w:rsidP="009F2F72">
            <w:pPr>
              <w:jc w:val="center"/>
              <w:rPr>
                <w:rFonts w:ascii="Calibri" w:hAnsi="Calibri"/>
                <w:sz w:val="14"/>
                <w:szCs w:val="14"/>
              </w:rPr>
            </w:pPr>
            <w:r w:rsidRPr="00760EB2">
              <w:rPr>
                <w:rFonts w:ascii="Calibri" w:hAnsi="Calibri"/>
                <w:sz w:val="14"/>
                <w:szCs w:val="14"/>
              </w:rPr>
              <w:t>1248</w:t>
            </w:r>
          </w:p>
        </w:tc>
        <w:tc>
          <w:tcPr>
            <w:tcW w:w="2600" w:type="dxa"/>
            <w:tcBorders>
              <w:top w:val="nil"/>
              <w:left w:val="nil"/>
              <w:bottom w:val="single" w:sz="4" w:space="0" w:color="auto"/>
              <w:right w:val="single" w:sz="4" w:space="0" w:color="auto"/>
            </w:tcBorders>
            <w:shd w:val="clear" w:color="auto" w:fill="auto"/>
            <w:noWrap/>
            <w:vAlign w:val="bottom"/>
            <w:hideMark/>
          </w:tcPr>
          <w:p w14:paraId="348B2E2A" w14:textId="77777777" w:rsidR="009F2F72" w:rsidRPr="00760EB2" w:rsidRDefault="009F2F72" w:rsidP="009F2F72">
            <w:pPr>
              <w:jc w:val="center"/>
              <w:rPr>
                <w:rFonts w:ascii="Calibri" w:hAnsi="Calibri"/>
                <w:sz w:val="14"/>
                <w:szCs w:val="14"/>
              </w:rPr>
            </w:pPr>
            <w:r w:rsidRPr="00760EB2">
              <w:rPr>
                <w:rFonts w:ascii="Calibri" w:hAnsi="Calibri"/>
                <w:sz w:val="14"/>
                <w:szCs w:val="14"/>
              </w:rPr>
              <w:t>Uncompacted: 90 Lbs. / CY</w:t>
            </w:r>
          </w:p>
        </w:tc>
        <w:tc>
          <w:tcPr>
            <w:tcW w:w="2040" w:type="dxa"/>
            <w:tcBorders>
              <w:top w:val="nil"/>
              <w:left w:val="nil"/>
              <w:bottom w:val="single" w:sz="4" w:space="0" w:color="auto"/>
              <w:right w:val="single" w:sz="4" w:space="0" w:color="auto"/>
            </w:tcBorders>
            <w:shd w:val="clear" w:color="auto" w:fill="auto"/>
            <w:noWrap/>
            <w:vAlign w:val="bottom"/>
            <w:hideMark/>
          </w:tcPr>
          <w:p w14:paraId="5A76CEF5" w14:textId="77777777" w:rsidR="009F2F72" w:rsidRPr="00760EB2" w:rsidRDefault="009F2F72" w:rsidP="009F2F72">
            <w:pPr>
              <w:jc w:val="center"/>
              <w:rPr>
                <w:rFonts w:ascii="Calibri" w:hAnsi="Calibri"/>
                <w:sz w:val="14"/>
                <w:szCs w:val="14"/>
              </w:rPr>
            </w:pPr>
            <w:r w:rsidRPr="00760EB2">
              <w:rPr>
                <w:rFonts w:ascii="Calibri" w:hAnsi="Calibri"/>
                <w:sz w:val="14"/>
                <w:szCs w:val="14"/>
              </w:rPr>
              <w:t>56.16</w:t>
            </w:r>
          </w:p>
        </w:tc>
      </w:tr>
      <w:tr w:rsidR="009F2F72" w:rsidRPr="00760EB2" w14:paraId="704E24AA" w14:textId="77777777" w:rsidTr="009F2F7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9000637" w14:textId="77777777" w:rsidR="009F2F72" w:rsidRPr="00760EB2" w:rsidRDefault="009F2F72" w:rsidP="009F2F72">
            <w:pPr>
              <w:rPr>
                <w:rFonts w:ascii="Calibri" w:hAnsi="Calibri"/>
                <w:sz w:val="14"/>
                <w:szCs w:val="14"/>
              </w:rPr>
            </w:pPr>
            <w:r w:rsidRPr="00760EB2">
              <w:rPr>
                <w:rFonts w:ascii="Calibri" w:hAnsi="Calibri"/>
                <w:sz w:val="14"/>
                <w:szCs w:val="14"/>
              </w:rPr>
              <w:t>WCC - 1301 E. Brockett</w:t>
            </w:r>
          </w:p>
        </w:tc>
        <w:tc>
          <w:tcPr>
            <w:tcW w:w="2240" w:type="dxa"/>
            <w:tcBorders>
              <w:top w:val="nil"/>
              <w:left w:val="nil"/>
              <w:bottom w:val="single" w:sz="4" w:space="0" w:color="auto"/>
              <w:right w:val="single" w:sz="4" w:space="0" w:color="auto"/>
            </w:tcBorders>
            <w:shd w:val="clear" w:color="auto" w:fill="auto"/>
            <w:noWrap/>
            <w:vAlign w:val="bottom"/>
            <w:hideMark/>
          </w:tcPr>
          <w:p w14:paraId="20FB4A3E" w14:textId="77777777" w:rsidR="009F2F72" w:rsidRPr="00760EB2" w:rsidRDefault="009F2F72" w:rsidP="009F2F72">
            <w:pPr>
              <w:jc w:val="center"/>
              <w:rPr>
                <w:rFonts w:ascii="Calibri" w:hAnsi="Calibri"/>
                <w:sz w:val="14"/>
                <w:szCs w:val="14"/>
              </w:rPr>
            </w:pPr>
            <w:r w:rsidRPr="00760EB2">
              <w:rPr>
                <w:rFonts w:ascii="Calibri" w:hAnsi="Calibri"/>
                <w:sz w:val="14"/>
                <w:szCs w:val="14"/>
              </w:rPr>
              <w:t>1248</w:t>
            </w:r>
          </w:p>
        </w:tc>
        <w:tc>
          <w:tcPr>
            <w:tcW w:w="2600" w:type="dxa"/>
            <w:tcBorders>
              <w:top w:val="nil"/>
              <w:left w:val="nil"/>
              <w:bottom w:val="single" w:sz="4" w:space="0" w:color="auto"/>
              <w:right w:val="single" w:sz="4" w:space="0" w:color="auto"/>
            </w:tcBorders>
            <w:shd w:val="clear" w:color="auto" w:fill="auto"/>
            <w:noWrap/>
            <w:vAlign w:val="bottom"/>
            <w:hideMark/>
          </w:tcPr>
          <w:p w14:paraId="635BF354" w14:textId="77777777" w:rsidR="009F2F72" w:rsidRPr="00760EB2" w:rsidRDefault="009F2F72" w:rsidP="009F2F72">
            <w:pPr>
              <w:jc w:val="center"/>
              <w:rPr>
                <w:rFonts w:ascii="Calibri" w:hAnsi="Calibri"/>
                <w:sz w:val="14"/>
                <w:szCs w:val="14"/>
              </w:rPr>
            </w:pPr>
            <w:r w:rsidRPr="00760EB2">
              <w:rPr>
                <w:rFonts w:ascii="Calibri" w:hAnsi="Calibri"/>
                <w:sz w:val="14"/>
                <w:szCs w:val="14"/>
              </w:rPr>
              <w:t>Uncompacted: 90 Lbs. / CY</w:t>
            </w:r>
          </w:p>
        </w:tc>
        <w:tc>
          <w:tcPr>
            <w:tcW w:w="2040" w:type="dxa"/>
            <w:tcBorders>
              <w:top w:val="nil"/>
              <w:left w:val="nil"/>
              <w:bottom w:val="single" w:sz="4" w:space="0" w:color="auto"/>
              <w:right w:val="single" w:sz="4" w:space="0" w:color="auto"/>
            </w:tcBorders>
            <w:shd w:val="clear" w:color="auto" w:fill="auto"/>
            <w:noWrap/>
            <w:vAlign w:val="bottom"/>
            <w:hideMark/>
          </w:tcPr>
          <w:p w14:paraId="5992D04E" w14:textId="77777777" w:rsidR="009F2F72" w:rsidRPr="00760EB2" w:rsidRDefault="009F2F72" w:rsidP="009F2F72">
            <w:pPr>
              <w:jc w:val="center"/>
              <w:rPr>
                <w:rFonts w:ascii="Calibri" w:hAnsi="Calibri"/>
                <w:sz w:val="14"/>
                <w:szCs w:val="14"/>
              </w:rPr>
            </w:pPr>
            <w:r w:rsidRPr="00760EB2">
              <w:rPr>
                <w:rFonts w:ascii="Calibri" w:hAnsi="Calibri"/>
                <w:sz w:val="14"/>
                <w:szCs w:val="14"/>
              </w:rPr>
              <w:t>56.16</w:t>
            </w:r>
          </w:p>
        </w:tc>
      </w:tr>
      <w:tr w:rsidR="009F2F72" w:rsidRPr="00760EB2" w14:paraId="08B64030" w14:textId="77777777" w:rsidTr="009F2F72">
        <w:trPr>
          <w:trHeight w:val="300"/>
        </w:trPr>
        <w:tc>
          <w:tcPr>
            <w:tcW w:w="2800" w:type="dxa"/>
            <w:tcBorders>
              <w:top w:val="nil"/>
              <w:left w:val="nil"/>
              <w:bottom w:val="nil"/>
              <w:right w:val="nil"/>
            </w:tcBorders>
            <w:shd w:val="clear" w:color="auto" w:fill="auto"/>
            <w:noWrap/>
            <w:vAlign w:val="bottom"/>
            <w:hideMark/>
          </w:tcPr>
          <w:p w14:paraId="00E16FEB" w14:textId="77777777" w:rsidR="009F2F72" w:rsidRPr="00760EB2" w:rsidRDefault="009F2F72" w:rsidP="009F2F72">
            <w:pPr>
              <w:rPr>
                <w:rFonts w:ascii="Calibri" w:hAnsi="Calibri"/>
                <w:sz w:val="14"/>
                <w:szCs w:val="14"/>
              </w:rPr>
            </w:pPr>
          </w:p>
        </w:tc>
        <w:tc>
          <w:tcPr>
            <w:tcW w:w="2240" w:type="dxa"/>
            <w:tcBorders>
              <w:top w:val="nil"/>
              <w:left w:val="nil"/>
              <w:bottom w:val="nil"/>
              <w:right w:val="nil"/>
            </w:tcBorders>
            <w:shd w:val="clear" w:color="auto" w:fill="auto"/>
            <w:noWrap/>
            <w:vAlign w:val="bottom"/>
            <w:hideMark/>
          </w:tcPr>
          <w:p w14:paraId="638F3C0C" w14:textId="77777777" w:rsidR="009F2F72" w:rsidRPr="00760EB2" w:rsidRDefault="009F2F72" w:rsidP="009F2F72">
            <w:pPr>
              <w:rPr>
                <w:rFonts w:ascii="Calibri" w:hAnsi="Calibri"/>
                <w:sz w:val="14"/>
                <w:szCs w:val="14"/>
              </w:rPr>
            </w:pPr>
          </w:p>
        </w:tc>
        <w:tc>
          <w:tcPr>
            <w:tcW w:w="2600" w:type="dxa"/>
            <w:tcBorders>
              <w:top w:val="nil"/>
              <w:left w:val="nil"/>
              <w:bottom w:val="nil"/>
              <w:right w:val="nil"/>
            </w:tcBorders>
            <w:shd w:val="clear" w:color="auto" w:fill="auto"/>
            <w:noWrap/>
            <w:vAlign w:val="bottom"/>
            <w:hideMark/>
          </w:tcPr>
          <w:p w14:paraId="08FF829D" w14:textId="77777777" w:rsidR="009F2F72" w:rsidRPr="00760EB2" w:rsidRDefault="009F2F72" w:rsidP="009F2F72">
            <w:pPr>
              <w:jc w:val="center"/>
              <w:rPr>
                <w:rFonts w:ascii="Calibri" w:hAnsi="Calibri"/>
                <w:sz w:val="14"/>
                <w:szCs w:val="14"/>
              </w:rPr>
            </w:pPr>
          </w:p>
        </w:tc>
        <w:tc>
          <w:tcPr>
            <w:tcW w:w="2040" w:type="dxa"/>
            <w:tcBorders>
              <w:top w:val="nil"/>
              <w:left w:val="nil"/>
              <w:bottom w:val="nil"/>
              <w:right w:val="nil"/>
            </w:tcBorders>
            <w:shd w:val="clear" w:color="auto" w:fill="auto"/>
            <w:noWrap/>
            <w:vAlign w:val="bottom"/>
            <w:hideMark/>
          </w:tcPr>
          <w:p w14:paraId="4D426F57" w14:textId="77777777" w:rsidR="009F2F72" w:rsidRPr="00760EB2" w:rsidRDefault="009F2F72" w:rsidP="009F2F72">
            <w:pPr>
              <w:jc w:val="center"/>
              <w:rPr>
                <w:rFonts w:ascii="Calibri" w:hAnsi="Calibri"/>
                <w:sz w:val="14"/>
                <w:szCs w:val="14"/>
              </w:rPr>
            </w:pPr>
          </w:p>
        </w:tc>
      </w:tr>
      <w:tr w:rsidR="009F2F72" w:rsidRPr="00760EB2" w14:paraId="75720E61" w14:textId="77777777" w:rsidTr="009F2F72">
        <w:trPr>
          <w:trHeight w:val="300"/>
        </w:trPr>
        <w:tc>
          <w:tcPr>
            <w:tcW w:w="2800" w:type="dxa"/>
            <w:tcBorders>
              <w:top w:val="single" w:sz="4" w:space="0" w:color="auto"/>
              <w:left w:val="single" w:sz="4" w:space="0" w:color="auto"/>
              <w:bottom w:val="nil"/>
              <w:right w:val="single" w:sz="4" w:space="0" w:color="auto"/>
            </w:tcBorders>
            <w:shd w:val="clear" w:color="auto" w:fill="auto"/>
            <w:noWrap/>
            <w:vAlign w:val="bottom"/>
            <w:hideMark/>
          </w:tcPr>
          <w:p w14:paraId="52C93446" w14:textId="77777777" w:rsidR="009F2F72" w:rsidRPr="00760EB2" w:rsidRDefault="009F2F72" w:rsidP="009F2F72">
            <w:pPr>
              <w:jc w:val="center"/>
              <w:rPr>
                <w:rFonts w:ascii="Calibri" w:hAnsi="Calibri"/>
                <w:b/>
                <w:bCs/>
                <w:sz w:val="14"/>
                <w:szCs w:val="14"/>
              </w:rPr>
            </w:pPr>
            <w:r w:rsidRPr="00760EB2">
              <w:rPr>
                <w:rFonts w:ascii="Calibri" w:hAnsi="Calibri"/>
                <w:b/>
                <w:bCs/>
                <w:sz w:val="14"/>
                <w:szCs w:val="14"/>
              </w:rPr>
              <w:t>Notes</w:t>
            </w:r>
          </w:p>
        </w:tc>
        <w:tc>
          <w:tcPr>
            <w:tcW w:w="2240" w:type="dxa"/>
            <w:tcBorders>
              <w:top w:val="nil"/>
              <w:left w:val="nil"/>
              <w:bottom w:val="nil"/>
              <w:right w:val="nil"/>
            </w:tcBorders>
            <w:shd w:val="clear" w:color="auto" w:fill="auto"/>
            <w:noWrap/>
            <w:vAlign w:val="bottom"/>
            <w:hideMark/>
          </w:tcPr>
          <w:p w14:paraId="0BE73C2C" w14:textId="77777777" w:rsidR="009F2F72" w:rsidRPr="00760EB2" w:rsidRDefault="009F2F72" w:rsidP="009F2F72">
            <w:pPr>
              <w:rPr>
                <w:rFonts w:ascii="Calibri" w:hAnsi="Calibri"/>
                <w:sz w:val="14"/>
                <w:szCs w:val="14"/>
              </w:rPr>
            </w:pPr>
          </w:p>
        </w:tc>
        <w:tc>
          <w:tcPr>
            <w:tcW w:w="2600" w:type="dxa"/>
            <w:tcBorders>
              <w:top w:val="single" w:sz="4" w:space="0" w:color="auto"/>
              <w:left w:val="single" w:sz="4" w:space="0" w:color="auto"/>
              <w:bottom w:val="nil"/>
              <w:right w:val="nil"/>
            </w:tcBorders>
            <w:shd w:val="clear" w:color="auto" w:fill="auto"/>
            <w:noWrap/>
            <w:vAlign w:val="bottom"/>
            <w:hideMark/>
          </w:tcPr>
          <w:p w14:paraId="40FC1630" w14:textId="77777777" w:rsidR="009F2F72" w:rsidRPr="00760EB2" w:rsidRDefault="009F2F72" w:rsidP="009F2F72">
            <w:pPr>
              <w:jc w:val="center"/>
              <w:rPr>
                <w:rFonts w:ascii="Calibri" w:hAnsi="Calibri"/>
                <w:b/>
                <w:bCs/>
                <w:sz w:val="14"/>
                <w:szCs w:val="14"/>
              </w:rPr>
            </w:pPr>
            <w:r w:rsidRPr="00760EB2">
              <w:rPr>
                <w:rFonts w:ascii="Calibri" w:hAnsi="Calibri"/>
                <w:b/>
                <w:bCs/>
                <w:sz w:val="14"/>
                <w:szCs w:val="14"/>
              </w:rPr>
              <w:t>Total Estimated Tons MSW / Year</w:t>
            </w:r>
          </w:p>
        </w:tc>
        <w:tc>
          <w:tcPr>
            <w:tcW w:w="2040" w:type="dxa"/>
            <w:tcBorders>
              <w:top w:val="single" w:sz="4" w:space="0" w:color="auto"/>
              <w:left w:val="nil"/>
              <w:bottom w:val="nil"/>
              <w:right w:val="single" w:sz="4" w:space="0" w:color="auto"/>
            </w:tcBorders>
            <w:shd w:val="clear" w:color="auto" w:fill="auto"/>
            <w:noWrap/>
            <w:vAlign w:val="bottom"/>
            <w:hideMark/>
          </w:tcPr>
          <w:p w14:paraId="21EBFDBD" w14:textId="77777777" w:rsidR="009F2F72" w:rsidRPr="00760EB2" w:rsidRDefault="009F2F72" w:rsidP="009F2F72">
            <w:pPr>
              <w:jc w:val="center"/>
              <w:rPr>
                <w:rFonts w:ascii="Calibri" w:hAnsi="Calibri"/>
                <w:b/>
                <w:sz w:val="14"/>
                <w:szCs w:val="14"/>
              </w:rPr>
            </w:pPr>
            <w:r w:rsidRPr="00760EB2">
              <w:rPr>
                <w:rFonts w:ascii="Calibri" w:hAnsi="Calibri"/>
                <w:b/>
                <w:sz w:val="14"/>
                <w:szCs w:val="14"/>
              </w:rPr>
              <w:t>514.80</w:t>
            </w:r>
          </w:p>
        </w:tc>
      </w:tr>
      <w:tr w:rsidR="009F2F72" w:rsidRPr="00760EB2" w14:paraId="221D5899" w14:textId="77777777" w:rsidTr="009F2F72">
        <w:trPr>
          <w:trHeight w:val="300"/>
        </w:trPr>
        <w:tc>
          <w:tcPr>
            <w:tcW w:w="2800" w:type="dxa"/>
            <w:tcBorders>
              <w:top w:val="nil"/>
              <w:left w:val="single" w:sz="4" w:space="0" w:color="auto"/>
              <w:bottom w:val="nil"/>
              <w:right w:val="single" w:sz="4" w:space="0" w:color="auto"/>
            </w:tcBorders>
            <w:shd w:val="clear" w:color="auto" w:fill="auto"/>
            <w:noWrap/>
            <w:vAlign w:val="bottom"/>
            <w:hideMark/>
          </w:tcPr>
          <w:p w14:paraId="339E8D75" w14:textId="77777777" w:rsidR="009F2F72" w:rsidRPr="00760EB2" w:rsidRDefault="009F2F72" w:rsidP="009F2F72">
            <w:pPr>
              <w:jc w:val="center"/>
              <w:rPr>
                <w:rFonts w:ascii="Calibri" w:hAnsi="Calibri"/>
                <w:sz w:val="14"/>
                <w:szCs w:val="14"/>
              </w:rPr>
            </w:pPr>
            <w:r w:rsidRPr="00760EB2">
              <w:rPr>
                <w:rFonts w:ascii="Calibri" w:hAnsi="Calibri"/>
                <w:b/>
                <w:bCs/>
                <w:sz w:val="14"/>
                <w:szCs w:val="14"/>
              </w:rPr>
              <w:t>1*</w:t>
            </w:r>
            <w:r w:rsidRPr="00760EB2">
              <w:rPr>
                <w:rFonts w:ascii="Calibri" w:hAnsi="Calibri"/>
                <w:sz w:val="14"/>
                <w:szCs w:val="14"/>
              </w:rPr>
              <w:t xml:space="preserve"> - Pick-Ups occur "on-call," however,</w:t>
            </w:r>
          </w:p>
        </w:tc>
        <w:tc>
          <w:tcPr>
            <w:tcW w:w="2240" w:type="dxa"/>
            <w:tcBorders>
              <w:top w:val="nil"/>
              <w:left w:val="nil"/>
              <w:bottom w:val="nil"/>
              <w:right w:val="nil"/>
            </w:tcBorders>
            <w:shd w:val="clear" w:color="auto" w:fill="auto"/>
            <w:noWrap/>
            <w:vAlign w:val="bottom"/>
            <w:hideMark/>
          </w:tcPr>
          <w:p w14:paraId="64A5A2D5" w14:textId="77777777" w:rsidR="009F2F72" w:rsidRPr="00760EB2" w:rsidRDefault="009F2F72" w:rsidP="009F2F72">
            <w:pPr>
              <w:rPr>
                <w:rFonts w:ascii="Calibri" w:hAnsi="Calibri"/>
                <w:sz w:val="14"/>
                <w:szCs w:val="14"/>
              </w:rPr>
            </w:pPr>
          </w:p>
        </w:tc>
        <w:tc>
          <w:tcPr>
            <w:tcW w:w="2600" w:type="dxa"/>
            <w:tcBorders>
              <w:top w:val="nil"/>
              <w:left w:val="single" w:sz="4" w:space="0" w:color="auto"/>
              <w:bottom w:val="nil"/>
              <w:right w:val="nil"/>
            </w:tcBorders>
            <w:shd w:val="clear" w:color="auto" w:fill="auto"/>
            <w:noWrap/>
            <w:vAlign w:val="bottom"/>
            <w:hideMark/>
          </w:tcPr>
          <w:p w14:paraId="4164C3B5" w14:textId="77777777" w:rsidR="009F2F72" w:rsidRPr="00760EB2" w:rsidRDefault="009F2F72" w:rsidP="009F2F72">
            <w:pPr>
              <w:jc w:val="center"/>
              <w:rPr>
                <w:rFonts w:ascii="Calibri" w:hAnsi="Calibri"/>
                <w:b/>
                <w:bCs/>
                <w:sz w:val="14"/>
                <w:szCs w:val="14"/>
              </w:rPr>
            </w:pPr>
            <w:r w:rsidRPr="00760EB2">
              <w:rPr>
                <w:rFonts w:ascii="Calibri" w:hAnsi="Calibri"/>
                <w:b/>
                <w:bCs/>
                <w:sz w:val="14"/>
                <w:szCs w:val="14"/>
              </w:rPr>
              <w:t>100 % Full</w:t>
            </w:r>
          </w:p>
        </w:tc>
        <w:tc>
          <w:tcPr>
            <w:tcW w:w="2040" w:type="dxa"/>
            <w:tcBorders>
              <w:top w:val="nil"/>
              <w:left w:val="nil"/>
              <w:bottom w:val="nil"/>
              <w:right w:val="single" w:sz="4" w:space="0" w:color="auto"/>
            </w:tcBorders>
            <w:shd w:val="clear" w:color="auto" w:fill="auto"/>
            <w:noWrap/>
            <w:vAlign w:val="bottom"/>
            <w:hideMark/>
          </w:tcPr>
          <w:p w14:paraId="51B4DA08" w14:textId="77777777" w:rsidR="009F2F72" w:rsidRPr="00760EB2" w:rsidRDefault="009F2F72" w:rsidP="009F2F72">
            <w:pPr>
              <w:jc w:val="center"/>
              <w:rPr>
                <w:rFonts w:ascii="Calibri" w:hAnsi="Calibri"/>
                <w:b/>
                <w:sz w:val="14"/>
                <w:szCs w:val="14"/>
              </w:rPr>
            </w:pPr>
            <w:r w:rsidRPr="00760EB2">
              <w:rPr>
                <w:rFonts w:ascii="Calibri" w:hAnsi="Calibri"/>
                <w:b/>
                <w:sz w:val="14"/>
                <w:szCs w:val="14"/>
              </w:rPr>
              <w:t> </w:t>
            </w:r>
          </w:p>
        </w:tc>
      </w:tr>
      <w:tr w:rsidR="009F2F72" w:rsidRPr="00760EB2" w14:paraId="23257A8E" w14:textId="77777777" w:rsidTr="009F2F72">
        <w:trPr>
          <w:trHeight w:val="300"/>
        </w:trPr>
        <w:tc>
          <w:tcPr>
            <w:tcW w:w="2800" w:type="dxa"/>
            <w:tcBorders>
              <w:top w:val="nil"/>
              <w:left w:val="single" w:sz="4" w:space="0" w:color="auto"/>
              <w:bottom w:val="nil"/>
              <w:right w:val="single" w:sz="4" w:space="0" w:color="auto"/>
            </w:tcBorders>
            <w:shd w:val="clear" w:color="auto" w:fill="auto"/>
            <w:noWrap/>
            <w:vAlign w:val="bottom"/>
            <w:hideMark/>
          </w:tcPr>
          <w:p w14:paraId="5ADCAA71" w14:textId="77777777" w:rsidR="009F2F72" w:rsidRPr="00760EB2" w:rsidRDefault="009F2F72" w:rsidP="009F2F72">
            <w:pPr>
              <w:jc w:val="center"/>
              <w:rPr>
                <w:rFonts w:ascii="Calibri" w:hAnsi="Calibri"/>
                <w:sz w:val="14"/>
                <w:szCs w:val="14"/>
              </w:rPr>
            </w:pPr>
            <w:r w:rsidRPr="00760EB2">
              <w:rPr>
                <w:rFonts w:ascii="Calibri" w:hAnsi="Calibri"/>
                <w:sz w:val="14"/>
                <w:szCs w:val="14"/>
              </w:rPr>
              <w:t>Linda Welch estimated that pick-ups</w:t>
            </w:r>
          </w:p>
        </w:tc>
        <w:tc>
          <w:tcPr>
            <w:tcW w:w="2240" w:type="dxa"/>
            <w:tcBorders>
              <w:top w:val="nil"/>
              <w:left w:val="nil"/>
              <w:bottom w:val="nil"/>
              <w:right w:val="nil"/>
            </w:tcBorders>
            <w:shd w:val="clear" w:color="auto" w:fill="auto"/>
            <w:noWrap/>
            <w:vAlign w:val="bottom"/>
            <w:hideMark/>
          </w:tcPr>
          <w:p w14:paraId="5E83881E" w14:textId="77777777" w:rsidR="009F2F72" w:rsidRPr="00760EB2" w:rsidRDefault="009F2F72" w:rsidP="009F2F72">
            <w:pPr>
              <w:rPr>
                <w:rFonts w:ascii="Calibri" w:hAnsi="Calibri"/>
                <w:sz w:val="14"/>
                <w:szCs w:val="14"/>
              </w:rPr>
            </w:pPr>
          </w:p>
        </w:tc>
        <w:tc>
          <w:tcPr>
            <w:tcW w:w="2600" w:type="dxa"/>
            <w:tcBorders>
              <w:top w:val="nil"/>
              <w:left w:val="single" w:sz="4" w:space="0" w:color="auto"/>
              <w:bottom w:val="nil"/>
              <w:right w:val="nil"/>
            </w:tcBorders>
            <w:shd w:val="clear" w:color="auto" w:fill="auto"/>
            <w:noWrap/>
            <w:vAlign w:val="bottom"/>
            <w:hideMark/>
          </w:tcPr>
          <w:p w14:paraId="7709C348" w14:textId="77777777" w:rsidR="009F2F72" w:rsidRPr="00760EB2" w:rsidRDefault="009F2F72" w:rsidP="009F2F72">
            <w:pPr>
              <w:jc w:val="center"/>
              <w:rPr>
                <w:rFonts w:ascii="Calibri" w:hAnsi="Calibri"/>
                <w:b/>
                <w:bCs/>
                <w:sz w:val="14"/>
                <w:szCs w:val="14"/>
              </w:rPr>
            </w:pPr>
            <w:r w:rsidRPr="00760EB2">
              <w:rPr>
                <w:rFonts w:ascii="Calibri" w:hAnsi="Calibri"/>
                <w:b/>
                <w:bCs/>
                <w:sz w:val="14"/>
                <w:szCs w:val="14"/>
              </w:rPr>
              <w:t>Total Estimated Tons MSW / Year</w:t>
            </w:r>
          </w:p>
        </w:tc>
        <w:tc>
          <w:tcPr>
            <w:tcW w:w="2040" w:type="dxa"/>
            <w:tcBorders>
              <w:top w:val="nil"/>
              <w:left w:val="nil"/>
              <w:bottom w:val="nil"/>
              <w:right w:val="single" w:sz="4" w:space="0" w:color="auto"/>
            </w:tcBorders>
            <w:shd w:val="clear" w:color="auto" w:fill="auto"/>
            <w:noWrap/>
            <w:vAlign w:val="bottom"/>
            <w:hideMark/>
          </w:tcPr>
          <w:p w14:paraId="4C959FEF" w14:textId="77777777" w:rsidR="009F2F72" w:rsidRPr="00760EB2" w:rsidRDefault="009F2F72" w:rsidP="009F2F72">
            <w:pPr>
              <w:jc w:val="center"/>
              <w:rPr>
                <w:rFonts w:ascii="Calibri" w:hAnsi="Calibri"/>
                <w:sz w:val="14"/>
                <w:szCs w:val="14"/>
              </w:rPr>
            </w:pPr>
            <w:r w:rsidRPr="00760EB2">
              <w:rPr>
                <w:rFonts w:ascii="Calibri" w:hAnsi="Calibri"/>
                <w:sz w:val="14"/>
                <w:szCs w:val="14"/>
              </w:rPr>
              <w:t>463.32</w:t>
            </w:r>
          </w:p>
        </w:tc>
      </w:tr>
      <w:tr w:rsidR="009F2F72" w:rsidRPr="00760EB2" w14:paraId="2A12B130" w14:textId="77777777" w:rsidTr="009F2F72">
        <w:trPr>
          <w:trHeight w:val="300"/>
        </w:trPr>
        <w:tc>
          <w:tcPr>
            <w:tcW w:w="2800" w:type="dxa"/>
            <w:tcBorders>
              <w:top w:val="nil"/>
              <w:left w:val="single" w:sz="4" w:space="0" w:color="auto"/>
              <w:bottom w:val="nil"/>
              <w:right w:val="single" w:sz="4" w:space="0" w:color="auto"/>
            </w:tcBorders>
            <w:shd w:val="clear" w:color="auto" w:fill="auto"/>
            <w:noWrap/>
            <w:vAlign w:val="bottom"/>
            <w:hideMark/>
          </w:tcPr>
          <w:p w14:paraId="6FDB4E2F" w14:textId="77777777" w:rsidR="009F2F72" w:rsidRPr="00760EB2" w:rsidRDefault="009F2F72" w:rsidP="009F2F72">
            <w:pPr>
              <w:jc w:val="center"/>
              <w:rPr>
                <w:rFonts w:ascii="Calibri" w:hAnsi="Calibri"/>
                <w:sz w:val="14"/>
                <w:szCs w:val="14"/>
              </w:rPr>
            </w:pPr>
            <w:r w:rsidRPr="00760EB2">
              <w:rPr>
                <w:rFonts w:ascii="Calibri" w:hAnsi="Calibri"/>
                <w:sz w:val="14"/>
                <w:szCs w:val="14"/>
              </w:rPr>
              <w:t>actually occur once per week.</w:t>
            </w:r>
          </w:p>
        </w:tc>
        <w:tc>
          <w:tcPr>
            <w:tcW w:w="2240" w:type="dxa"/>
            <w:tcBorders>
              <w:top w:val="nil"/>
              <w:left w:val="nil"/>
              <w:bottom w:val="nil"/>
              <w:right w:val="nil"/>
            </w:tcBorders>
            <w:shd w:val="clear" w:color="auto" w:fill="auto"/>
            <w:noWrap/>
            <w:vAlign w:val="bottom"/>
            <w:hideMark/>
          </w:tcPr>
          <w:p w14:paraId="4B534E8B" w14:textId="77777777" w:rsidR="009F2F72" w:rsidRPr="00760EB2" w:rsidRDefault="009F2F72" w:rsidP="009F2F72">
            <w:pPr>
              <w:rPr>
                <w:rFonts w:ascii="Calibri" w:hAnsi="Calibri"/>
                <w:sz w:val="14"/>
                <w:szCs w:val="14"/>
              </w:rPr>
            </w:pPr>
          </w:p>
        </w:tc>
        <w:tc>
          <w:tcPr>
            <w:tcW w:w="2600" w:type="dxa"/>
            <w:tcBorders>
              <w:top w:val="nil"/>
              <w:left w:val="single" w:sz="4" w:space="0" w:color="auto"/>
              <w:bottom w:val="nil"/>
              <w:right w:val="nil"/>
            </w:tcBorders>
            <w:shd w:val="clear" w:color="auto" w:fill="auto"/>
            <w:noWrap/>
            <w:vAlign w:val="bottom"/>
            <w:hideMark/>
          </w:tcPr>
          <w:p w14:paraId="55F912DF" w14:textId="77777777" w:rsidR="009F2F72" w:rsidRPr="00760EB2" w:rsidRDefault="009F2F72" w:rsidP="009F2F72">
            <w:pPr>
              <w:jc w:val="center"/>
              <w:rPr>
                <w:rFonts w:ascii="Calibri" w:hAnsi="Calibri"/>
                <w:b/>
                <w:bCs/>
                <w:sz w:val="14"/>
                <w:szCs w:val="14"/>
              </w:rPr>
            </w:pPr>
            <w:r w:rsidRPr="00760EB2">
              <w:rPr>
                <w:rFonts w:ascii="Calibri" w:hAnsi="Calibri"/>
                <w:b/>
                <w:bCs/>
                <w:sz w:val="14"/>
                <w:szCs w:val="14"/>
              </w:rPr>
              <w:t>90 % Full</w:t>
            </w:r>
          </w:p>
        </w:tc>
        <w:tc>
          <w:tcPr>
            <w:tcW w:w="2040" w:type="dxa"/>
            <w:tcBorders>
              <w:top w:val="nil"/>
              <w:left w:val="nil"/>
              <w:bottom w:val="nil"/>
              <w:right w:val="single" w:sz="4" w:space="0" w:color="auto"/>
            </w:tcBorders>
            <w:shd w:val="clear" w:color="auto" w:fill="auto"/>
            <w:noWrap/>
            <w:vAlign w:val="bottom"/>
            <w:hideMark/>
          </w:tcPr>
          <w:p w14:paraId="4F55CFD3" w14:textId="77777777" w:rsidR="009F2F72" w:rsidRPr="00760EB2" w:rsidRDefault="009F2F72" w:rsidP="009F2F72">
            <w:pPr>
              <w:jc w:val="center"/>
              <w:rPr>
                <w:rFonts w:ascii="Calibri" w:hAnsi="Calibri"/>
                <w:sz w:val="14"/>
                <w:szCs w:val="14"/>
              </w:rPr>
            </w:pPr>
            <w:r w:rsidRPr="00760EB2">
              <w:rPr>
                <w:rFonts w:ascii="Calibri" w:hAnsi="Calibri"/>
                <w:sz w:val="14"/>
                <w:szCs w:val="14"/>
              </w:rPr>
              <w:t> </w:t>
            </w:r>
          </w:p>
        </w:tc>
      </w:tr>
      <w:tr w:rsidR="009F2F72" w:rsidRPr="00760EB2" w14:paraId="12951D9F" w14:textId="77777777" w:rsidTr="009F2F72">
        <w:trPr>
          <w:trHeight w:val="300"/>
        </w:trPr>
        <w:tc>
          <w:tcPr>
            <w:tcW w:w="2800" w:type="dxa"/>
            <w:tcBorders>
              <w:top w:val="nil"/>
              <w:left w:val="single" w:sz="4" w:space="0" w:color="auto"/>
              <w:bottom w:val="nil"/>
              <w:right w:val="single" w:sz="4" w:space="0" w:color="auto"/>
            </w:tcBorders>
            <w:shd w:val="clear" w:color="auto" w:fill="auto"/>
            <w:noWrap/>
            <w:vAlign w:val="bottom"/>
            <w:hideMark/>
          </w:tcPr>
          <w:p w14:paraId="2A24489E" w14:textId="77777777" w:rsidR="009F2F72" w:rsidRPr="00760EB2" w:rsidRDefault="009F2F72" w:rsidP="009F2F72">
            <w:pPr>
              <w:jc w:val="center"/>
              <w:rPr>
                <w:rFonts w:ascii="Calibri" w:hAnsi="Calibri"/>
                <w:sz w:val="14"/>
                <w:szCs w:val="14"/>
              </w:rPr>
            </w:pPr>
            <w:r w:rsidRPr="00760EB2">
              <w:rPr>
                <w:rFonts w:ascii="Calibri" w:hAnsi="Calibri"/>
                <w:b/>
                <w:bCs/>
                <w:sz w:val="14"/>
                <w:szCs w:val="14"/>
              </w:rPr>
              <w:t>Conversion Factors*</w:t>
            </w:r>
            <w:r w:rsidRPr="00760EB2">
              <w:rPr>
                <w:rFonts w:ascii="Calibri" w:hAnsi="Calibri"/>
                <w:sz w:val="14"/>
                <w:szCs w:val="14"/>
              </w:rPr>
              <w:t xml:space="preserve"> - These are found in</w:t>
            </w:r>
          </w:p>
        </w:tc>
        <w:tc>
          <w:tcPr>
            <w:tcW w:w="2240" w:type="dxa"/>
            <w:tcBorders>
              <w:top w:val="nil"/>
              <w:left w:val="nil"/>
              <w:bottom w:val="nil"/>
              <w:right w:val="nil"/>
            </w:tcBorders>
            <w:shd w:val="clear" w:color="auto" w:fill="auto"/>
            <w:noWrap/>
            <w:vAlign w:val="bottom"/>
            <w:hideMark/>
          </w:tcPr>
          <w:p w14:paraId="4D02A87E" w14:textId="77777777" w:rsidR="009F2F72" w:rsidRPr="00760EB2" w:rsidRDefault="009F2F72" w:rsidP="009F2F72">
            <w:pPr>
              <w:rPr>
                <w:rFonts w:ascii="Calibri" w:hAnsi="Calibri"/>
                <w:sz w:val="14"/>
                <w:szCs w:val="14"/>
              </w:rPr>
            </w:pPr>
          </w:p>
        </w:tc>
        <w:tc>
          <w:tcPr>
            <w:tcW w:w="2600" w:type="dxa"/>
            <w:tcBorders>
              <w:top w:val="nil"/>
              <w:left w:val="single" w:sz="4" w:space="0" w:color="auto"/>
              <w:bottom w:val="nil"/>
              <w:right w:val="nil"/>
            </w:tcBorders>
            <w:shd w:val="clear" w:color="auto" w:fill="auto"/>
            <w:noWrap/>
            <w:vAlign w:val="bottom"/>
            <w:hideMark/>
          </w:tcPr>
          <w:p w14:paraId="7A06D478" w14:textId="77777777" w:rsidR="009F2F72" w:rsidRPr="00760EB2" w:rsidRDefault="009F2F72" w:rsidP="009F2F72">
            <w:pPr>
              <w:jc w:val="center"/>
              <w:rPr>
                <w:rFonts w:ascii="Calibri" w:hAnsi="Calibri"/>
                <w:b/>
                <w:bCs/>
                <w:sz w:val="14"/>
                <w:szCs w:val="14"/>
              </w:rPr>
            </w:pPr>
            <w:r w:rsidRPr="00760EB2">
              <w:rPr>
                <w:rFonts w:ascii="Calibri" w:hAnsi="Calibri"/>
                <w:b/>
                <w:bCs/>
                <w:sz w:val="14"/>
                <w:szCs w:val="14"/>
              </w:rPr>
              <w:t>Total Estimated Tons MSW / Year</w:t>
            </w:r>
          </w:p>
        </w:tc>
        <w:tc>
          <w:tcPr>
            <w:tcW w:w="2040" w:type="dxa"/>
            <w:tcBorders>
              <w:top w:val="nil"/>
              <w:left w:val="nil"/>
              <w:bottom w:val="nil"/>
              <w:right w:val="single" w:sz="4" w:space="0" w:color="auto"/>
            </w:tcBorders>
            <w:shd w:val="clear" w:color="auto" w:fill="auto"/>
            <w:noWrap/>
            <w:vAlign w:val="bottom"/>
            <w:hideMark/>
          </w:tcPr>
          <w:p w14:paraId="7311F29B" w14:textId="77777777" w:rsidR="009F2F72" w:rsidRPr="00760EB2" w:rsidRDefault="009F2F72" w:rsidP="009F2F72">
            <w:pPr>
              <w:jc w:val="center"/>
              <w:rPr>
                <w:rFonts w:ascii="Calibri" w:hAnsi="Calibri"/>
                <w:sz w:val="14"/>
                <w:szCs w:val="14"/>
              </w:rPr>
            </w:pPr>
            <w:r w:rsidRPr="00760EB2">
              <w:rPr>
                <w:rFonts w:ascii="Calibri" w:hAnsi="Calibri"/>
                <w:sz w:val="14"/>
                <w:szCs w:val="14"/>
              </w:rPr>
              <w:t>411.84</w:t>
            </w:r>
          </w:p>
        </w:tc>
      </w:tr>
      <w:tr w:rsidR="009F2F72" w:rsidRPr="00760EB2" w14:paraId="0AB6960B" w14:textId="77777777" w:rsidTr="009F2F7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D9E133B" w14:textId="77777777" w:rsidR="009F2F72" w:rsidRPr="00760EB2" w:rsidRDefault="009F2F72" w:rsidP="009F2F72">
            <w:pPr>
              <w:jc w:val="center"/>
              <w:rPr>
                <w:rFonts w:ascii="Calibri" w:hAnsi="Calibri"/>
                <w:sz w:val="14"/>
                <w:szCs w:val="14"/>
              </w:rPr>
            </w:pPr>
            <w:r w:rsidRPr="00760EB2">
              <w:rPr>
                <w:rFonts w:ascii="Calibri" w:hAnsi="Calibri"/>
                <w:sz w:val="14"/>
                <w:szCs w:val="14"/>
              </w:rPr>
              <w:t>CURC's Campus Refuse Profile, 1997.</w:t>
            </w:r>
          </w:p>
        </w:tc>
        <w:tc>
          <w:tcPr>
            <w:tcW w:w="2240" w:type="dxa"/>
            <w:tcBorders>
              <w:top w:val="nil"/>
              <w:left w:val="nil"/>
              <w:bottom w:val="nil"/>
              <w:right w:val="nil"/>
            </w:tcBorders>
            <w:shd w:val="clear" w:color="auto" w:fill="auto"/>
            <w:noWrap/>
            <w:vAlign w:val="bottom"/>
            <w:hideMark/>
          </w:tcPr>
          <w:p w14:paraId="3454C0A9" w14:textId="77777777" w:rsidR="009F2F72" w:rsidRPr="00760EB2" w:rsidRDefault="009F2F72" w:rsidP="009F2F72">
            <w:pPr>
              <w:rPr>
                <w:rFonts w:ascii="Calibri" w:hAnsi="Calibri"/>
                <w:sz w:val="14"/>
                <w:szCs w:val="14"/>
              </w:rPr>
            </w:pPr>
          </w:p>
        </w:tc>
        <w:tc>
          <w:tcPr>
            <w:tcW w:w="2600" w:type="dxa"/>
            <w:tcBorders>
              <w:top w:val="nil"/>
              <w:left w:val="single" w:sz="4" w:space="0" w:color="auto"/>
              <w:bottom w:val="single" w:sz="4" w:space="0" w:color="auto"/>
              <w:right w:val="nil"/>
            </w:tcBorders>
            <w:shd w:val="clear" w:color="auto" w:fill="auto"/>
            <w:noWrap/>
            <w:vAlign w:val="bottom"/>
            <w:hideMark/>
          </w:tcPr>
          <w:p w14:paraId="326FE18C" w14:textId="77777777" w:rsidR="009F2F72" w:rsidRPr="00760EB2" w:rsidRDefault="009F2F72" w:rsidP="009F2F72">
            <w:pPr>
              <w:jc w:val="center"/>
              <w:rPr>
                <w:rFonts w:ascii="Calibri" w:hAnsi="Calibri"/>
                <w:b/>
                <w:bCs/>
                <w:sz w:val="14"/>
                <w:szCs w:val="14"/>
              </w:rPr>
            </w:pPr>
            <w:r w:rsidRPr="00760EB2">
              <w:rPr>
                <w:rFonts w:ascii="Calibri" w:hAnsi="Calibri"/>
                <w:b/>
                <w:bCs/>
                <w:sz w:val="14"/>
                <w:szCs w:val="14"/>
              </w:rPr>
              <w:t>80 % Full</w:t>
            </w:r>
          </w:p>
        </w:tc>
        <w:tc>
          <w:tcPr>
            <w:tcW w:w="2040" w:type="dxa"/>
            <w:tcBorders>
              <w:top w:val="nil"/>
              <w:left w:val="nil"/>
              <w:bottom w:val="single" w:sz="4" w:space="0" w:color="auto"/>
              <w:right w:val="single" w:sz="4" w:space="0" w:color="auto"/>
            </w:tcBorders>
            <w:shd w:val="clear" w:color="auto" w:fill="auto"/>
            <w:noWrap/>
            <w:vAlign w:val="bottom"/>
            <w:hideMark/>
          </w:tcPr>
          <w:p w14:paraId="092C7CA6" w14:textId="77777777" w:rsidR="009F2F72" w:rsidRPr="00760EB2" w:rsidRDefault="009F2F72" w:rsidP="009F2F72">
            <w:pPr>
              <w:rPr>
                <w:rFonts w:ascii="Calibri" w:hAnsi="Calibri"/>
                <w:sz w:val="14"/>
                <w:szCs w:val="14"/>
              </w:rPr>
            </w:pPr>
            <w:r w:rsidRPr="00760EB2">
              <w:rPr>
                <w:rFonts w:ascii="Calibri" w:hAnsi="Calibri"/>
                <w:sz w:val="14"/>
                <w:szCs w:val="14"/>
              </w:rPr>
              <w:t> </w:t>
            </w:r>
          </w:p>
        </w:tc>
      </w:tr>
    </w:tbl>
    <w:p w14:paraId="19A6DE25" w14:textId="77777777" w:rsidR="00911326" w:rsidRPr="00D058C6" w:rsidRDefault="00911326" w:rsidP="00911326">
      <w:pPr>
        <w:spacing w:line="480" w:lineRule="auto"/>
        <w:ind w:firstLine="720"/>
        <w:rPr>
          <w:color w:val="0000FF"/>
        </w:rPr>
      </w:pPr>
      <w:r w:rsidRPr="00D058C6">
        <w:rPr>
          <w:color w:val="0000FF"/>
        </w:rPr>
        <w:t xml:space="preserve"> </w:t>
      </w:r>
    </w:p>
    <w:p w14:paraId="31A4E31F" w14:textId="77777777" w:rsidR="0097227C" w:rsidRPr="00760EB2" w:rsidRDefault="0097227C" w:rsidP="00911326">
      <w:pPr>
        <w:spacing w:line="480" w:lineRule="auto"/>
        <w:ind w:firstLine="720"/>
        <w:jc w:val="both"/>
      </w:pPr>
      <w:r w:rsidRPr="00760EB2">
        <w:rPr>
          <w:rFonts w:cs="CourierNewPSMT"/>
          <w:szCs w:val="26"/>
          <w:lang w:bidi="en-US"/>
        </w:rPr>
        <w:t xml:space="preserve">As noted by </w:t>
      </w:r>
      <w:r w:rsidR="00761500" w:rsidRPr="00760EB2">
        <w:rPr>
          <w:rFonts w:cs="CourierNewPSMT"/>
          <w:szCs w:val="26"/>
          <w:lang w:bidi="en-US"/>
        </w:rPr>
        <w:t xml:space="preserve">Jade </w:t>
      </w:r>
      <w:r w:rsidRPr="00760EB2">
        <w:rPr>
          <w:rFonts w:cs="CourierNewPSMT"/>
          <w:szCs w:val="26"/>
          <w:lang w:bidi="en-US"/>
        </w:rPr>
        <w:t>Rutledge</w:t>
      </w:r>
      <w:r w:rsidR="00761500" w:rsidRPr="00760EB2">
        <w:rPr>
          <w:rFonts w:cs="CourierNewPSMT"/>
          <w:szCs w:val="26"/>
          <w:lang w:bidi="en-US"/>
        </w:rPr>
        <w:t xml:space="preserve"> (2009)</w:t>
      </w:r>
      <w:r w:rsidRPr="00760EB2">
        <w:rPr>
          <w:rFonts w:cs="CourierNewPSMT"/>
          <w:szCs w:val="26"/>
          <w:lang w:bidi="en-US"/>
        </w:rPr>
        <w:t>, the methane gas (CH</w:t>
      </w:r>
      <w:r w:rsidRPr="00760EB2">
        <w:rPr>
          <w:rFonts w:cs="CourierNewPSMT"/>
          <w:szCs w:val="26"/>
          <w:vertAlign w:val="subscript"/>
          <w:lang w:bidi="en-US"/>
        </w:rPr>
        <w:t>4</w:t>
      </w:r>
      <w:r w:rsidRPr="00760EB2">
        <w:rPr>
          <w:rFonts w:cs="CourierNewPSMT"/>
          <w:szCs w:val="26"/>
          <w:lang w:bidi="en-US"/>
        </w:rPr>
        <w:t>) associated with landfilled waste from Austin College (and other landfill users) is not recovered at the landfill site.  Thus, the measure of landfilled solid waste is entered into the calculator under the column titled, “No CH</w:t>
      </w:r>
      <w:r w:rsidRPr="00760EB2">
        <w:rPr>
          <w:rFonts w:cs="CourierNewPSMT"/>
          <w:szCs w:val="26"/>
          <w:vertAlign w:val="subscript"/>
          <w:lang w:bidi="en-US"/>
        </w:rPr>
        <w:t xml:space="preserve">4 </w:t>
      </w:r>
      <w:r w:rsidRPr="00760EB2">
        <w:t xml:space="preserve">recovery.”  </w:t>
      </w:r>
    </w:p>
    <w:p w14:paraId="1DA9E026" w14:textId="77777777" w:rsidR="006F331C" w:rsidRPr="00760EB2" w:rsidRDefault="006F331C" w:rsidP="0097227C">
      <w:pPr>
        <w:spacing w:line="480" w:lineRule="auto"/>
        <w:jc w:val="both"/>
        <w:rPr>
          <w:i/>
        </w:rPr>
      </w:pPr>
    </w:p>
    <w:p w14:paraId="1908DB03" w14:textId="77777777" w:rsidR="0097227C" w:rsidRPr="00760EB2" w:rsidRDefault="0097227C" w:rsidP="0097227C">
      <w:pPr>
        <w:spacing w:line="480" w:lineRule="auto"/>
        <w:jc w:val="both"/>
        <w:rPr>
          <w:i/>
        </w:rPr>
      </w:pPr>
      <w:r w:rsidRPr="00760EB2">
        <w:rPr>
          <w:i/>
        </w:rPr>
        <w:t>Wastewater</w:t>
      </w:r>
    </w:p>
    <w:p w14:paraId="4B9069AC" w14:textId="574E6E34" w:rsidR="00D0723B" w:rsidRDefault="00B94F57" w:rsidP="0097227C">
      <w:pPr>
        <w:spacing w:line="480" w:lineRule="auto"/>
        <w:jc w:val="both"/>
      </w:pPr>
      <w:r w:rsidRPr="00610F8C">
        <w:rPr>
          <w:color w:val="7030A0"/>
        </w:rPr>
        <w:tab/>
      </w:r>
      <w:r w:rsidR="00FE6CA3">
        <w:t>David Turk</w:t>
      </w:r>
      <w:r w:rsidR="00D0723B" w:rsidRPr="00945668">
        <w:t xml:space="preserve"> supplied the figures for amount of water use. Note</w:t>
      </w:r>
      <w:r w:rsidR="006B0848" w:rsidRPr="00945668">
        <w:t xml:space="preserve"> </w:t>
      </w:r>
      <w:r w:rsidR="006B0848" w:rsidRPr="00760EB2">
        <w:t>that the</w:t>
      </w:r>
      <w:r w:rsidR="00D0723B">
        <w:t>se</w:t>
      </w:r>
      <w:r w:rsidR="006B0848" w:rsidRPr="00760EB2">
        <w:t xml:space="preserve"> figures differ drastically in comparison with the FY 2012 </w:t>
      </w:r>
      <w:r w:rsidR="00610F8C" w:rsidRPr="00760EB2">
        <w:t xml:space="preserve">data; likely, there was a mistake in the recording of FY 2012 data. </w:t>
      </w:r>
      <w:r w:rsidR="00FE6CA3">
        <w:t>In FY 2016</w:t>
      </w:r>
      <w:r w:rsidRPr="00760EB2">
        <w:t xml:space="preserve">, the College purchased </w:t>
      </w:r>
      <w:r w:rsidR="00FE6CA3" w:rsidRPr="00FE6CA3">
        <w:rPr>
          <w:b/>
          <w:color w:val="00B050"/>
        </w:rPr>
        <w:t xml:space="preserve">32,727,547 gallons </w:t>
      </w:r>
      <w:r w:rsidRPr="00760EB2">
        <w:t xml:space="preserve">for domestic use as well as </w:t>
      </w:r>
      <w:r w:rsidR="00FE6CA3" w:rsidRPr="00FE6CA3">
        <w:rPr>
          <w:b/>
          <w:color w:val="00B050"/>
        </w:rPr>
        <w:t xml:space="preserve">12,448,760 gallons </w:t>
      </w:r>
      <w:r w:rsidRPr="00760EB2">
        <w:t>for irrigation use.</w:t>
      </w:r>
      <w:r w:rsidR="00FE6CA3">
        <w:t xml:space="preserve"> The number of gallons used for domestic use is significantly higher than the figure reported in the FY 2014 report </w:t>
      </w:r>
      <w:r w:rsidR="00FE6CA3" w:rsidRPr="00FE6CA3">
        <w:rPr>
          <w:color w:val="FF0000"/>
        </w:rPr>
        <w:t xml:space="preserve">(insert figure), </w:t>
      </w:r>
      <w:r w:rsidR="00FE6CA3">
        <w:t xml:space="preserve">because there were leaks in the college’s water system in 2016, which led to excess water used. </w:t>
      </w:r>
      <w:r w:rsidRPr="00760EB2">
        <w:t xml:space="preserve">  Since the latter is used on grounds and, </w:t>
      </w:r>
      <w:r w:rsidR="00B51B15">
        <w:t>evaporates, and does not enter the wastewater treatment system</w:t>
      </w:r>
      <w:r w:rsidRPr="00760EB2">
        <w:t xml:space="preserve">, it was not counted as “wastewater” for reporting purposes; only water purchased for domestic use, which ultimately goes to the city treatment facility, was counted as “wastewater” for reporting purposes.   </w:t>
      </w:r>
      <w:r w:rsidR="0097227C" w:rsidRPr="00760EB2">
        <w:t xml:space="preserve">  </w:t>
      </w:r>
    </w:p>
    <w:p w14:paraId="66C3069E" w14:textId="77777777" w:rsidR="00945668" w:rsidRPr="00760EB2" w:rsidRDefault="00945668" w:rsidP="0097227C">
      <w:pPr>
        <w:spacing w:line="480" w:lineRule="auto"/>
        <w:jc w:val="both"/>
        <w:rPr>
          <w:i/>
        </w:rPr>
      </w:pPr>
    </w:p>
    <w:p w14:paraId="644430CF" w14:textId="77777777" w:rsidR="0097227C" w:rsidRPr="00760EB2" w:rsidRDefault="0097227C" w:rsidP="0097227C">
      <w:pPr>
        <w:spacing w:line="480" w:lineRule="auto"/>
        <w:jc w:val="both"/>
        <w:rPr>
          <w:i/>
        </w:rPr>
      </w:pPr>
      <w:r w:rsidRPr="00760EB2">
        <w:rPr>
          <w:i/>
        </w:rPr>
        <w:t>Paper</w:t>
      </w:r>
    </w:p>
    <w:p w14:paraId="27114FA4" w14:textId="4EFA5381" w:rsidR="001D6287" w:rsidRDefault="0097227C" w:rsidP="0097227C">
      <w:pPr>
        <w:spacing w:line="480" w:lineRule="auto"/>
        <w:jc w:val="both"/>
      </w:pPr>
      <w:r w:rsidRPr="00760EB2">
        <w:tab/>
        <w:t xml:space="preserve">According to </w:t>
      </w:r>
      <w:r w:rsidR="00B94F57" w:rsidRPr="00760EB2">
        <w:t>Purchasing Representative</w:t>
      </w:r>
      <w:r w:rsidR="000170D0">
        <w:t>,</w:t>
      </w:r>
      <w:r w:rsidR="00B94F57" w:rsidRPr="00760EB2">
        <w:t xml:space="preserve"> Debra Reed, the College purchased 400</w:t>
      </w:r>
      <w:r w:rsidRPr="00760EB2">
        <w:t xml:space="preserve"> cases </w:t>
      </w:r>
      <w:r w:rsidR="00FE6CA3" w:rsidRPr="00FE6CA3">
        <w:rPr>
          <w:color w:val="FF0000"/>
        </w:rPr>
        <w:t xml:space="preserve">(change to 200 in FY 2014) </w:t>
      </w:r>
      <w:r w:rsidR="00D058C6" w:rsidRPr="00760EB2">
        <w:t>(</w:t>
      </w:r>
      <w:r w:rsidR="00FE6CA3" w:rsidRPr="00FE6CA3">
        <w:rPr>
          <w:b/>
          <w:color w:val="00B050"/>
        </w:rPr>
        <w:t>20,000</w:t>
      </w:r>
      <w:r w:rsidR="00D058C6" w:rsidRPr="00FE6CA3">
        <w:rPr>
          <w:b/>
          <w:color w:val="00B050"/>
        </w:rPr>
        <w:t xml:space="preserve"> lbs</w:t>
      </w:r>
      <w:r w:rsidR="00D058C6" w:rsidRPr="00FE6CA3">
        <w:rPr>
          <w:color w:val="00B050"/>
        </w:rPr>
        <w:t xml:space="preserve">.) </w:t>
      </w:r>
      <w:r w:rsidRPr="00760EB2">
        <w:t xml:space="preserve">of uncoated freesheet paper </w:t>
      </w:r>
      <w:r w:rsidR="00D058C6" w:rsidRPr="00760EB2">
        <w:t>during FY 2014</w:t>
      </w:r>
      <w:r w:rsidRPr="00760EB2">
        <w:t xml:space="preserve">; each case </w:t>
      </w:r>
      <w:r w:rsidR="00D058C6" w:rsidRPr="00760EB2">
        <w:t>contains ten reams, which each weigh 10 lbs</w:t>
      </w:r>
      <w:r w:rsidRPr="00760EB2">
        <w:t xml:space="preserve">.  The paper is composed of 0% post-consumer waste.  </w:t>
      </w:r>
    </w:p>
    <w:p w14:paraId="56E4186B" w14:textId="77777777" w:rsidR="00321038" w:rsidRPr="00321038" w:rsidRDefault="00321038" w:rsidP="0097227C">
      <w:pPr>
        <w:spacing w:line="480" w:lineRule="auto"/>
        <w:jc w:val="both"/>
      </w:pPr>
    </w:p>
    <w:p w14:paraId="078996D1" w14:textId="77777777" w:rsidR="0097227C" w:rsidRPr="00D82A5E" w:rsidRDefault="0097227C" w:rsidP="0097227C">
      <w:pPr>
        <w:spacing w:line="480" w:lineRule="auto"/>
        <w:jc w:val="both"/>
        <w:rPr>
          <w:i/>
        </w:rPr>
      </w:pPr>
      <w:r w:rsidRPr="00D82A5E">
        <w:rPr>
          <w:i/>
        </w:rPr>
        <w:t>Offsets and Renewable Energy Credits</w:t>
      </w:r>
    </w:p>
    <w:p w14:paraId="446B9084" w14:textId="77777777" w:rsidR="0097227C" w:rsidRPr="00ED615D" w:rsidRDefault="0097227C" w:rsidP="0097227C">
      <w:pPr>
        <w:spacing w:line="480" w:lineRule="auto"/>
        <w:jc w:val="both"/>
        <w:rPr>
          <w:color w:val="7030A0"/>
        </w:rPr>
      </w:pPr>
      <w:r w:rsidRPr="00D82A5E">
        <w:rPr>
          <w:i/>
        </w:rPr>
        <w:tab/>
      </w:r>
      <w:r w:rsidRPr="00605E91">
        <w:t>The Colleg</w:t>
      </w:r>
      <w:r w:rsidR="00127DE2" w:rsidRPr="00605E91">
        <w:t xml:space="preserve">e purchased retail offsets for </w:t>
      </w:r>
      <w:r w:rsidRPr="00605E91">
        <w:t>renewable energy credits for the college’s purchased electricity duri</w:t>
      </w:r>
      <w:r w:rsidR="00127DE2" w:rsidRPr="00605E91">
        <w:t xml:space="preserve">ng FY 2014.  </w:t>
      </w:r>
      <w:r w:rsidRPr="00605E91">
        <w:t xml:space="preserve"> </w:t>
      </w:r>
    </w:p>
    <w:p w14:paraId="6D93E175" w14:textId="202499A7" w:rsidR="005722B2" w:rsidRPr="00605E91" w:rsidRDefault="005722B2" w:rsidP="005722B2">
      <w:pPr>
        <w:spacing w:line="480" w:lineRule="auto"/>
        <w:ind w:firstLine="720"/>
        <w:jc w:val="both"/>
      </w:pPr>
      <w:r w:rsidRPr="00605E91">
        <w:t>REC's must be accounted for from two sources. 1) The College’s electricity contract includes RECs for 15% of its electricity consumption</w:t>
      </w:r>
      <w:r w:rsidR="00776D9E" w:rsidRPr="00605E91">
        <w:t xml:space="preserve"> (</w:t>
      </w:r>
      <w:r w:rsidR="0038055D" w:rsidRPr="00945668">
        <w:rPr>
          <w:b/>
          <w:color w:val="0000FF"/>
        </w:rPr>
        <w:t>2,227,0</w:t>
      </w:r>
      <w:r w:rsidR="00776D9E" w:rsidRPr="00945668">
        <w:rPr>
          <w:b/>
          <w:color w:val="0000FF"/>
        </w:rPr>
        <w:t>66.50 kWh</w:t>
      </w:r>
      <w:r w:rsidR="00776D9E" w:rsidRPr="00605E91">
        <w:t>)</w:t>
      </w:r>
      <w:r w:rsidRPr="00605E91">
        <w:t xml:space="preserve">, and 2) the College buys additional RECs to reach its annual target for electricity from green sources.  Of the </w:t>
      </w:r>
      <w:r w:rsidRPr="00605E91">
        <w:rPr>
          <w:b/>
        </w:rPr>
        <w:t xml:space="preserve">total </w:t>
      </w:r>
      <w:r w:rsidR="00ED615D" w:rsidRPr="00605E91">
        <w:rPr>
          <w:b/>
        </w:rPr>
        <w:t>(</w:t>
      </w:r>
      <w:r w:rsidR="00ED615D" w:rsidRPr="00945668">
        <w:rPr>
          <w:b/>
          <w:color w:val="0000FF"/>
        </w:rPr>
        <w:t>12,611,067 kWh</w:t>
      </w:r>
      <w:r w:rsidR="00ED615D" w:rsidRPr="00605E91">
        <w:rPr>
          <w:b/>
        </w:rPr>
        <w:t>)</w:t>
      </w:r>
      <w:r w:rsidR="00ED615D" w:rsidRPr="00605E91">
        <w:t xml:space="preserve"> </w:t>
      </w:r>
      <w:r w:rsidRPr="00605E91">
        <w:rPr>
          <w:b/>
        </w:rPr>
        <w:t>REC</w:t>
      </w:r>
      <w:r w:rsidR="007A38D4" w:rsidRPr="00605E91">
        <w:rPr>
          <w:b/>
        </w:rPr>
        <w:t>’</w:t>
      </w:r>
      <w:r w:rsidRPr="00605E91">
        <w:rPr>
          <w:b/>
        </w:rPr>
        <w:t>s</w:t>
      </w:r>
      <w:r w:rsidRPr="00605E91">
        <w:t xml:space="preserve">, 15% were included with the electricity contract and </w:t>
      </w:r>
      <w:r w:rsidR="00ED615D" w:rsidRPr="00605E91">
        <w:t xml:space="preserve">70% </w:t>
      </w:r>
      <w:r w:rsidRPr="00605E91">
        <w:t>were purchased separately.</w:t>
      </w:r>
      <w:r w:rsidR="007A38D4" w:rsidRPr="00605E91">
        <w:t xml:space="preserve">  Effectively, </w:t>
      </w:r>
      <w:r w:rsidR="0034686D">
        <w:t>85.0</w:t>
      </w:r>
      <w:r w:rsidR="00ED615D" w:rsidRPr="00605E91">
        <w:t xml:space="preserve">% </w:t>
      </w:r>
      <w:r w:rsidR="007A38D4" w:rsidRPr="00605E91">
        <w:t xml:space="preserve">of total </w:t>
      </w:r>
      <w:r w:rsidR="007A38D4" w:rsidRPr="00605E91">
        <w:rPr>
          <w:i/>
        </w:rPr>
        <w:t>purchased</w:t>
      </w:r>
      <w:r w:rsidR="007A38D4" w:rsidRPr="00605E91">
        <w:t xml:space="preserve"> electricity was mitigated through the purchase of REC’s. </w:t>
      </w:r>
    </w:p>
    <w:p w14:paraId="5D3D269C" w14:textId="77777777" w:rsidR="007A38D4" w:rsidRPr="00605E91" w:rsidRDefault="007A38D4" w:rsidP="007A38D4">
      <w:pPr>
        <w:spacing w:line="480" w:lineRule="auto"/>
        <w:ind w:firstLine="720"/>
        <w:jc w:val="both"/>
      </w:pPr>
      <w:r w:rsidRPr="00605E91">
        <w:t>The College specifies</w:t>
      </w:r>
      <w:r w:rsidR="005722B2" w:rsidRPr="00605E91">
        <w:t xml:space="preserve"> 100% wind power </w:t>
      </w:r>
      <w:r w:rsidR="005722B2" w:rsidRPr="00605E91">
        <w:rPr>
          <w:u w:val="single"/>
        </w:rPr>
        <w:t>REC</w:t>
      </w:r>
      <w:r w:rsidRPr="00605E91">
        <w:rPr>
          <w:u w:val="single"/>
        </w:rPr>
        <w:t>’</w:t>
      </w:r>
      <w:r w:rsidR="005722B2" w:rsidRPr="00605E91">
        <w:rPr>
          <w:u w:val="single"/>
        </w:rPr>
        <w:t>s</w:t>
      </w:r>
      <w:r w:rsidR="005722B2" w:rsidRPr="00605E91">
        <w:t xml:space="preserve"> for the </w:t>
      </w:r>
      <w:r w:rsidR="001D6287" w:rsidRPr="00605E91">
        <w:t>additional REC purchase but has</w:t>
      </w:r>
      <w:r w:rsidR="005722B2" w:rsidRPr="00605E91">
        <w:t xml:space="preserve"> less control over the REC</w:t>
      </w:r>
      <w:r w:rsidR="001D6287" w:rsidRPr="00605E91">
        <w:t>’</w:t>
      </w:r>
      <w:r w:rsidR="005722B2" w:rsidRPr="00605E91">
        <w:t>s include</w:t>
      </w:r>
      <w:r w:rsidR="001D6287" w:rsidRPr="00605E91">
        <w:t>d with the electricity</w:t>
      </w:r>
      <w:r w:rsidRPr="00605E91">
        <w:t xml:space="preserve"> contract.  </w:t>
      </w:r>
      <w:r w:rsidR="005722B2" w:rsidRPr="00605E91">
        <w:t xml:space="preserve">Prior to </w:t>
      </w:r>
      <w:r w:rsidR="00FE620E" w:rsidRPr="00605E91">
        <w:t>the 2012</w:t>
      </w:r>
      <w:r w:rsidR="005722B2" w:rsidRPr="00605E91">
        <w:t xml:space="preserve"> report, analysts effectively entered the 15% included in the </w:t>
      </w:r>
      <w:r w:rsidRPr="00605E91">
        <w:t xml:space="preserve">energy </w:t>
      </w:r>
      <w:r w:rsidR="005722B2" w:rsidRPr="00605E91">
        <w:t>contr</w:t>
      </w:r>
      <w:r w:rsidR="001D6287" w:rsidRPr="00605E91">
        <w:t>act as 15% of the energy the College was</w:t>
      </w:r>
      <w:r w:rsidR="005722B2" w:rsidRPr="00605E91">
        <w:t xml:space="preserve"> supplied having been generated by renewable sources (on the Custom Fuel Mix Input page).  For this report, all of the REC’s were enter</w:t>
      </w:r>
      <w:r w:rsidR="001D6287" w:rsidRPr="00605E91">
        <w:t>ed into the calculator as REC’s</w:t>
      </w:r>
      <w:r w:rsidR="005722B2" w:rsidRPr="00605E91">
        <w:t xml:space="preserve"> (</w:t>
      </w:r>
      <w:r w:rsidR="001D6287" w:rsidRPr="00605E91">
        <w:t>in the “</w:t>
      </w:r>
      <w:r w:rsidR="005722B2" w:rsidRPr="00605E91">
        <w:t>Green Power Certificates</w:t>
      </w:r>
      <w:r w:rsidR="001D6287" w:rsidRPr="00605E91">
        <w:t>” column</w:t>
      </w:r>
      <w:r w:rsidR="005722B2" w:rsidRPr="00605E91">
        <w:t xml:space="preserve">).  </w:t>
      </w:r>
    </w:p>
    <w:p w14:paraId="0DFF1819" w14:textId="77777777" w:rsidR="007A38D4" w:rsidRPr="00605E91" w:rsidRDefault="007A38D4" w:rsidP="007A38D4">
      <w:pPr>
        <w:spacing w:line="480" w:lineRule="auto"/>
        <w:ind w:firstLine="720"/>
        <w:jc w:val="both"/>
      </w:pPr>
      <w:r w:rsidRPr="00605E91">
        <w:lastRenderedPageBreak/>
        <w:t xml:space="preserve">The REC vendor for the additional </w:t>
      </w:r>
      <w:r w:rsidR="004A4F8C" w:rsidRPr="00605E91">
        <w:t>70</w:t>
      </w:r>
      <w:r w:rsidRPr="00605E91">
        <w:t>% was 3Degrees, and the Renewable Energy Certificate Product Content Label lists "National" as the "Generation Location."  These are U.S. Wind Power REC's; the Applicable Standard is "Green-e Ener</w:t>
      </w:r>
      <w:r w:rsidR="00FE620E" w:rsidRPr="00605E91">
        <w:t>gy National Standard Version 2.3</w:t>
      </w:r>
      <w:r w:rsidRPr="00605E91">
        <w:t xml:space="preserve">."  </w:t>
      </w:r>
    </w:p>
    <w:p w14:paraId="171F13AB" w14:textId="23AA6D9B" w:rsidR="00211F23" w:rsidRPr="00605E91" w:rsidRDefault="00733B4B" w:rsidP="00FE620E">
      <w:pPr>
        <w:spacing w:line="480" w:lineRule="auto"/>
        <w:ind w:firstLine="720"/>
        <w:jc w:val="both"/>
      </w:pPr>
      <w:r w:rsidRPr="00605E91">
        <w:t xml:space="preserve">If exact </w:t>
      </w:r>
      <w:r w:rsidR="007A38D4" w:rsidRPr="00605E91">
        <w:t xml:space="preserve">sources of the REC’s for the contractual 15% </w:t>
      </w:r>
      <w:r w:rsidRPr="00605E91">
        <w:t xml:space="preserve">renewable energy </w:t>
      </w:r>
      <w:r w:rsidR="007A38D4" w:rsidRPr="00605E91">
        <w:t>can be determined</w:t>
      </w:r>
      <w:r w:rsidR="001D6287" w:rsidRPr="00605E91">
        <w:t>, this document</w:t>
      </w:r>
      <w:r w:rsidR="007A38D4" w:rsidRPr="00605E91">
        <w:t xml:space="preserve"> will be updated appropriately. It’s assumed that the REC’s included in the electricity contract are Green-e-certified; this, too</w:t>
      </w:r>
      <w:r w:rsidR="00FE620E" w:rsidRPr="00605E91">
        <w:t>, will be confirmed if possible.</w:t>
      </w:r>
    </w:p>
    <w:p w14:paraId="1D9A4130" w14:textId="77777777" w:rsidR="000170D0" w:rsidRDefault="000170D0" w:rsidP="00945668">
      <w:pPr>
        <w:spacing w:line="480" w:lineRule="auto"/>
        <w:ind w:firstLine="720"/>
        <w:jc w:val="both"/>
        <w:rPr>
          <w:b/>
          <w:sz w:val="32"/>
        </w:rPr>
      </w:pPr>
    </w:p>
    <w:p w14:paraId="62E1BDDA" w14:textId="77777777" w:rsidR="00945668" w:rsidRDefault="00945668" w:rsidP="00FE620E">
      <w:pPr>
        <w:spacing w:line="480" w:lineRule="auto"/>
        <w:ind w:firstLine="720"/>
        <w:jc w:val="center"/>
        <w:rPr>
          <w:b/>
          <w:sz w:val="32"/>
        </w:rPr>
      </w:pPr>
    </w:p>
    <w:p w14:paraId="093D47F7" w14:textId="77777777" w:rsidR="00945668" w:rsidRDefault="00945668" w:rsidP="00FE620E">
      <w:pPr>
        <w:spacing w:line="480" w:lineRule="auto"/>
        <w:ind w:firstLine="720"/>
        <w:jc w:val="center"/>
        <w:rPr>
          <w:b/>
          <w:sz w:val="32"/>
        </w:rPr>
      </w:pPr>
    </w:p>
    <w:p w14:paraId="0EFE7433" w14:textId="77777777" w:rsidR="00945668" w:rsidRDefault="00945668" w:rsidP="00FE620E">
      <w:pPr>
        <w:spacing w:line="480" w:lineRule="auto"/>
        <w:ind w:firstLine="720"/>
        <w:jc w:val="center"/>
        <w:rPr>
          <w:b/>
          <w:sz w:val="32"/>
        </w:rPr>
      </w:pPr>
    </w:p>
    <w:p w14:paraId="52BC751C" w14:textId="77777777" w:rsidR="00945668" w:rsidRDefault="00945668" w:rsidP="00FE620E">
      <w:pPr>
        <w:spacing w:line="480" w:lineRule="auto"/>
        <w:ind w:firstLine="720"/>
        <w:jc w:val="center"/>
        <w:rPr>
          <w:b/>
          <w:sz w:val="32"/>
        </w:rPr>
      </w:pPr>
    </w:p>
    <w:p w14:paraId="22E58FEF" w14:textId="77777777" w:rsidR="00945668" w:rsidRDefault="00945668" w:rsidP="00FE620E">
      <w:pPr>
        <w:spacing w:line="480" w:lineRule="auto"/>
        <w:ind w:firstLine="720"/>
        <w:jc w:val="center"/>
        <w:rPr>
          <w:b/>
          <w:sz w:val="32"/>
        </w:rPr>
      </w:pPr>
    </w:p>
    <w:p w14:paraId="5BCF98B7" w14:textId="77777777" w:rsidR="00945668" w:rsidRDefault="00945668" w:rsidP="00FE620E">
      <w:pPr>
        <w:spacing w:line="480" w:lineRule="auto"/>
        <w:ind w:firstLine="720"/>
        <w:jc w:val="center"/>
        <w:rPr>
          <w:b/>
          <w:sz w:val="32"/>
        </w:rPr>
      </w:pPr>
    </w:p>
    <w:p w14:paraId="46229CF7" w14:textId="77777777" w:rsidR="00945668" w:rsidRDefault="00945668" w:rsidP="00FE620E">
      <w:pPr>
        <w:spacing w:line="480" w:lineRule="auto"/>
        <w:ind w:firstLine="720"/>
        <w:jc w:val="center"/>
        <w:rPr>
          <w:b/>
          <w:sz w:val="32"/>
        </w:rPr>
      </w:pPr>
    </w:p>
    <w:p w14:paraId="38EC8C91" w14:textId="77777777" w:rsidR="00945668" w:rsidRDefault="00945668" w:rsidP="00FE620E">
      <w:pPr>
        <w:spacing w:line="480" w:lineRule="auto"/>
        <w:ind w:firstLine="720"/>
        <w:jc w:val="center"/>
        <w:rPr>
          <w:b/>
          <w:sz w:val="32"/>
        </w:rPr>
      </w:pPr>
    </w:p>
    <w:p w14:paraId="65D97289" w14:textId="77777777" w:rsidR="00945668" w:rsidRDefault="00945668" w:rsidP="00FE620E">
      <w:pPr>
        <w:spacing w:line="480" w:lineRule="auto"/>
        <w:ind w:firstLine="720"/>
        <w:jc w:val="center"/>
        <w:rPr>
          <w:b/>
          <w:sz w:val="32"/>
        </w:rPr>
      </w:pPr>
    </w:p>
    <w:p w14:paraId="620BE622" w14:textId="77777777" w:rsidR="00945668" w:rsidRDefault="00945668" w:rsidP="00FE620E">
      <w:pPr>
        <w:spacing w:line="480" w:lineRule="auto"/>
        <w:ind w:firstLine="720"/>
        <w:jc w:val="center"/>
        <w:rPr>
          <w:b/>
          <w:sz w:val="32"/>
        </w:rPr>
      </w:pPr>
    </w:p>
    <w:p w14:paraId="1CD0858B" w14:textId="77777777" w:rsidR="00FE6CA3" w:rsidRDefault="00FE6CA3" w:rsidP="00FE620E">
      <w:pPr>
        <w:spacing w:line="480" w:lineRule="auto"/>
        <w:ind w:firstLine="720"/>
        <w:jc w:val="center"/>
        <w:rPr>
          <w:b/>
          <w:sz w:val="32"/>
        </w:rPr>
      </w:pPr>
    </w:p>
    <w:p w14:paraId="069FD946" w14:textId="77777777" w:rsidR="00FE6CA3" w:rsidRDefault="00FE6CA3" w:rsidP="00FE620E">
      <w:pPr>
        <w:spacing w:line="480" w:lineRule="auto"/>
        <w:ind w:firstLine="720"/>
        <w:jc w:val="center"/>
        <w:rPr>
          <w:b/>
          <w:sz w:val="32"/>
        </w:rPr>
      </w:pPr>
    </w:p>
    <w:p w14:paraId="2685F366" w14:textId="5C3B8E57" w:rsidR="009F78CC" w:rsidRDefault="0097227C" w:rsidP="00FE620E">
      <w:pPr>
        <w:spacing w:line="480" w:lineRule="auto"/>
        <w:ind w:firstLine="720"/>
        <w:jc w:val="center"/>
        <w:rPr>
          <w:b/>
        </w:rPr>
      </w:pPr>
      <w:r w:rsidRPr="00FE620E">
        <w:rPr>
          <w:b/>
          <w:sz w:val="32"/>
        </w:rPr>
        <w:lastRenderedPageBreak/>
        <w:t xml:space="preserve">Alterations to the </w:t>
      </w:r>
      <w:r w:rsidR="006F538D" w:rsidRPr="00FE620E">
        <w:rPr>
          <w:b/>
          <w:sz w:val="32"/>
        </w:rPr>
        <w:t>C</w:t>
      </w:r>
      <w:r w:rsidR="006F538D">
        <w:rPr>
          <w:b/>
          <w:sz w:val="32"/>
        </w:rPr>
        <w:t>CC</w:t>
      </w:r>
      <w:r w:rsidR="006F538D" w:rsidRPr="00FE620E">
        <w:rPr>
          <w:b/>
          <w:sz w:val="32"/>
        </w:rPr>
        <w:t xml:space="preserve"> </w:t>
      </w:r>
      <w:r w:rsidRPr="00FE620E">
        <w:rPr>
          <w:b/>
          <w:sz w:val="32"/>
        </w:rPr>
        <w:t>Calculator</w:t>
      </w:r>
      <w:r w:rsidRPr="00D82A5E">
        <w:rPr>
          <w:b/>
        </w:rPr>
        <w:tab/>
      </w:r>
    </w:p>
    <w:p w14:paraId="11906D2B" w14:textId="6743FE75" w:rsidR="0097227C" w:rsidRPr="00D517AC" w:rsidRDefault="00FE6CA3" w:rsidP="0097227C">
      <w:pPr>
        <w:spacing w:line="480" w:lineRule="auto"/>
        <w:ind w:firstLine="720"/>
        <w:jc w:val="both"/>
      </w:pPr>
      <w:r>
        <w:t>Three</w:t>
      </w:r>
      <w:r w:rsidR="0097227C" w:rsidRPr="00605E91">
        <w:t xml:space="preserve"> alterations were made to the calculator, as per </w:t>
      </w:r>
      <w:r w:rsidR="00A53F4D" w:rsidRPr="00605E91">
        <w:t xml:space="preserve">Jade </w:t>
      </w:r>
      <w:r w:rsidR="0097227C" w:rsidRPr="00605E91">
        <w:t>Rutledge’s</w:t>
      </w:r>
      <w:r w:rsidR="00A53F4D" w:rsidRPr="00605E91">
        <w:t xml:space="preserve"> (2009)</w:t>
      </w:r>
      <w:r w:rsidR="0097227C" w:rsidRPr="00605E91">
        <w:t xml:space="preserve"> procedure</w:t>
      </w:r>
      <w:r>
        <w:t xml:space="preserve">. </w:t>
      </w:r>
      <w:r w:rsidR="0097227C" w:rsidRPr="00605E91">
        <w:t>First, because study abroad flights are largely international, the emissions calculator’s coefficient for the kilograms of CO</w:t>
      </w:r>
      <w:r w:rsidR="0097227C" w:rsidRPr="00605E91">
        <w:rPr>
          <w:vertAlign w:val="subscript"/>
        </w:rPr>
        <w:t>2</w:t>
      </w:r>
      <w:r w:rsidR="0097227C" w:rsidRPr="00605E91">
        <w:t xml:space="preserve"> per mile of </w:t>
      </w:r>
      <w:r w:rsidR="00251D78">
        <w:t xml:space="preserve">study abroad </w:t>
      </w:r>
      <w:r w:rsidR="0097227C" w:rsidRPr="00605E91">
        <w:t xml:space="preserve">air travel was multiplied by 0.64 to reflect the lower emissions per mile for longer, international flights, as opposed to higher emissions per mile </w:t>
      </w:r>
      <w:r>
        <w:t xml:space="preserve">for shorter, domestic flights. </w:t>
      </w:r>
      <w:r w:rsidR="0097227C" w:rsidRPr="00605E91">
        <w:t xml:space="preserve">Since takeoff </w:t>
      </w:r>
      <w:r w:rsidR="0097227C" w:rsidRPr="00D517AC">
        <w:t>and landing cause the highest amount of emissions per mile traveled, longer flights yield fewer emissions: t</w:t>
      </w:r>
      <w:r w:rsidR="0097227C" w:rsidRPr="002C3002">
        <w:t xml:space="preserve">he longer the flight the smaller the proportion of emissions used in takeoff and landing. </w:t>
      </w:r>
      <w:r w:rsidR="0097227C" w:rsidRPr="00D517AC">
        <w:t>When the calculator determines air travel emissions, it a</w:t>
      </w:r>
      <w:r>
        <w:t>ssumes short, domestic flights.</w:t>
      </w:r>
      <w:r w:rsidR="0097227C" w:rsidRPr="00D517AC">
        <w:t xml:space="preserve"> Multiplying this coefficient by 0.64, according to DEFRA (2008), corrects for this difference in efficiency of domestic and international flights.  This alteration applies only to study abroad flights; it was assumed that all directly financed air travel flights were domestic, and the efficiency of these flights was not adjusted. </w:t>
      </w:r>
    </w:p>
    <w:p w14:paraId="6CB8CD3B" w14:textId="4369892E" w:rsidR="006F331C" w:rsidRPr="00605E91" w:rsidRDefault="00FE6CA3" w:rsidP="0097227C">
      <w:pPr>
        <w:spacing w:line="480" w:lineRule="auto"/>
        <w:ind w:firstLine="720"/>
        <w:jc w:val="both"/>
      </w:pPr>
      <w:r>
        <w:t>Second</w:t>
      </w:r>
      <w:r w:rsidR="0097227C" w:rsidRPr="00321038">
        <w:t>, a radiative forcing index (RFI) is used in the calculator to account for the cirrus clouds that form from the exhaust emitted by airplanes. Radiative forcing is any change in the balance between radiation coming into the atmosphere and radiation going out. Positive radiative forcing warms the surface of the earth, and negative radiative forcing cools it (Imperial College, 2005).  According to Dr. David Baker (2011), these clouds can increase the earth’s average surface temperature, contributing to globa</w:t>
      </w:r>
      <w:r w:rsidR="00EF7590" w:rsidRPr="00321038">
        <w:t>l climate change.  T</w:t>
      </w:r>
      <w:r w:rsidR="0097227C" w:rsidRPr="00321038">
        <w:t>he default RFI for air</w:t>
      </w:r>
      <w:r w:rsidR="00EF7590" w:rsidRPr="00321038">
        <w:t xml:space="preserve"> travel in the calculator is 2.7</w:t>
      </w:r>
      <w:r w:rsidR="0097227C" w:rsidRPr="00321038">
        <w:t xml:space="preserve">, which reflects 1992 IPCC measurements; another IPCC study indicated an RFI of 1. Because various sources indicate that radiative forcing data are inconclusive, an estimated RFI of </w:t>
      </w:r>
      <w:r w:rsidR="0097227C" w:rsidRPr="00605E91">
        <w:t xml:space="preserve">2 was used in the calculator based on the data available; this procedure is consistent with </w:t>
      </w:r>
      <w:r w:rsidR="0097227C" w:rsidRPr="00605E91">
        <w:lastRenderedPageBreak/>
        <w:t>procedure</w:t>
      </w:r>
      <w:r w:rsidR="00EF7590" w:rsidRPr="00605E91">
        <w:t>s</w:t>
      </w:r>
      <w:r w:rsidR="00EB5012" w:rsidRPr="00605E91">
        <w:t xml:space="preserve"> for the FY 2008, 2010, and FY 2012</w:t>
      </w:r>
      <w:r w:rsidR="00EF7590" w:rsidRPr="00605E91">
        <w:t xml:space="preserve"> inventories</w:t>
      </w:r>
      <w:r w:rsidR="0097227C" w:rsidRPr="00605E91">
        <w:t>.  If more conclusive data are released in the near future, the RFI used in the calculator can be altered once again for specificity.</w:t>
      </w:r>
    </w:p>
    <w:p w14:paraId="08A63CA2" w14:textId="60E15028" w:rsidR="00FE620E" w:rsidRPr="00605E91" w:rsidRDefault="00FE620E" w:rsidP="00945668">
      <w:pPr>
        <w:spacing w:line="480" w:lineRule="auto"/>
        <w:ind w:firstLine="720"/>
        <w:jc w:val="both"/>
      </w:pPr>
      <w:r w:rsidRPr="00605E91">
        <w:t xml:space="preserve">Finally, the given heating and cooling degree days for Texas were changed to reflect the degree days of Sherman, TX, as opposed to </w:t>
      </w:r>
      <w:r w:rsidR="00251D78">
        <w:t>the calculator’s default values for Texas in general.</w:t>
      </w:r>
      <w:r w:rsidRPr="00605E91">
        <w:t>. The heating and cooling degree days were calculated using degreedays.net, which use</w:t>
      </w:r>
      <w:r w:rsidR="00251D78">
        <w:t>s</w:t>
      </w:r>
      <w:r w:rsidRPr="00605E91">
        <w:t xml:space="preserve"> weather data from a local Sherman weather </w:t>
      </w:r>
      <w:r w:rsidR="00B135E5" w:rsidRPr="00605E91">
        <w:t>station</w:t>
      </w:r>
      <w:r w:rsidRPr="00605E91">
        <w:t xml:space="preserve">. </w:t>
      </w:r>
      <w:r w:rsidR="00FE6CA3">
        <w:t>During FY 2016</w:t>
      </w:r>
      <w:r w:rsidR="00605E91" w:rsidRPr="00605E91">
        <w:t xml:space="preserve"> there were </w:t>
      </w:r>
      <w:r w:rsidR="00211F23" w:rsidRPr="00FE6CA3">
        <w:rPr>
          <w:color w:val="FF0000"/>
        </w:rPr>
        <w:t>3235</w:t>
      </w:r>
      <w:r w:rsidR="00605E91" w:rsidRPr="00FE6CA3">
        <w:rPr>
          <w:color w:val="FF0000"/>
        </w:rPr>
        <w:t xml:space="preserve"> </w:t>
      </w:r>
      <w:r w:rsidR="00605E91" w:rsidRPr="00605E91">
        <w:t xml:space="preserve">heating degree days and </w:t>
      </w:r>
      <w:r w:rsidR="00211F23" w:rsidRPr="00FE6CA3">
        <w:rPr>
          <w:color w:val="FF0000"/>
        </w:rPr>
        <w:t>2731</w:t>
      </w:r>
      <w:r w:rsidR="00FE6CA3">
        <w:t xml:space="preserve"> </w:t>
      </w:r>
      <w:r w:rsidR="00605E91" w:rsidRPr="00605E91">
        <w:t xml:space="preserve">cooling degree days. </w:t>
      </w:r>
    </w:p>
    <w:p w14:paraId="6C70D16A" w14:textId="77777777" w:rsidR="006F331C" w:rsidRPr="00605E91" w:rsidRDefault="006F331C" w:rsidP="0097227C">
      <w:pPr>
        <w:spacing w:line="480" w:lineRule="auto"/>
        <w:ind w:firstLine="720"/>
        <w:jc w:val="both"/>
      </w:pPr>
    </w:p>
    <w:p w14:paraId="3F1EC30C" w14:textId="77777777" w:rsidR="00DC21DA" w:rsidRPr="00605E91" w:rsidRDefault="00DC21DA" w:rsidP="006F331C">
      <w:pPr>
        <w:spacing w:line="480" w:lineRule="auto"/>
        <w:jc w:val="center"/>
        <w:rPr>
          <w:b/>
        </w:rPr>
      </w:pPr>
    </w:p>
    <w:p w14:paraId="1A2D80CC" w14:textId="77777777" w:rsidR="00DC21DA" w:rsidRPr="00605E91" w:rsidRDefault="00DC21DA" w:rsidP="006F331C">
      <w:pPr>
        <w:spacing w:line="480" w:lineRule="auto"/>
        <w:jc w:val="center"/>
        <w:rPr>
          <w:b/>
        </w:rPr>
      </w:pPr>
    </w:p>
    <w:p w14:paraId="5EB2D8FD" w14:textId="77777777" w:rsidR="00DC21DA" w:rsidRPr="00605E91" w:rsidRDefault="00DC21DA" w:rsidP="006F331C">
      <w:pPr>
        <w:spacing w:line="480" w:lineRule="auto"/>
        <w:jc w:val="center"/>
        <w:rPr>
          <w:b/>
        </w:rPr>
      </w:pPr>
    </w:p>
    <w:p w14:paraId="0E3B5BAC" w14:textId="77777777" w:rsidR="00DC21DA" w:rsidRDefault="00DC21DA" w:rsidP="006F331C">
      <w:pPr>
        <w:spacing w:line="480" w:lineRule="auto"/>
        <w:jc w:val="center"/>
        <w:rPr>
          <w:b/>
        </w:rPr>
      </w:pPr>
    </w:p>
    <w:p w14:paraId="21AB455F" w14:textId="77777777" w:rsidR="00945668" w:rsidRDefault="00945668" w:rsidP="006F331C">
      <w:pPr>
        <w:spacing w:line="480" w:lineRule="auto"/>
        <w:jc w:val="center"/>
        <w:rPr>
          <w:b/>
        </w:rPr>
      </w:pPr>
    </w:p>
    <w:p w14:paraId="42910ACE" w14:textId="77777777" w:rsidR="00945668" w:rsidRDefault="00945668" w:rsidP="006F331C">
      <w:pPr>
        <w:spacing w:line="480" w:lineRule="auto"/>
        <w:jc w:val="center"/>
        <w:rPr>
          <w:b/>
        </w:rPr>
      </w:pPr>
    </w:p>
    <w:p w14:paraId="51584AA4" w14:textId="77777777" w:rsidR="00945668" w:rsidRPr="00605E91" w:rsidRDefault="00945668" w:rsidP="006F331C">
      <w:pPr>
        <w:spacing w:line="480" w:lineRule="auto"/>
        <w:jc w:val="center"/>
        <w:rPr>
          <w:b/>
        </w:rPr>
      </w:pPr>
    </w:p>
    <w:p w14:paraId="53CF1B6A" w14:textId="77777777" w:rsidR="001904FB" w:rsidRDefault="001904FB" w:rsidP="00945668">
      <w:pPr>
        <w:spacing w:line="480" w:lineRule="auto"/>
        <w:rPr>
          <w:b/>
        </w:rPr>
      </w:pPr>
    </w:p>
    <w:p w14:paraId="792C03A6" w14:textId="77777777" w:rsidR="00945668" w:rsidRDefault="00945668" w:rsidP="00945668">
      <w:pPr>
        <w:spacing w:line="480" w:lineRule="auto"/>
        <w:rPr>
          <w:b/>
        </w:rPr>
      </w:pPr>
    </w:p>
    <w:p w14:paraId="2894FD81" w14:textId="77777777" w:rsidR="00945668" w:rsidRDefault="00945668" w:rsidP="00945668">
      <w:pPr>
        <w:spacing w:line="480" w:lineRule="auto"/>
        <w:rPr>
          <w:b/>
        </w:rPr>
      </w:pPr>
    </w:p>
    <w:p w14:paraId="76CDFDA0" w14:textId="77777777" w:rsidR="00945668" w:rsidRDefault="00945668" w:rsidP="00945668">
      <w:pPr>
        <w:spacing w:line="480" w:lineRule="auto"/>
        <w:rPr>
          <w:b/>
        </w:rPr>
      </w:pPr>
    </w:p>
    <w:p w14:paraId="5787D311" w14:textId="77777777" w:rsidR="00945668" w:rsidRDefault="00945668" w:rsidP="00945668">
      <w:pPr>
        <w:spacing w:line="480" w:lineRule="auto"/>
        <w:rPr>
          <w:b/>
        </w:rPr>
      </w:pPr>
    </w:p>
    <w:p w14:paraId="10B91B67" w14:textId="77777777" w:rsidR="00945668" w:rsidRDefault="00945668" w:rsidP="00945668">
      <w:pPr>
        <w:spacing w:line="480" w:lineRule="auto"/>
        <w:rPr>
          <w:b/>
        </w:rPr>
      </w:pPr>
    </w:p>
    <w:p w14:paraId="1986C3F4" w14:textId="77777777" w:rsidR="006F331C" w:rsidRPr="00605E91" w:rsidRDefault="006F331C" w:rsidP="007A38D4">
      <w:pPr>
        <w:spacing w:line="480" w:lineRule="auto"/>
        <w:jc w:val="center"/>
        <w:rPr>
          <w:b/>
        </w:rPr>
      </w:pPr>
      <w:r w:rsidRPr="00605E91">
        <w:rPr>
          <w:b/>
        </w:rPr>
        <w:t>Summary of Emissions Data</w:t>
      </w:r>
    </w:p>
    <w:tbl>
      <w:tblPr>
        <w:tblpPr w:leftFromText="180" w:rightFromText="180" w:vertAnchor="text" w:horzAnchor="margin" w:tblpXSpec="center" w:tblpY="110"/>
        <w:tblW w:w="7920" w:type="dxa"/>
        <w:tblLook w:val="04A0" w:firstRow="1" w:lastRow="0" w:firstColumn="1" w:lastColumn="0" w:noHBand="0" w:noVBand="1"/>
      </w:tblPr>
      <w:tblGrid>
        <w:gridCol w:w="3840"/>
        <w:gridCol w:w="2600"/>
        <w:gridCol w:w="1480"/>
      </w:tblGrid>
      <w:tr w:rsidR="0034686D" w:rsidRPr="0034686D" w14:paraId="42855F60" w14:textId="77777777" w:rsidTr="0034686D">
        <w:trPr>
          <w:trHeight w:val="270"/>
        </w:trPr>
        <w:tc>
          <w:tcPr>
            <w:tcW w:w="3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4DA618" w14:textId="77777777" w:rsidR="0034686D" w:rsidRPr="0034686D" w:rsidRDefault="0034686D" w:rsidP="0034686D">
            <w:pPr>
              <w:jc w:val="center"/>
              <w:rPr>
                <w:rFonts w:ascii="Calibri" w:hAnsi="Calibri" w:cs="Arial"/>
                <w:b/>
                <w:bCs/>
                <w:color w:val="000000"/>
                <w:sz w:val="16"/>
                <w:szCs w:val="16"/>
              </w:rPr>
            </w:pPr>
            <w:r w:rsidRPr="0034686D">
              <w:rPr>
                <w:rFonts w:ascii="Calibri" w:hAnsi="Calibri" w:cs="Arial"/>
                <w:b/>
                <w:bCs/>
                <w:color w:val="000000"/>
                <w:sz w:val="16"/>
                <w:szCs w:val="16"/>
              </w:rPr>
              <w:t>Emissions Source</w:t>
            </w:r>
          </w:p>
        </w:tc>
        <w:tc>
          <w:tcPr>
            <w:tcW w:w="2600" w:type="dxa"/>
            <w:tcBorders>
              <w:top w:val="single" w:sz="8" w:space="0" w:color="auto"/>
              <w:left w:val="nil"/>
              <w:bottom w:val="single" w:sz="8" w:space="0" w:color="auto"/>
              <w:right w:val="single" w:sz="8" w:space="0" w:color="auto"/>
            </w:tcBorders>
            <w:shd w:val="clear" w:color="auto" w:fill="auto"/>
            <w:noWrap/>
            <w:vAlign w:val="center"/>
            <w:hideMark/>
          </w:tcPr>
          <w:p w14:paraId="02E9A450" w14:textId="77777777" w:rsidR="0034686D" w:rsidRPr="0034686D" w:rsidRDefault="0034686D" w:rsidP="0034686D">
            <w:pPr>
              <w:jc w:val="center"/>
              <w:rPr>
                <w:rFonts w:ascii="Calibri" w:hAnsi="Calibri" w:cs="Arial"/>
                <w:b/>
                <w:bCs/>
                <w:color w:val="000000"/>
                <w:sz w:val="16"/>
                <w:szCs w:val="16"/>
              </w:rPr>
            </w:pPr>
            <w:r w:rsidRPr="0034686D">
              <w:rPr>
                <w:rFonts w:ascii="Calibri" w:hAnsi="Calibri" w:cs="Arial"/>
                <w:b/>
                <w:bCs/>
                <w:color w:val="000000"/>
                <w:sz w:val="16"/>
                <w:szCs w:val="16"/>
              </w:rPr>
              <w:t xml:space="preserve">MT-eCO2 </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14:paraId="58515060" w14:textId="77777777" w:rsidR="0034686D" w:rsidRPr="0034686D" w:rsidRDefault="0034686D" w:rsidP="0034686D">
            <w:pPr>
              <w:jc w:val="center"/>
              <w:rPr>
                <w:rFonts w:ascii="Calibri" w:hAnsi="Calibri" w:cs="Arial"/>
                <w:b/>
                <w:bCs/>
                <w:color w:val="000000"/>
                <w:sz w:val="16"/>
                <w:szCs w:val="16"/>
              </w:rPr>
            </w:pPr>
            <w:r w:rsidRPr="0034686D">
              <w:rPr>
                <w:rFonts w:ascii="Calibri" w:hAnsi="Calibri" w:cs="Arial"/>
                <w:b/>
                <w:bCs/>
                <w:color w:val="000000"/>
                <w:sz w:val="16"/>
                <w:szCs w:val="16"/>
              </w:rPr>
              <w:t>% of Total</w:t>
            </w:r>
          </w:p>
        </w:tc>
      </w:tr>
      <w:tr w:rsidR="0034686D" w:rsidRPr="0034686D" w14:paraId="125B3A3C"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11A8B0F5"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On-Campus Stationary (Natural Gas)</w:t>
            </w:r>
          </w:p>
        </w:tc>
        <w:tc>
          <w:tcPr>
            <w:tcW w:w="2600" w:type="dxa"/>
            <w:tcBorders>
              <w:top w:val="nil"/>
              <w:left w:val="nil"/>
              <w:bottom w:val="single" w:sz="8" w:space="0" w:color="auto"/>
              <w:right w:val="single" w:sz="8" w:space="0" w:color="auto"/>
            </w:tcBorders>
            <w:shd w:val="clear" w:color="auto" w:fill="auto"/>
            <w:noWrap/>
            <w:vAlign w:val="center"/>
            <w:hideMark/>
          </w:tcPr>
          <w:p w14:paraId="0F995AA2"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2853</w:t>
            </w:r>
          </w:p>
        </w:tc>
        <w:tc>
          <w:tcPr>
            <w:tcW w:w="1480" w:type="dxa"/>
            <w:tcBorders>
              <w:top w:val="nil"/>
              <w:left w:val="nil"/>
              <w:bottom w:val="single" w:sz="8" w:space="0" w:color="auto"/>
              <w:right w:val="single" w:sz="8" w:space="0" w:color="auto"/>
            </w:tcBorders>
            <w:shd w:val="clear" w:color="auto" w:fill="auto"/>
            <w:noWrap/>
            <w:vAlign w:val="center"/>
            <w:hideMark/>
          </w:tcPr>
          <w:p w14:paraId="0936B21A"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17.86%</w:t>
            </w:r>
          </w:p>
        </w:tc>
      </w:tr>
      <w:tr w:rsidR="0034686D" w:rsidRPr="0034686D" w14:paraId="47614E91" w14:textId="77777777" w:rsidTr="0034686D">
        <w:trPr>
          <w:trHeight w:val="270"/>
        </w:trPr>
        <w:tc>
          <w:tcPr>
            <w:tcW w:w="3840" w:type="dxa"/>
            <w:tcBorders>
              <w:top w:val="nil"/>
              <w:left w:val="single" w:sz="8" w:space="0" w:color="auto"/>
              <w:bottom w:val="single" w:sz="8" w:space="0" w:color="auto"/>
              <w:right w:val="single" w:sz="8" w:space="0" w:color="auto"/>
            </w:tcBorders>
            <w:shd w:val="clear" w:color="000000" w:fill="BDD7EE"/>
            <w:noWrap/>
            <w:vAlign w:val="center"/>
            <w:hideMark/>
          </w:tcPr>
          <w:p w14:paraId="50D5B868"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lastRenderedPageBreak/>
              <w:t>Direct Transportation (Fleet Vehicles)</w:t>
            </w:r>
          </w:p>
        </w:tc>
        <w:tc>
          <w:tcPr>
            <w:tcW w:w="2600" w:type="dxa"/>
            <w:tcBorders>
              <w:top w:val="nil"/>
              <w:left w:val="nil"/>
              <w:bottom w:val="single" w:sz="8" w:space="0" w:color="auto"/>
              <w:right w:val="single" w:sz="8" w:space="0" w:color="auto"/>
            </w:tcBorders>
            <w:shd w:val="clear" w:color="000000" w:fill="BDD7EE"/>
            <w:noWrap/>
            <w:vAlign w:val="center"/>
            <w:hideMark/>
          </w:tcPr>
          <w:p w14:paraId="321058DB"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93</w:t>
            </w:r>
          </w:p>
        </w:tc>
        <w:tc>
          <w:tcPr>
            <w:tcW w:w="1480" w:type="dxa"/>
            <w:tcBorders>
              <w:top w:val="nil"/>
              <w:left w:val="nil"/>
              <w:bottom w:val="single" w:sz="8" w:space="0" w:color="auto"/>
              <w:right w:val="single" w:sz="8" w:space="0" w:color="auto"/>
            </w:tcBorders>
            <w:shd w:val="clear" w:color="000000" w:fill="BDD7EE"/>
            <w:noWrap/>
            <w:vAlign w:val="center"/>
            <w:hideMark/>
          </w:tcPr>
          <w:p w14:paraId="382D92B0"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0.58%</w:t>
            </w:r>
          </w:p>
        </w:tc>
      </w:tr>
      <w:tr w:rsidR="0034686D" w:rsidRPr="0034686D" w14:paraId="47DDBA2B"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7B0FE857"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Refrigerants/Chemicals</w:t>
            </w:r>
          </w:p>
        </w:tc>
        <w:tc>
          <w:tcPr>
            <w:tcW w:w="2600" w:type="dxa"/>
            <w:tcBorders>
              <w:top w:val="nil"/>
              <w:left w:val="nil"/>
              <w:bottom w:val="single" w:sz="8" w:space="0" w:color="auto"/>
              <w:right w:val="single" w:sz="8" w:space="0" w:color="auto"/>
            </w:tcBorders>
            <w:shd w:val="clear" w:color="auto" w:fill="auto"/>
            <w:noWrap/>
            <w:vAlign w:val="center"/>
            <w:hideMark/>
          </w:tcPr>
          <w:p w14:paraId="2C513F60"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232</w:t>
            </w:r>
          </w:p>
        </w:tc>
        <w:tc>
          <w:tcPr>
            <w:tcW w:w="1480" w:type="dxa"/>
            <w:tcBorders>
              <w:top w:val="nil"/>
              <w:left w:val="nil"/>
              <w:bottom w:val="single" w:sz="8" w:space="0" w:color="auto"/>
              <w:right w:val="single" w:sz="8" w:space="0" w:color="auto"/>
            </w:tcBorders>
            <w:shd w:val="clear" w:color="auto" w:fill="auto"/>
            <w:noWrap/>
            <w:vAlign w:val="center"/>
            <w:hideMark/>
          </w:tcPr>
          <w:p w14:paraId="43F923C3"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1.45%</w:t>
            </w:r>
          </w:p>
        </w:tc>
      </w:tr>
      <w:tr w:rsidR="0034686D" w:rsidRPr="0034686D" w14:paraId="093CD260" w14:textId="77777777" w:rsidTr="0034686D">
        <w:trPr>
          <w:trHeight w:val="270"/>
        </w:trPr>
        <w:tc>
          <w:tcPr>
            <w:tcW w:w="3840" w:type="dxa"/>
            <w:tcBorders>
              <w:top w:val="nil"/>
              <w:left w:val="single" w:sz="8" w:space="0" w:color="auto"/>
              <w:bottom w:val="single" w:sz="8" w:space="0" w:color="auto"/>
              <w:right w:val="single" w:sz="8" w:space="0" w:color="auto"/>
            </w:tcBorders>
            <w:shd w:val="clear" w:color="000000" w:fill="BDD7EE"/>
            <w:noWrap/>
            <w:vAlign w:val="center"/>
            <w:hideMark/>
          </w:tcPr>
          <w:p w14:paraId="203BE4A8"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Agriculture (Fertilizer Application)</w:t>
            </w:r>
          </w:p>
        </w:tc>
        <w:tc>
          <w:tcPr>
            <w:tcW w:w="2600" w:type="dxa"/>
            <w:tcBorders>
              <w:top w:val="nil"/>
              <w:left w:val="nil"/>
              <w:bottom w:val="single" w:sz="8" w:space="0" w:color="auto"/>
              <w:right w:val="single" w:sz="8" w:space="0" w:color="auto"/>
            </w:tcBorders>
            <w:shd w:val="clear" w:color="000000" w:fill="BDD7EE"/>
            <w:noWrap/>
            <w:vAlign w:val="center"/>
            <w:hideMark/>
          </w:tcPr>
          <w:p w14:paraId="34BFBD20"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13</w:t>
            </w:r>
          </w:p>
        </w:tc>
        <w:tc>
          <w:tcPr>
            <w:tcW w:w="1480" w:type="dxa"/>
            <w:tcBorders>
              <w:top w:val="nil"/>
              <w:left w:val="nil"/>
              <w:bottom w:val="single" w:sz="8" w:space="0" w:color="auto"/>
              <w:right w:val="single" w:sz="8" w:space="0" w:color="auto"/>
            </w:tcBorders>
            <w:shd w:val="clear" w:color="000000" w:fill="BDD7EE"/>
            <w:noWrap/>
            <w:vAlign w:val="center"/>
            <w:hideMark/>
          </w:tcPr>
          <w:p w14:paraId="3AC74207"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0.08%</w:t>
            </w:r>
          </w:p>
        </w:tc>
      </w:tr>
      <w:tr w:rsidR="0034686D" w:rsidRPr="0034686D" w14:paraId="3F175A72"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7D5F5974"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Purchased Electricity</w:t>
            </w:r>
          </w:p>
        </w:tc>
        <w:tc>
          <w:tcPr>
            <w:tcW w:w="2600" w:type="dxa"/>
            <w:tcBorders>
              <w:top w:val="nil"/>
              <w:left w:val="nil"/>
              <w:bottom w:val="single" w:sz="8" w:space="0" w:color="auto"/>
              <w:right w:val="single" w:sz="8" w:space="0" w:color="auto"/>
            </w:tcBorders>
            <w:shd w:val="clear" w:color="auto" w:fill="auto"/>
            <w:noWrap/>
            <w:vAlign w:val="center"/>
            <w:hideMark/>
          </w:tcPr>
          <w:p w14:paraId="4DF7BA44"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8652</w:t>
            </w:r>
          </w:p>
        </w:tc>
        <w:tc>
          <w:tcPr>
            <w:tcW w:w="1480" w:type="dxa"/>
            <w:tcBorders>
              <w:top w:val="nil"/>
              <w:left w:val="nil"/>
              <w:bottom w:val="single" w:sz="8" w:space="0" w:color="auto"/>
              <w:right w:val="single" w:sz="8" w:space="0" w:color="auto"/>
            </w:tcBorders>
            <w:shd w:val="clear" w:color="auto" w:fill="auto"/>
            <w:noWrap/>
            <w:vAlign w:val="center"/>
            <w:hideMark/>
          </w:tcPr>
          <w:p w14:paraId="33B197BF"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54.15%</w:t>
            </w:r>
          </w:p>
        </w:tc>
      </w:tr>
      <w:tr w:rsidR="0034686D" w:rsidRPr="0034686D" w14:paraId="3FA93BAD"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7DF59C01"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Faculty/Staff Commuting</w:t>
            </w:r>
          </w:p>
        </w:tc>
        <w:tc>
          <w:tcPr>
            <w:tcW w:w="2600" w:type="dxa"/>
            <w:tcBorders>
              <w:top w:val="nil"/>
              <w:left w:val="nil"/>
              <w:bottom w:val="single" w:sz="8" w:space="0" w:color="auto"/>
              <w:right w:val="single" w:sz="8" w:space="0" w:color="auto"/>
            </w:tcBorders>
            <w:shd w:val="clear" w:color="auto" w:fill="auto"/>
            <w:noWrap/>
            <w:vAlign w:val="center"/>
            <w:hideMark/>
          </w:tcPr>
          <w:p w14:paraId="526ED556"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629</w:t>
            </w:r>
          </w:p>
        </w:tc>
        <w:tc>
          <w:tcPr>
            <w:tcW w:w="1480" w:type="dxa"/>
            <w:tcBorders>
              <w:top w:val="nil"/>
              <w:left w:val="nil"/>
              <w:bottom w:val="single" w:sz="8" w:space="0" w:color="auto"/>
              <w:right w:val="single" w:sz="8" w:space="0" w:color="auto"/>
            </w:tcBorders>
            <w:shd w:val="clear" w:color="auto" w:fill="auto"/>
            <w:noWrap/>
            <w:vAlign w:val="center"/>
            <w:hideMark/>
          </w:tcPr>
          <w:p w14:paraId="00FB3191"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3.94%</w:t>
            </w:r>
          </w:p>
        </w:tc>
      </w:tr>
      <w:tr w:rsidR="0034686D" w:rsidRPr="0034686D" w14:paraId="67257764"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5A6337EF"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Student Commuting</w:t>
            </w:r>
          </w:p>
        </w:tc>
        <w:tc>
          <w:tcPr>
            <w:tcW w:w="2600" w:type="dxa"/>
            <w:tcBorders>
              <w:top w:val="nil"/>
              <w:left w:val="nil"/>
              <w:bottom w:val="single" w:sz="8" w:space="0" w:color="auto"/>
              <w:right w:val="single" w:sz="8" w:space="0" w:color="auto"/>
            </w:tcBorders>
            <w:shd w:val="clear" w:color="auto" w:fill="auto"/>
            <w:noWrap/>
            <w:vAlign w:val="center"/>
            <w:hideMark/>
          </w:tcPr>
          <w:p w14:paraId="2B65BA32"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215</w:t>
            </w:r>
          </w:p>
        </w:tc>
        <w:tc>
          <w:tcPr>
            <w:tcW w:w="1480" w:type="dxa"/>
            <w:tcBorders>
              <w:top w:val="nil"/>
              <w:left w:val="nil"/>
              <w:bottom w:val="single" w:sz="8" w:space="0" w:color="auto"/>
              <w:right w:val="single" w:sz="8" w:space="0" w:color="auto"/>
            </w:tcBorders>
            <w:shd w:val="clear" w:color="auto" w:fill="auto"/>
            <w:noWrap/>
            <w:vAlign w:val="center"/>
            <w:hideMark/>
          </w:tcPr>
          <w:p w14:paraId="78A4D8FE"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1.35%</w:t>
            </w:r>
          </w:p>
        </w:tc>
      </w:tr>
      <w:tr w:rsidR="0034686D" w:rsidRPr="0034686D" w14:paraId="482E505F"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23621F8E"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Directly Financed Air Travel</w:t>
            </w:r>
          </w:p>
        </w:tc>
        <w:tc>
          <w:tcPr>
            <w:tcW w:w="2600" w:type="dxa"/>
            <w:tcBorders>
              <w:top w:val="nil"/>
              <w:left w:val="nil"/>
              <w:bottom w:val="single" w:sz="8" w:space="0" w:color="auto"/>
              <w:right w:val="single" w:sz="8" w:space="0" w:color="auto"/>
            </w:tcBorders>
            <w:shd w:val="clear" w:color="auto" w:fill="auto"/>
            <w:noWrap/>
            <w:vAlign w:val="center"/>
            <w:hideMark/>
          </w:tcPr>
          <w:p w14:paraId="06615777"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467</w:t>
            </w:r>
          </w:p>
        </w:tc>
        <w:tc>
          <w:tcPr>
            <w:tcW w:w="1480" w:type="dxa"/>
            <w:tcBorders>
              <w:top w:val="nil"/>
              <w:left w:val="nil"/>
              <w:bottom w:val="single" w:sz="8" w:space="0" w:color="auto"/>
              <w:right w:val="single" w:sz="8" w:space="0" w:color="auto"/>
            </w:tcBorders>
            <w:shd w:val="clear" w:color="auto" w:fill="auto"/>
            <w:noWrap/>
            <w:vAlign w:val="center"/>
            <w:hideMark/>
          </w:tcPr>
          <w:p w14:paraId="5F6531A4"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2.92%</w:t>
            </w:r>
          </w:p>
        </w:tc>
      </w:tr>
      <w:tr w:rsidR="0034686D" w:rsidRPr="0034686D" w14:paraId="48898C2B" w14:textId="77777777" w:rsidTr="0034686D">
        <w:trPr>
          <w:trHeight w:val="465"/>
        </w:trPr>
        <w:tc>
          <w:tcPr>
            <w:tcW w:w="3840" w:type="dxa"/>
            <w:tcBorders>
              <w:top w:val="nil"/>
              <w:left w:val="single" w:sz="8" w:space="0" w:color="auto"/>
              <w:bottom w:val="single" w:sz="8" w:space="0" w:color="auto"/>
              <w:right w:val="single" w:sz="8" w:space="0" w:color="auto"/>
            </w:tcBorders>
            <w:shd w:val="clear" w:color="000000" w:fill="BDD7EE"/>
            <w:vAlign w:val="center"/>
            <w:hideMark/>
          </w:tcPr>
          <w:p w14:paraId="33CE26A7"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Other Directly Financed (Personal Mileage Reimbursement/Bus Miles)</w:t>
            </w:r>
          </w:p>
        </w:tc>
        <w:tc>
          <w:tcPr>
            <w:tcW w:w="2600" w:type="dxa"/>
            <w:tcBorders>
              <w:top w:val="nil"/>
              <w:left w:val="nil"/>
              <w:bottom w:val="single" w:sz="8" w:space="0" w:color="auto"/>
              <w:right w:val="single" w:sz="8" w:space="0" w:color="auto"/>
            </w:tcBorders>
            <w:shd w:val="clear" w:color="000000" w:fill="BDD7EE"/>
            <w:noWrap/>
            <w:vAlign w:val="center"/>
            <w:hideMark/>
          </w:tcPr>
          <w:p w14:paraId="06AD9BDB"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51</w:t>
            </w:r>
          </w:p>
        </w:tc>
        <w:tc>
          <w:tcPr>
            <w:tcW w:w="1480" w:type="dxa"/>
            <w:tcBorders>
              <w:top w:val="nil"/>
              <w:left w:val="nil"/>
              <w:bottom w:val="single" w:sz="8" w:space="0" w:color="auto"/>
              <w:right w:val="single" w:sz="8" w:space="0" w:color="auto"/>
            </w:tcBorders>
            <w:shd w:val="clear" w:color="000000" w:fill="BDD7EE"/>
            <w:noWrap/>
            <w:vAlign w:val="center"/>
            <w:hideMark/>
          </w:tcPr>
          <w:p w14:paraId="4D40C31A"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0.32%</w:t>
            </w:r>
          </w:p>
        </w:tc>
      </w:tr>
      <w:tr w:rsidR="0034686D" w:rsidRPr="0034686D" w14:paraId="7AEDCC7A"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5FD331A6"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Study Abroad Air Travel</w:t>
            </w:r>
          </w:p>
        </w:tc>
        <w:tc>
          <w:tcPr>
            <w:tcW w:w="2600" w:type="dxa"/>
            <w:tcBorders>
              <w:top w:val="nil"/>
              <w:left w:val="nil"/>
              <w:bottom w:val="single" w:sz="8" w:space="0" w:color="auto"/>
              <w:right w:val="single" w:sz="8" w:space="0" w:color="auto"/>
            </w:tcBorders>
            <w:shd w:val="clear" w:color="auto" w:fill="auto"/>
            <w:noWrap/>
            <w:vAlign w:val="center"/>
            <w:hideMark/>
          </w:tcPr>
          <w:p w14:paraId="442499F3"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580</w:t>
            </w:r>
          </w:p>
        </w:tc>
        <w:tc>
          <w:tcPr>
            <w:tcW w:w="1480" w:type="dxa"/>
            <w:tcBorders>
              <w:top w:val="nil"/>
              <w:left w:val="nil"/>
              <w:bottom w:val="single" w:sz="8" w:space="0" w:color="auto"/>
              <w:right w:val="single" w:sz="8" w:space="0" w:color="auto"/>
            </w:tcBorders>
            <w:shd w:val="clear" w:color="auto" w:fill="auto"/>
            <w:noWrap/>
            <w:vAlign w:val="center"/>
            <w:hideMark/>
          </w:tcPr>
          <w:p w14:paraId="4B32E7A7"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3.63%</w:t>
            </w:r>
          </w:p>
        </w:tc>
      </w:tr>
      <w:tr w:rsidR="0034686D" w:rsidRPr="0034686D" w14:paraId="4F0A1B85"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0FCA6A38"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Solid Waste</w:t>
            </w:r>
          </w:p>
        </w:tc>
        <w:tc>
          <w:tcPr>
            <w:tcW w:w="2600" w:type="dxa"/>
            <w:tcBorders>
              <w:top w:val="nil"/>
              <w:left w:val="nil"/>
              <w:bottom w:val="single" w:sz="8" w:space="0" w:color="auto"/>
              <w:right w:val="single" w:sz="8" w:space="0" w:color="auto"/>
            </w:tcBorders>
            <w:shd w:val="clear" w:color="auto" w:fill="auto"/>
            <w:noWrap/>
            <w:vAlign w:val="center"/>
            <w:hideMark/>
          </w:tcPr>
          <w:p w14:paraId="6359B099"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1596</w:t>
            </w:r>
          </w:p>
        </w:tc>
        <w:tc>
          <w:tcPr>
            <w:tcW w:w="1480" w:type="dxa"/>
            <w:tcBorders>
              <w:top w:val="nil"/>
              <w:left w:val="nil"/>
              <w:bottom w:val="single" w:sz="8" w:space="0" w:color="auto"/>
              <w:right w:val="single" w:sz="8" w:space="0" w:color="auto"/>
            </w:tcBorders>
            <w:shd w:val="clear" w:color="auto" w:fill="auto"/>
            <w:noWrap/>
            <w:vAlign w:val="center"/>
            <w:hideMark/>
          </w:tcPr>
          <w:p w14:paraId="02D8B7A6"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9.99%</w:t>
            </w:r>
          </w:p>
        </w:tc>
      </w:tr>
      <w:tr w:rsidR="0034686D" w:rsidRPr="0034686D" w14:paraId="55BCD937" w14:textId="77777777" w:rsidTr="0034686D">
        <w:trPr>
          <w:trHeight w:val="270"/>
        </w:trPr>
        <w:tc>
          <w:tcPr>
            <w:tcW w:w="3840" w:type="dxa"/>
            <w:tcBorders>
              <w:top w:val="nil"/>
              <w:left w:val="single" w:sz="8" w:space="0" w:color="auto"/>
              <w:bottom w:val="single" w:sz="8" w:space="0" w:color="auto"/>
              <w:right w:val="single" w:sz="8" w:space="0" w:color="auto"/>
            </w:tcBorders>
            <w:shd w:val="clear" w:color="000000" w:fill="BDD7EE"/>
            <w:noWrap/>
            <w:vAlign w:val="center"/>
            <w:hideMark/>
          </w:tcPr>
          <w:p w14:paraId="51CE8A58"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Wastewater</w:t>
            </w:r>
          </w:p>
        </w:tc>
        <w:tc>
          <w:tcPr>
            <w:tcW w:w="2600" w:type="dxa"/>
            <w:tcBorders>
              <w:top w:val="nil"/>
              <w:left w:val="nil"/>
              <w:bottom w:val="single" w:sz="8" w:space="0" w:color="auto"/>
              <w:right w:val="single" w:sz="8" w:space="0" w:color="auto"/>
            </w:tcBorders>
            <w:shd w:val="clear" w:color="000000" w:fill="BDD7EE"/>
            <w:noWrap/>
            <w:vAlign w:val="center"/>
            <w:hideMark/>
          </w:tcPr>
          <w:p w14:paraId="7B9E3851"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12</w:t>
            </w:r>
          </w:p>
        </w:tc>
        <w:tc>
          <w:tcPr>
            <w:tcW w:w="1480" w:type="dxa"/>
            <w:tcBorders>
              <w:top w:val="nil"/>
              <w:left w:val="nil"/>
              <w:bottom w:val="single" w:sz="8" w:space="0" w:color="auto"/>
              <w:right w:val="single" w:sz="8" w:space="0" w:color="auto"/>
            </w:tcBorders>
            <w:shd w:val="clear" w:color="000000" w:fill="BDD7EE"/>
            <w:noWrap/>
            <w:vAlign w:val="center"/>
            <w:hideMark/>
          </w:tcPr>
          <w:p w14:paraId="7FE38045"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0.08%</w:t>
            </w:r>
          </w:p>
        </w:tc>
      </w:tr>
      <w:tr w:rsidR="0034686D" w:rsidRPr="0034686D" w14:paraId="4CDF00D3" w14:textId="77777777" w:rsidTr="0034686D">
        <w:trPr>
          <w:trHeight w:val="270"/>
        </w:trPr>
        <w:tc>
          <w:tcPr>
            <w:tcW w:w="3840" w:type="dxa"/>
            <w:tcBorders>
              <w:top w:val="nil"/>
              <w:left w:val="single" w:sz="8" w:space="0" w:color="auto"/>
              <w:bottom w:val="single" w:sz="8" w:space="0" w:color="auto"/>
              <w:right w:val="single" w:sz="8" w:space="0" w:color="auto"/>
            </w:tcBorders>
            <w:shd w:val="clear" w:color="000000" w:fill="BDD7EE"/>
            <w:noWrap/>
            <w:vAlign w:val="center"/>
            <w:hideMark/>
          </w:tcPr>
          <w:p w14:paraId="48E60073"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Paper Purchasing</w:t>
            </w:r>
          </w:p>
        </w:tc>
        <w:tc>
          <w:tcPr>
            <w:tcW w:w="2600" w:type="dxa"/>
            <w:tcBorders>
              <w:top w:val="nil"/>
              <w:left w:val="nil"/>
              <w:bottom w:val="single" w:sz="8" w:space="0" w:color="auto"/>
              <w:right w:val="single" w:sz="8" w:space="0" w:color="auto"/>
            </w:tcBorders>
            <w:shd w:val="clear" w:color="000000" w:fill="BDD7EE"/>
            <w:noWrap/>
            <w:vAlign w:val="center"/>
            <w:hideMark/>
          </w:tcPr>
          <w:p w14:paraId="3AAC2414"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14</w:t>
            </w:r>
          </w:p>
        </w:tc>
        <w:tc>
          <w:tcPr>
            <w:tcW w:w="1480" w:type="dxa"/>
            <w:tcBorders>
              <w:top w:val="nil"/>
              <w:left w:val="nil"/>
              <w:bottom w:val="single" w:sz="8" w:space="0" w:color="auto"/>
              <w:right w:val="single" w:sz="8" w:space="0" w:color="auto"/>
            </w:tcBorders>
            <w:shd w:val="clear" w:color="000000" w:fill="BDD7EE"/>
            <w:noWrap/>
            <w:vAlign w:val="center"/>
            <w:hideMark/>
          </w:tcPr>
          <w:p w14:paraId="78F0E71B"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0.09%</w:t>
            </w:r>
          </w:p>
        </w:tc>
      </w:tr>
      <w:tr w:rsidR="0034686D" w:rsidRPr="0034686D" w14:paraId="2C8502E4"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222F8EF9"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Scope 2 T &amp; D Losses</w:t>
            </w:r>
          </w:p>
        </w:tc>
        <w:tc>
          <w:tcPr>
            <w:tcW w:w="2600" w:type="dxa"/>
            <w:tcBorders>
              <w:top w:val="nil"/>
              <w:left w:val="nil"/>
              <w:bottom w:val="single" w:sz="8" w:space="0" w:color="auto"/>
              <w:right w:val="single" w:sz="8" w:space="0" w:color="auto"/>
            </w:tcBorders>
            <w:shd w:val="clear" w:color="auto" w:fill="auto"/>
            <w:noWrap/>
            <w:vAlign w:val="center"/>
            <w:hideMark/>
          </w:tcPr>
          <w:p w14:paraId="158CA4A7"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570</w:t>
            </w:r>
          </w:p>
        </w:tc>
        <w:tc>
          <w:tcPr>
            <w:tcW w:w="1480" w:type="dxa"/>
            <w:tcBorders>
              <w:top w:val="nil"/>
              <w:left w:val="nil"/>
              <w:bottom w:val="single" w:sz="8" w:space="0" w:color="auto"/>
              <w:right w:val="single" w:sz="8" w:space="0" w:color="auto"/>
            </w:tcBorders>
            <w:shd w:val="clear" w:color="auto" w:fill="auto"/>
            <w:noWrap/>
            <w:vAlign w:val="center"/>
            <w:hideMark/>
          </w:tcPr>
          <w:p w14:paraId="4F954500"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3.57%</w:t>
            </w:r>
          </w:p>
        </w:tc>
      </w:tr>
      <w:tr w:rsidR="0034686D" w:rsidRPr="0034686D" w14:paraId="316296AD"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05CCC245"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Offsets (Additional)</w:t>
            </w:r>
          </w:p>
        </w:tc>
        <w:tc>
          <w:tcPr>
            <w:tcW w:w="2600" w:type="dxa"/>
            <w:tcBorders>
              <w:top w:val="nil"/>
              <w:left w:val="nil"/>
              <w:bottom w:val="single" w:sz="8" w:space="0" w:color="auto"/>
              <w:right w:val="single" w:sz="8" w:space="0" w:color="auto"/>
            </w:tcBorders>
            <w:shd w:val="clear" w:color="auto" w:fill="auto"/>
            <w:noWrap/>
            <w:vAlign w:val="center"/>
            <w:hideMark/>
          </w:tcPr>
          <w:p w14:paraId="1B457196"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0</w:t>
            </w:r>
          </w:p>
        </w:tc>
        <w:tc>
          <w:tcPr>
            <w:tcW w:w="1480" w:type="dxa"/>
            <w:tcBorders>
              <w:top w:val="nil"/>
              <w:left w:val="nil"/>
              <w:bottom w:val="single" w:sz="8" w:space="0" w:color="auto"/>
              <w:right w:val="single" w:sz="8" w:space="0" w:color="auto"/>
            </w:tcBorders>
            <w:shd w:val="clear" w:color="auto" w:fill="auto"/>
            <w:noWrap/>
            <w:vAlign w:val="center"/>
            <w:hideMark/>
          </w:tcPr>
          <w:p w14:paraId="52235AE3"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0.00%</w:t>
            </w:r>
          </w:p>
        </w:tc>
      </w:tr>
      <w:tr w:rsidR="0034686D" w:rsidRPr="0034686D" w14:paraId="4E0302BE"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2E3B2704"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Offsets (Non-Additional)</w:t>
            </w:r>
          </w:p>
        </w:tc>
        <w:tc>
          <w:tcPr>
            <w:tcW w:w="2600" w:type="dxa"/>
            <w:tcBorders>
              <w:top w:val="nil"/>
              <w:left w:val="nil"/>
              <w:bottom w:val="single" w:sz="8" w:space="0" w:color="auto"/>
              <w:right w:val="single" w:sz="8" w:space="0" w:color="auto"/>
            </w:tcBorders>
            <w:shd w:val="clear" w:color="auto" w:fill="auto"/>
            <w:noWrap/>
            <w:vAlign w:val="center"/>
            <w:hideMark/>
          </w:tcPr>
          <w:p w14:paraId="2E5498D3" w14:textId="77777777" w:rsidR="0034686D" w:rsidRPr="0034686D" w:rsidRDefault="0034686D" w:rsidP="0034686D">
            <w:pPr>
              <w:jc w:val="center"/>
              <w:rPr>
                <w:rFonts w:ascii="Calibri" w:hAnsi="Calibri" w:cs="Arial"/>
                <w:color w:val="FF0000"/>
                <w:sz w:val="16"/>
                <w:szCs w:val="16"/>
              </w:rPr>
            </w:pPr>
            <w:r w:rsidRPr="0034686D">
              <w:rPr>
                <w:rFonts w:ascii="Calibri" w:hAnsi="Calibri" w:cs="Arial"/>
                <w:color w:val="FF0000"/>
                <w:sz w:val="16"/>
                <w:szCs w:val="16"/>
              </w:rPr>
              <w:t>-7093</w:t>
            </w:r>
          </w:p>
        </w:tc>
        <w:tc>
          <w:tcPr>
            <w:tcW w:w="1480" w:type="dxa"/>
            <w:tcBorders>
              <w:top w:val="nil"/>
              <w:left w:val="nil"/>
              <w:bottom w:val="single" w:sz="8" w:space="0" w:color="auto"/>
              <w:right w:val="single" w:sz="8" w:space="0" w:color="auto"/>
            </w:tcBorders>
            <w:shd w:val="clear" w:color="auto" w:fill="auto"/>
            <w:noWrap/>
            <w:vAlign w:val="center"/>
            <w:hideMark/>
          </w:tcPr>
          <w:p w14:paraId="7E779E5B" w14:textId="77777777" w:rsidR="0034686D" w:rsidRPr="0034686D" w:rsidRDefault="0034686D" w:rsidP="0034686D">
            <w:pPr>
              <w:jc w:val="center"/>
              <w:rPr>
                <w:rFonts w:ascii="Calibri" w:hAnsi="Calibri" w:cs="Arial"/>
                <w:color w:val="FF0000"/>
                <w:sz w:val="16"/>
                <w:szCs w:val="16"/>
              </w:rPr>
            </w:pPr>
            <w:r w:rsidRPr="0034686D">
              <w:rPr>
                <w:rFonts w:ascii="Calibri" w:hAnsi="Calibri" w:cs="Arial"/>
                <w:color w:val="FF0000"/>
                <w:sz w:val="16"/>
                <w:szCs w:val="16"/>
              </w:rPr>
              <w:t>-44.40%</w:t>
            </w:r>
          </w:p>
        </w:tc>
      </w:tr>
      <w:tr w:rsidR="0034686D" w:rsidRPr="0034686D" w14:paraId="5ABFA24B"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648D0C43" w14:textId="77777777" w:rsidR="0034686D" w:rsidRPr="0034686D" w:rsidRDefault="0034686D" w:rsidP="0034686D">
            <w:pPr>
              <w:jc w:val="center"/>
              <w:rPr>
                <w:rFonts w:ascii="Calibri" w:hAnsi="Calibri" w:cs="Arial"/>
                <w:b/>
                <w:bCs/>
                <w:color w:val="000000"/>
                <w:sz w:val="16"/>
                <w:szCs w:val="16"/>
              </w:rPr>
            </w:pPr>
            <w:r w:rsidRPr="0034686D">
              <w:rPr>
                <w:rFonts w:ascii="Calibri" w:hAnsi="Calibri" w:cs="Arial"/>
                <w:b/>
                <w:bCs/>
                <w:color w:val="000000"/>
                <w:sz w:val="16"/>
                <w:szCs w:val="16"/>
              </w:rPr>
              <w:t>Net Emissions (Subtract Offsets)</w:t>
            </w:r>
          </w:p>
        </w:tc>
        <w:tc>
          <w:tcPr>
            <w:tcW w:w="2600" w:type="dxa"/>
            <w:tcBorders>
              <w:top w:val="nil"/>
              <w:left w:val="nil"/>
              <w:bottom w:val="single" w:sz="8" w:space="0" w:color="auto"/>
              <w:right w:val="single" w:sz="8" w:space="0" w:color="auto"/>
            </w:tcBorders>
            <w:shd w:val="clear" w:color="auto" w:fill="auto"/>
            <w:noWrap/>
            <w:vAlign w:val="center"/>
            <w:hideMark/>
          </w:tcPr>
          <w:p w14:paraId="121C4CFF" w14:textId="77777777" w:rsidR="0034686D" w:rsidRPr="0034686D" w:rsidRDefault="0034686D" w:rsidP="0034686D">
            <w:pPr>
              <w:jc w:val="center"/>
              <w:rPr>
                <w:rFonts w:ascii="Calibri" w:hAnsi="Calibri" w:cs="Arial"/>
                <w:b/>
                <w:bCs/>
                <w:color w:val="000000"/>
                <w:sz w:val="16"/>
                <w:szCs w:val="16"/>
              </w:rPr>
            </w:pPr>
            <w:r w:rsidRPr="0034686D">
              <w:rPr>
                <w:rFonts w:ascii="Calibri" w:hAnsi="Calibri" w:cs="Arial"/>
                <w:b/>
                <w:bCs/>
                <w:color w:val="000000"/>
                <w:sz w:val="16"/>
                <w:szCs w:val="16"/>
              </w:rPr>
              <w:t>8885</w:t>
            </w:r>
          </w:p>
        </w:tc>
        <w:tc>
          <w:tcPr>
            <w:tcW w:w="1480" w:type="dxa"/>
            <w:tcBorders>
              <w:top w:val="nil"/>
              <w:left w:val="nil"/>
              <w:bottom w:val="single" w:sz="8" w:space="0" w:color="auto"/>
              <w:right w:val="single" w:sz="8" w:space="0" w:color="auto"/>
            </w:tcBorders>
            <w:shd w:val="clear" w:color="auto" w:fill="auto"/>
            <w:noWrap/>
            <w:vAlign w:val="center"/>
            <w:hideMark/>
          </w:tcPr>
          <w:p w14:paraId="62C28044" w14:textId="77777777" w:rsidR="0034686D" w:rsidRPr="0034686D" w:rsidRDefault="0034686D" w:rsidP="0034686D">
            <w:pPr>
              <w:jc w:val="center"/>
              <w:rPr>
                <w:rFonts w:ascii="Calibri" w:hAnsi="Calibri" w:cs="Arial"/>
                <w:b/>
                <w:bCs/>
                <w:color w:val="000000"/>
                <w:sz w:val="16"/>
                <w:szCs w:val="16"/>
              </w:rPr>
            </w:pPr>
            <w:r w:rsidRPr="0034686D">
              <w:rPr>
                <w:rFonts w:ascii="Calibri" w:hAnsi="Calibri" w:cs="Arial"/>
                <w:b/>
                <w:bCs/>
                <w:color w:val="000000"/>
                <w:sz w:val="16"/>
                <w:szCs w:val="16"/>
              </w:rPr>
              <w:t>56%</w:t>
            </w:r>
          </w:p>
        </w:tc>
      </w:tr>
      <w:tr w:rsidR="0034686D" w:rsidRPr="0034686D" w14:paraId="1B7D0727" w14:textId="77777777" w:rsidTr="0034686D">
        <w:trPr>
          <w:trHeight w:val="315"/>
        </w:trPr>
        <w:tc>
          <w:tcPr>
            <w:tcW w:w="3840" w:type="dxa"/>
            <w:tcBorders>
              <w:top w:val="nil"/>
              <w:left w:val="nil"/>
              <w:bottom w:val="nil"/>
              <w:right w:val="nil"/>
            </w:tcBorders>
            <w:shd w:val="clear" w:color="auto" w:fill="auto"/>
            <w:noWrap/>
            <w:vAlign w:val="bottom"/>
            <w:hideMark/>
          </w:tcPr>
          <w:p w14:paraId="04C1FF2D" w14:textId="77777777" w:rsidR="0034686D" w:rsidRPr="0034686D" w:rsidRDefault="0034686D" w:rsidP="0034686D">
            <w:pPr>
              <w:jc w:val="center"/>
              <w:rPr>
                <w:rFonts w:ascii="Calibri" w:hAnsi="Calibri" w:cs="Arial"/>
                <w:b/>
                <w:bCs/>
                <w:color w:val="000000"/>
                <w:sz w:val="16"/>
                <w:szCs w:val="16"/>
              </w:rPr>
            </w:pPr>
          </w:p>
        </w:tc>
        <w:tc>
          <w:tcPr>
            <w:tcW w:w="2600" w:type="dxa"/>
            <w:tcBorders>
              <w:top w:val="nil"/>
              <w:left w:val="nil"/>
              <w:bottom w:val="nil"/>
              <w:right w:val="nil"/>
            </w:tcBorders>
            <w:shd w:val="clear" w:color="auto" w:fill="auto"/>
            <w:noWrap/>
            <w:vAlign w:val="bottom"/>
            <w:hideMark/>
          </w:tcPr>
          <w:p w14:paraId="2167125A" w14:textId="77777777" w:rsidR="0034686D" w:rsidRPr="0034686D" w:rsidRDefault="0034686D" w:rsidP="0034686D">
            <w:pPr>
              <w:rPr>
                <w:sz w:val="20"/>
                <w:szCs w:val="20"/>
              </w:rPr>
            </w:pPr>
          </w:p>
        </w:tc>
        <w:tc>
          <w:tcPr>
            <w:tcW w:w="1480" w:type="dxa"/>
            <w:tcBorders>
              <w:top w:val="nil"/>
              <w:left w:val="nil"/>
              <w:bottom w:val="nil"/>
              <w:right w:val="nil"/>
            </w:tcBorders>
            <w:shd w:val="clear" w:color="auto" w:fill="auto"/>
            <w:noWrap/>
            <w:vAlign w:val="bottom"/>
            <w:hideMark/>
          </w:tcPr>
          <w:p w14:paraId="0A37D898" w14:textId="77777777" w:rsidR="0034686D" w:rsidRPr="0034686D" w:rsidRDefault="0034686D" w:rsidP="0034686D">
            <w:pPr>
              <w:rPr>
                <w:sz w:val="20"/>
                <w:szCs w:val="20"/>
              </w:rPr>
            </w:pPr>
          </w:p>
        </w:tc>
      </w:tr>
      <w:tr w:rsidR="0034686D" w:rsidRPr="0034686D" w14:paraId="47C1BBC1" w14:textId="77777777" w:rsidTr="0034686D">
        <w:trPr>
          <w:trHeight w:val="270"/>
        </w:trPr>
        <w:tc>
          <w:tcPr>
            <w:tcW w:w="3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882508" w14:textId="77777777" w:rsidR="0034686D" w:rsidRPr="0034686D" w:rsidRDefault="0034686D" w:rsidP="0034686D">
            <w:pPr>
              <w:jc w:val="center"/>
              <w:rPr>
                <w:rFonts w:ascii="Calibri" w:hAnsi="Calibri" w:cs="Arial"/>
                <w:b/>
                <w:bCs/>
                <w:color w:val="000000"/>
                <w:sz w:val="16"/>
                <w:szCs w:val="16"/>
              </w:rPr>
            </w:pPr>
            <w:r w:rsidRPr="0034686D">
              <w:rPr>
                <w:rFonts w:ascii="Calibri" w:hAnsi="Calibri" w:cs="Arial"/>
                <w:b/>
                <w:bCs/>
                <w:color w:val="000000"/>
                <w:sz w:val="16"/>
                <w:szCs w:val="16"/>
              </w:rPr>
              <w:t>Emissions Category</w:t>
            </w:r>
          </w:p>
        </w:tc>
        <w:tc>
          <w:tcPr>
            <w:tcW w:w="2600" w:type="dxa"/>
            <w:tcBorders>
              <w:top w:val="single" w:sz="8" w:space="0" w:color="auto"/>
              <w:left w:val="nil"/>
              <w:bottom w:val="single" w:sz="8" w:space="0" w:color="auto"/>
              <w:right w:val="single" w:sz="8" w:space="0" w:color="auto"/>
            </w:tcBorders>
            <w:shd w:val="clear" w:color="auto" w:fill="auto"/>
            <w:noWrap/>
            <w:vAlign w:val="center"/>
            <w:hideMark/>
          </w:tcPr>
          <w:p w14:paraId="500170C8" w14:textId="77777777" w:rsidR="0034686D" w:rsidRPr="0034686D" w:rsidRDefault="0034686D" w:rsidP="0034686D">
            <w:pPr>
              <w:jc w:val="center"/>
              <w:rPr>
                <w:rFonts w:ascii="Calibri" w:hAnsi="Calibri" w:cs="Arial"/>
                <w:b/>
                <w:bCs/>
                <w:color w:val="000000"/>
                <w:sz w:val="16"/>
                <w:szCs w:val="16"/>
              </w:rPr>
            </w:pPr>
            <w:r w:rsidRPr="0034686D">
              <w:rPr>
                <w:rFonts w:ascii="Calibri" w:hAnsi="Calibri" w:cs="Arial"/>
                <w:b/>
                <w:bCs/>
                <w:color w:val="000000"/>
                <w:sz w:val="16"/>
                <w:szCs w:val="16"/>
              </w:rPr>
              <w:t xml:space="preserve">MT-eCO2 </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14:paraId="6250906E" w14:textId="77777777" w:rsidR="0034686D" w:rsidRPr="0034686D" w:rsidRDefault="0034686D" w:rsidP="0034686D">
            <w:pPr>
              <w:jc w:val="center"/>
              <w:rPr>
                <w:rFonts w:ascii="Calibri" w:hAnsi="Calibri" w:cs="Arial"/>
                <w:b/>
                <w:bCs/>
                <w:color w:val="000000"/>
                <w:sz w:val="16"/>
                <w:szCs w:val="16"/>
              </w:rPr>
            </w:pPr>
            <w:r w:rsidRPr="0034686D">
              <w:rPr>
                <w:rFonts w:ascii="Calibri" w:hAnsi="Calibri" w:cs="Arial"/>
                <w:b/>
                <w:bCs/>
                <w:color w:val="000000"/>
                <w:sz w:val="16"/>
                <w:szCs w:val="16"/>
              </w:rPr>
              <w:t>% of Total</w:t>
            </w:r>
          </w:p>
        </w:tc>
      </w:tr>
      <w:tr w:rsidR="0034686D" w:rsidRPr="0034686D" w14:paraId="0D5E64EC"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6E4CB540"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 xml:space="preserve">Total Scope 1 </w:t>
            </w:r>
          </w:p>
        </w:tc>
        <w:tc>
          <w:tcPr>
            <w:tcW w:w="2600" w:type="dxa"/>
            <w:tcBorders>
              <w:top w:val="nil"/>
              <w:left w:val="nil"/>
              <w:bottom w:val="single" w:sz="8" w:space="0" w:color="auto"/>
              <w:right w:val="single" w:sz="8" w:space="0" w:color="auto"/>
            </w:tcBorders>
            <w:shd w:val="clear" w:color="auto" w:fill="auto"/>
            <w:noWrap/>
            <w:vAlign w:val="center"/>
            <w:hideMark/>
          </w:tcPr>
          <w:p w14:paraId="0FD245CC"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3191</w:t>
            </w:r>
          </w:p>
        </w:tc>
        <w:tc>
          <w:tcPr>
            <w:tcW w:w="1480" w:type="dxa"/>
            <w:tcBorders>
              <w:top w:val="nil"/>
              <w:left w:val="nil"/>
              <w:bottom w:val="single" w:sz="8" w:space="0" w:color="auto"/>
              <w:right w:val="single" w:sz="8" w:space="0" w:color="auto"/>
            </w:tcBorders>
            <w:shd w:val="clear" w:color="auto" w:fill="auto"/>
            <w:noWrap/>
            <w:vAlign w:val="center"/>
            <w:hideMark/>
          </w:tcPr>
          <w:p w14:paraId="10CC6C2B"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19.97%</w:t>
            </w:r>
          </w:p>
        </w:tc>
      </w:tr>
      <w:tr w:rsidR="0034686D" w:rsidRPr="0034686D" w14:paraId="5D1D8AED"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79526728"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Total Scope 2</w:t>
            </w:r>
          </w:p>
        </w:tc>
        <w:tc>
          <w:tcPr>
            <w:tcW w:w="2600" w:type="dxa"/>
            <w:tcBorders>
              <w:top w:val="nil"/>
              <w:left w:val="nil"/>
              <w:bottom w:val="single" w:sz="8" w:space="0" w:color="auto"/>
              <w:right w:val="single" w:sz="8" w:space="0" w:color="auto"/>
            </w:tcBorders>
            <w:shd w:val="clear" w:color="auto" w:fill="auto"/>
            <w:noWrap/>
            <w:vAlign w:val="center"/>
            <w:hideMark/>
          </w:tcPr>
          <w:p w14:paraId="694C56ED"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8652</w:t>
            </w:r>
          </w:p>
        </w:tc>
        <w:tc>
          <w:tcPr>
            <w:tcW w:w="1480" w:type="dxa"/>
            <w:tcBorders>
              <w:top w:val="nil"/>
              <w:left w:val="nil"/>
              <w:bottom w:val="single" w:sz="8" w:space="0" w:color="auto"/>
              <w:right w:val="single" w:sz="8" w:space="0" w:color="auto"/>
            </w:tcBorders>
            <w:shd w:val="clear" w:color="auto" w:fill="auto"/>
            <w:noWrap/>
            <w:vAlign w:val="center"/>
            <w:hideMark/>
          </w:tcPr>
          <w:p w14:paraId="30AFA36E"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54.15%</w:t>
            </w:r>
          </w:p>
        </w:tc>
      </w:tr>
      <w:tr w:rsidR="0034686D" w:rsidRPr="0034686D" w14:paraId="1B85B4D7"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51678960"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Total Scope 3</w:t>
            </w:r>
          </w:p>
        </w:tc>
        <w:tc>
          <w:tcPr>
            <w:tcW w:w="2600" w:type="dxa"/>
            <w:tcBorders>
              <w:top w:val="nil"/>
              <w:left w:val="nil"/>
              <w:bottom w:val="single" w:sz="8" w:space="0" w:color="auto"/>
              <w:right w:val="single" w:sz="8" w:space="0" w:color="auto"/>
            </w:tcBorders>
            <w:shd w:val="clear" w:color="auto" w:fill="auto"/>
            <w:noWrap/>
            <w:vAlign w:val="center"/>
            <w:hideMark/>
          </w:tcPr>
          <w:p w14:paraId="0C0E1B91"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4135</w:t>
            </w:r>
          </w:p>
        </w:tc>
        <w:tc>
          <w:tcPr>
            <w:tcW w:w="1480" w:type="dxa"/>
            <w:tcBorders>
              <w:top w:val="nil"/>
              <w:left w:val="nil"/>
              <w:bottom w:val="single" w:sz="8" w:space="0" w:color="auto"/>
              <w:right w:val="single" w:sz="8" w:space="0" w:color="auto"/>
            </w:tcBorders>
            <w:shd w:val="clear" w:color="auto" w:fill="auto"/>
            <w:noWrap/>
            <w:vAlign w:val="center"/>
            <w:hideMark/>
          </w:tcPr>
          <w:p w14:paraId="14444E8A"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25.88%</w:t>
            </w:r>
          </w:p>
        </w:tc>
      </w:tr>
      <w:tr w:rsidR="0034686D" w:rsidRPr="0034686D" w14:paraId="519FD867"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73775220"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Total Emissions</w:t>
            </w:r>
          </w:p>
        </w:tc>
        <w:tc>
          <w:tcPr>
            <w:tcW w:w="2600" w:type="dxa"/>
            <w:tcBorders>
              <w:top w:val="nil"/>
              <w:left w:val="nil"/>
              <w:bottom w:val="single" w:sz="8" w:space="0" w:color="auto"/>
              <w:right w:val="single" w:sz="8" w:space="0" w:color="auto"/>
            </w:tcBorders>
            <w:shd w:val="clear" w:color="auto" w:fill="auto"/>
            <w:noWrap/>
            <w:vAlign w:val="center"/>
            <w:hideMark/>
          </w:tcPr>
          <w:p w14:paraId="43969467"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15977</w:t>
            </w:r>
          </w:p>
        </w:tc>
        <w:tc>
          <w:tcPr>
            <w:tcW w:w="1480" w:type="dxa"/>
            <w:tcBorders>
              <w:top w:val="nil"/>
              <w:left w:val="nil"/>
              <w:bottom w:val="single" w:sz="8" w:space="0" w:color="auto"/>
              <w:right w:val="single" w:sz="8" w:space="0" w:color="auto"/>
            </w:tcBorders>
            <w:shd w:val="clear" w:color="auto" w:fill="auto"/>
            <w:noWrap/>
            <w:vAlign w:val="center"/>
            <w:hideMark/>
          </w:tcPr>
          <w:p w14:paraId="02C81A26" w14:textId="77777777" w:rsidR="0034686D" w:rsidRPr="0034686D" w:rsidRDefault="0034686D" w:rsidP="0034686D">
            <w:pPr>
              <w:jc w:val="center"/>
              <w:rPr>
                <w:rFonts w:ascii="Calibri" w:hAnsi="Calibri" w:cs="Arial"/>
                <w:color w:val="000000"/>
                <w:sz w:val="16"/>
                <w:szCs w:val="16"/>
              </w:rPr>
            </w:pPr>
            <w:r w:rsidRPr="0034686D">
              <w:rPr>
                <w:rFonts w:ascii="Calibri" w:hAnsi="Calibri" w:cs="Arial"/>
                <w:color w:val="000000"/>
                <w:sz w:val="16"/>
                <w:szCs w:val="16"/>
              </w:rPr>
              <w:t> </w:t>
            </w:r>
          </w:p>
        </w:tc>
      </w:tr>
      <w:tr w:rsidR="0034686D" w:rsidRPr="0034686D" w14:paraId="02518366" w14:textId="77777777" w:rsidTr="0034686D">
        <w:trPr>
          <w:trHeight w:val="270"/>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7C3DD4E3" w14:textId="77777777" w:rsidR="0034686D" w:rsidRPr="0034686D" w:rsidRDefault="0034686D" w:rsidP="0034686D">
            <w:pPr>
              <w:jc w:val="center"/>
              <w:rPr>
                <w:rFonts w:ascii="Calibri" w:hAnsi="Calibri" w:cs="Arial"/>
                <w:b/>
                <w:bCs/>
                <w:color w:val="000000"/>
                <w:sz w:val="16"/>
                <w:szCs w:val="16"/>
              </w:rPr>
            </w:pPr>
            <w:r w:rsidRPr="0034686D">
              <w:rPr>
                <w:rFonts w:ascii="Calibri" w:hAnsi="Calibri" w:cs="Arial"/>
                <w:b/>
                <w:bCs/>
                <w:color w:val="000000"/>
                <w:sz w:val="16"/>
                <w:szCs w:val="16"/>
              </w:rPr>
              <w:t>Net Emissions (Subtract Offsets)</w:t>
            </w:r>
          </w:p>
        </w:tc>
        <w:tc>
          <w:tcPr>
            <w:tcW w:w="2600" w:type="dxa"/>
            <w:tcBorders>
              <w:top w:val="nil"/>
              <w:left w:val="nil"/>
              <w:bottom w:val="single" w:sz="8" w:space="0" w:color="auto"/>
              <w:right w:val="single" w:sz="8" w:space="0" w:color="auto"/>
            </w:tcBorders>
            <w:shd w:val="clear" w:color="auto" w:fill="auto"/>
            <w:noWrap/>
            <w:vAlign w:val="center"/>
            <w:hideMark/>
          </w:tcPr>
          <w:p w14:paraId="6B1D07C4" w14:textId="77777777" w:rsidR="0034686D" w:rsidRPr="0034686D" w:rsidRDefault="0034686D" w:rsidP="0034686D">
            <w:pPr>
              <w:jc w:val="center"/>
              <w:rPr>
                <w:rFonts w:ascii="Calibri" w:hAnsi="Calibri" w:cs="Arial"/>
                <w:b/>
                <w:bCs/>
                <w:color w:val="000000"/>
                <w:sz w:val="16"/>
                <w:szCs w:val="16"/>
              </w:rPr>
            </w:pPr>
            <w:r w:rsidRPr="0034686D">
              <w:rPr>
                <w:rFonts w:ascii="Calibri" w:hAnsi="Calibri" w:cs="Arial"/>
                <w:b/>
                <w:bCs/>
                <w:color w:val="000000"/>
                <w:sz w:val="16"/>
                <w:szCs w:val="16"/>
              </w:rPr>
              <w:t>8887</w:t>
            </w:r>
          </w:p>
        </w:tc>
        <w:tc>
          <w:tcPr>
            <w:tcW w:w="1480" w:type="dxa"/>
            <w:tcBorders>
              <w:top w:val="nil"/>
              <w:left w:val="nil"/>
              <w:bottom w:val="single" w:sz="8" w:space="0" w:color="auto"/>
              <w:right w:val="single" w:sz="8" w:space="0" w:color="auto"/>
            </w:tcBorders>
            <w:shd w:val="clear" w:color="auto" w:fill="auto"/>
            <w:noWrap/>
            <w:vAlign w:val="center"/>
            <w:hideMark/>
          </w:tcPr>
          <w:p w14:paraId="53BFDB6B" w14:textId="77777777" w:rsidR="0034686D" w:rsidRPr="0034686D" w:rsidRDefault="0034686D" w:rsidP="0034686D">
            <w:pPr>
              <w:jc w:val="center"/>
              <w:rPr>
                <w:rFonts w:ascii="Calibri" w:hAnsi="Calibri" w:cs="Arial"/>
                <w:b/>
                <w:bCs/>
                <w:color w:val="000000"/>
                <w:sz w:val="16"/>
                <w:szCs w:val="16"/>
              </w:rPr>
            </w:pPr>
            <w:r w:rsidRPr="0034686D">
              <w:rPr>
                <w:rFonts w:ascii="Calibri" w:hAnsi="Calibri" w:cs="Arial"/>
                <w:b/>
                <w:bCs/>
                <w:color w:val="000000"/>
                <w:sz w:val="16"/>
                <w:szCs w:val="16"/>
              </w:rPr>
              <w:t>100%</w:t>
            </w:r>
          </w:p>
        </w:tc>
      </w:tr>
    </w:tbl>
    <w:p w14:paraId="4335BB9B" w14:textId="77777777" w:rsidR="00DE5633" w:rsidRDefault="00211F23" w:rsidP="00DC21DA">
      <w:pPr>
        <w:spacing w:line="480" w:lineRule="auto"/>
        <w:jc w:val="center"/>
      </w:pPr>
      <w:r>
        <w:t xml:space="preserve"> </w:t>
      </w:r>
    </w:p>
    <w:p w14:paraId="7C5F8A87" w14:textId="00E0A4CC" w:rsidR="00B348B2" w:rsidRDefault="00B348B2" w:rsidP="00DC21DA">
      <w:pPr>
        <w:spacing w:line="480" w:lineRule="auto"/>
        <w:jc w:val="center"/>
        <w:rPr>
          <w:rFonts w:asciiTheme="minorHAnsi" w:eastAsiaTheme="minorHAnsi" w:hAnsiTheme="minorHAnsi" w:cstheme="minorBidi"/>
          <w:sz w:val="22"/>
          <w:szCs w:val="22"/>
        </w:rPr>
      </w:pPr>
      <w:r>
        <w:fldChar w:fldCharType="begin"/>
      </w:r>
      <w:r>
        <w:instrText xml:space="preserve"> LINK Excel.Sheet.12 "Book1" "Sheet1!R2C1:R26C3" \a \f 4 \h </w:instrText>
      </w:r>
      <w:r>
        <w:fldChar w:fldCharType="separate"/>
      </w:r>
    </w:p>
    <w:p w14:paraId="166B3B55" w14:textId="47BECA24" w:rsidR="006F331C" w:rsidRPr="00605E91" w:rsidRDefault="00B348B2" w:rsidP="005C3319">
      <w:pPr>
        <w:spacing w:line="480" w:lineRule="auto"/>
        <w:rPr>
          <w:b/>
        </w:rPr>
      </w:pPr>
      <w:r>
        <w:rPr>
          <w:b/>
        </w:rPr>
        <w:fldChar w:fldCharType="end"/>
      </w:r>
      <w:r w:rsidR="00211F23">
        <w:t xml:space="preserve">Emission Sources </w:t>
      </w:r>
      <w:r w:rsidR="00DC21DA" w:rsidRPr="00605E91">
        <w:t xml:space="preserve">highlighted in </w:t>
      </w:r>
      <w:r w:rsidR="00211F23">
        <w:t>blue</w:t>
      </w:r>
      <w:r w:rsidR="00211F23" w:rsidRPr="00605E91">
        <w:t xml:space="preserve"> </w:t>
      </w:r>
      <w:r w:rsidR="00DC21DA" w:rsidRPr="00605E91">
        <w:t>were</w:t>
      </w:r>
      <w:r w:rsidR="00DC21DA" w:rsidRPr="00605E91">
        <w:rPr>
          <w:b/>
        </w:rPr>
        <w:t xml:space="preserve"> </w:t>
      </w:r>
      <w:r w:rsidR="00DC21DA" w:rsidRPr="00605E91">
        <w:t xml:space="preserve">determined to be </w:t>
      </w:r>
      <w:r w:rsidR="00DC21DA" w:rsidRPr="00605E91">
        <w:rPr>
          <w:i/>
        </w:rPr>
        <w:t xml:space="preserve">de minimus, </w:t>
      </w:r>
      <w:r w:rsidR="00DC21DA" w:rsidRPr="00605E91">
        <w:t>as they accounted for less than 1% of net emissions.</w:t>
      </w:r>
    </w:p>
    <w:p w14:paraId="2ACFF60F" w14:textId="77777777" w:rsidR="006F331C" w:rsidRPr="00605E91" w:rsidRDefault="006F331C" w:rsidP="006F331C">
      <w:pPr>
        <w:spacing w:line="480" w:lineRule="auto"/>
        <w:jc w:val="center"/>
        <w:rPr>
          <w:b/>
        </w:rPr>
      </w:pPr>
    </w:p>
    <w:p w14:paraId="071F708C" w14:textId="77777777" w:rsidR="00103CFC" w:rsidRPr="00605E91" w:rsidRDefault="00103CFC" w:rsidP="00103CFC">
      <w:pPr>
        <w:spacing w:line="480" w:lineRule="auto"/>
        <w:jc w:val="both"/>
      </w:pPr>
    </w:p>
    <w:p w14:paraId="7D5DAA81" w14:textId="77777777" w:rsidR="005C3319" w:rsidRDefault="005C3319" w:rsidP="00103CFC">
      <w:pPr>
        <w:spacing w:line="480" w:lineRule="auto"/>
        <w:jc w:val="center"/>
        <w:rPr>
          <w:b/>
          <w:sz w:val="28"/>
        </w:rPr>
      </w:pPr>
    </w:p>
    <w:p w14:paraId="0D63187E" w14:textId="77777777" w:rsidR="005C3319" w:rsidRDefault="005C3319" w:rsidP="00103CFC">
      <w:pPr>
        <w:spacing w:line="480" w:lineRule="auto"/>
        <w:jc w:val="center"/>
        <w:rPr>
          <w:b/>
          <w:sz w:val="28"/>
        </w:rPr>
      </w:pPr>
    </w:p>
    <w:p w14:paraId="2DAF568B" w14:textId="77777777" w:rsidR="005C3319" w:rsidRDefault="005C3319" w:rsidP="00103CFC">
      <w:pPr>
        <w:spacing w:line="480" w:lineRule="auto"/>
        <w:jc w:val="center"/>
        <w:rPr>
          <w:b/>
          <w:sz w:val="28"/>
        </w:rPr>
      </w:pPr>
    </w:p>
    <w:p w14:paraId="1F1FD746" w14:textId="43A17FBF" w:rsidR="00211F23" w:rsidRDefault="00211F23" w:rsidP="00103CFC">
      <w:pPr>
        <w:spacing w:line="480" w:lineRule="auto"/>
        <w:jc w:val="center"/>
        <w:rPr>
          <w:b/>
          <w:sz w:val="28"/>
        </w:rPr>
      </w:pPr>
    </w:p>
    <w:p w14:paraId="43B7C0E7" w14:textId="25AE89CC" w:rsidR="0097227C" w:rsidRPr="00605E91" w:rsidRDefault="001904FB" w:rsidP="00945668">
      <w:pPr>
        <w:spacing w:line="480" w:lineRule="auto"/>
        <w:jc w:val="center"/>
      </w:pPr>
      <w:r>
        <w:rPr>
          <w:b/>
          <w:sz w:val="28"/>
        </w:rPr>
        <w:t>CCC</w:t>
      </w:r>
      <w:r w:rsidRPr="00605E91">
        <w:rPr>
          <w:b/>
          <w:sz w:val="28"/>
        </w:rPr>
        <w:t xml:space="preserve"> </w:t>
      </w:r>
      <w:r w:rsidR="0097227C" w:rsidRPr="00605E91">
        <w:rPr>
          <w:b/>
          <w:sz w:val="28"/>
        </w:rPr>
        <w:t xml:space="preserve">Calculator </w:t>
      </w:r>
      <w:r w:rsidR="009F78CC" w:rsidRPr="00605E91">
        <w:rPr>
          <w:b/>
          <w:sz w:val="28"/>
        </w:rPr>
        <w:t xml:space="preserve">Input </w:t>
      </w:r>
      <w:r w:rsidR="0097227C" w:rsidRPr="00605E91">
        <w:rPr>
          <w:b/>
          <w:sz w:val="28"/>
        </w:rPr>
        <w:t>Data and Source</w:t>
      </w:r>
      <w:r w:rsidR="006158FC" w:rsidRPr="00605E91">
        <w:rPr>
          <w:b/>
          <w:sz w:val="28"/>
        </w:rPr>
        <w:t>s</w:t>
      </w:r>
      <w:r w:rsidR="0097227C" w:rsidRPr="00605E91">
        <w:rPr>
          <w:b/>
          <w:sz w:val="28"/>
        </w:rPr>
        <w:t xml:space="preserve"> of Data</w:t>
      </w:r>
    </w:p>
    <w:p w14:paraId="7B7036EE" w14:textId="77777777" w:rsidR="0097227C" w:rsidRPr="00605E91" w:rsidRDefault="0097227C" w:rsidP="00945668">
      <w:pPr>
        <w:ind w:left="360"/>
        <w:jc w:val="both"/>
        <w:rPr>
          <w:b/>
          <w:sz w:val="28"/>
        </w:rPr>
      </w:pPr>
    </w:p>
    <w:tbl>
      <w:tblPr>
        <w:tblW w:w="0" w:type="auto"/>
        <w:tblInd w:w="1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2689"/>
        <w:gridCol w:w="2818"/>
      </w:tblGrid>
      <w:tr w:rsidR="0097227C" w:rsidRPr="00605E91" w14:paraId="538F5007" w14:textId="77777777" w:rsidTr="00945668">
        <w:tc>
          <w:tcPr>
            <w:tcW w:w="5291" w:type="dxa"/>
            <w:gridSpan w:val="2"/>
          </w:tcPr>
          <w:p w14:paraId="1AF84093" w14:textId="1A288D13" w:rsidR="0097227C" w:rsidRPr="00605E91" w:rsidRDefault="0097227C" w:rsidP="009F78CC">
            <w:pPr>
              <w:spacing w:line="480" w:lineRule="auto"/>
              <w:rPr>
                <w:b/>
              </w:rPr>
            </w:pPr>
            <w:r w:rsidRPr="00605E91">
              <w:rPr>
                <w:b/>
              </w:rPr>
              <w:lastRenderedPageBreak/>
              <w:t>Institutional Data</w:t>
            </w:r>
          </w:p>
        </w:tc>
        <w:tc>
          <w:tcPr>
            <w:tcW w:w="2818" w:type="dxa"/>
          </w:tcPr>
          <w:p w14:paraId="40D20179" w14:textId="77777777" w:rsidR="0097227C" w:rsidRPr="00605E91" w:rsidRDefault="0097227C" w:rsidP="009F78CC">
            <w:pPr>
              <w:spacing w:line="480" w:lineRule="auto"/>
              <w:rPr>
                <w:b/>
              </w:rPr>
            </w:pPr>
            <w:r w:rsidRPr="00605E91">
              <w:rPr>
                <w:b/>
              </w:rPr>
              <w:t>Sources</w:t>
            </w:r>
          </w:p>
        </w:tc>
      </w:tr>
      <w:tr w:rsidR="0097227C" w:rsidRPr="00605E91" w14:paraId="1BF57BD7" w14:textId="77777777" w:rsidTr="00945668">
        <w:tc>
          <w:tcPr>
            <w:tcW w:w="8109" w:type="dxa"/>
            <w:gridSpan w:val="3"/>
          </w:tcPr>
          <w:p w14:paraId="3BFE0AEA" w14:textId="77777777" w:rsidR="0097227C" w:rsidRPr="00605E91" w:rsidRDefault="0097227C" w:rsidP="009F78CC">
            <w:pPr>
              <w:rPr>
                <w:i/>
                <w:szCs w:val="22"/>
              </w:rPr>
            </w:pPr>
            <w:r w:rsidRPr="00605E91">
              <w:rPr>
                <w:i/>
                <w:szCs w:val="22"/>
              </w:rPr>
              <w:t>Budgets</w:t>
            </w:r>
          </w:p>
        </w:tc>
      </w:tr>
      <w:tr w:rsidR="0097227C" w:rsidRPr="00605E91" w14:paraId="3E78A219" w14:textId="77777777" w:rsidTr="00945668">
        <w:tc>
          <w:tcPr>
            <w:tcW w:w="2602" w:type="dxa"/>
          </w:tcPr>
          <w:p w14:paraId="339CAFDD" w14:textId="77777777" w:rsidR="0097227C" w:rsidRPr="00605E91" w:rsidRDefault="0097227C" w:rsidP="009F78CC">
            <w:pPr>
              <w:tabs>
                <w:tab w:val="left" w:pos="1470"/>
              </w:tabs>
              <w:rPr>
                <w:szCs w:val="22"/>
              </w:rPr>
            </w:pPr>
            <w:r w:rsidRPr="00605E91">
              <w:rPr>
                <w:szCs w:val="22"/>
              </w:rPr>
              <w:t>Operating Budget</w:t>
            </w:r>
          </w:p>
        </w:tc>
        <w:tc>
          <w:tcPr>
            <w:tcW w:w="2689" w:type="dxa"/>
          </w:tcPr>
          <w:p w14:paraId="1D137313" w14:textId="77777777" w:rsidR="0097227C" w:rsidRPr="00605E91" w:rsidRDefault="0097227C" w:rsidP="009F78CC">
            <w:pPr>
              <w:rPr>
                <w:szCs w:val="22"/>
              </w:rPr>
            </w:pPr>
            <w:r w:rsidRPr="00605E91">
              <w:rPr>
                <w:szCs w:val="22"/>
              </w:rPr>
              <w:t>Total expenditures for fiscal year (dollars).</w:t>
            </w:r>
          </w:p>
        </w:tc>
        <w:tc>
          <w:tcPr>
            <w:tcW w:w="2818" w:type="dxa"/>
          </w:tcPr>
          <w:p w14:paraId="0E3265D0" w14:textId="77777777" w:rsidR="0097227C" w:rsidRPr="00605E91" w:rsidRDefault="00EB5012" w:rsidP="009F78CC">
            <w:pPr>
              <w:rPr>
                <w:szCs w:val="22"/>
              </w:rPr>
            </w:pPr>
            <w:r w:rsidRPr="00605E91">
              <w:rPr>
                <w:szCs w:val="22"/>
              </w:rPr>
              <w:t>Ellen Miles</w:t>
            </w:r>
          </w:p>
        </w:tc>
      </w:tr>
      <w:tr w:rsidR="0097227C" w:rsidRPr="00605E91" w14:paraId="5660ACCA" w14:textId="77777777" w:rsidTr="00945668">
        <w:tc>
          <w:tcPr>
            <w:tcW w:w="2602" w:type="dxa"/>
          </w:tcPr>
          <w:p w14:paraId="34EF6223" w14:textId="77777777" w:rsidR="0097227C" w:rsidRPr="00605E91" w:rsidRDefault="0097227C" w:rsidP="009F78CC">
            <w:pPr>
              <w:rPr>
                <w:szCs w:val="22"/>
              </w:rPr>
            </w:pPr>
            <w:r w:rsidRPr="00605E91">
              <w:rPr>
                <w:szCs w:val="22"/>
              </w:rPr>
              <w:t>Energy Budget</w:t>
            </w:r>
          </w:p>
        </w:tc>
        <w:tc>
          <w:tcPr>
            <w:tcW w:w="2689" w:type="dxa"/>
          </w:tcPr>
          <w:p w14:paraId="5E94B660" w14:textId="77777777" w:rsidR="0097227C" w:rsidRPr="00605E91" w:rsidRDefault="0097227C" w:rsidP="009F78CC">
            <w:pPr>
              <w:rPr>
                <w:szCs w:val="22"/>
              </w:rPr>
            </w:pPr>
            <w:r w:rsidRPr="00605E91">
              <w:rPr>
                <w:szCs w:val="22"/>
              </w:rPr>
              <w:t>Monetary sum the school spends on providing energy (electricity and natural gas) to on-campus buildings (dollars).</w:t>
            </w:r>
          </w:p>
        </w:tc>
        <w:tc>
          <w:tcPr>
            <w:tcW w:w="2818" w:type="dxa"/>
          </w:tcPr>
          <w:p w14:paraId="0A255CAA" w14:textId="77777777" w:rsidR="0097227C" w:rsidRPr="00605E91" w:rsidRDefault="00EB5012" w:rsidP="009F78CC">
            <w:pPr>
              <w:rPr>
                <w:szCs w:val="22"/>
              </w:rPr>
            </w:pPr>
            <w:r w:rsidRPr="00605E91">
              <w:rPr>
                <w:szCs w:val="22"/>
              </w:rPr>
              <w:t>Ellen Miles</w:t>
            </w:r>
          </w:p>
        </w:tc>
      </w:tr>
      <w:tr w:rsidR="0097227C" w:rsidRPr="00605E91" w14:paraId="665C1E72" w14:textId="77777777" w:rsidTr="00945668">
        <w:tc>
          <w:tcPr>
            <w:tcW w:w="8109" w:type="dxa"/>
            <w:gridSpan w:val="3"/>
          </w:tcPr>
          <w:p w14:paraId="55D1A2B7" w14:textId="77777777" w:rsidR="0097227C" w:rsidRPr="00605E91" w:rsidRDefault="0097227C" w:rsidP="009F78CC">
            <w:pPr>
              <w:rPr>
                <w:i/>
                <w:szCs w:val="22"/>
              </w:rPr>
            </w:pPr>
            <w:r w:rsidRPr="00605E91">
              <w:rPr>
                <w:i/>
                <w:szCs w:val="22"/>
              </w:rPr>
              <w:t>Population Size</w:t>
            </w:r>
          </w:p>
        </w:tc>
      </w:tr>
      <w:tr w:rsidR="0097227C" w:rsidRPr="00605E91" w14:paraId="0016A76C" w14:textId="77777777" w:rsidTr="00945668">
        <w:tc>
          <w:tcPr>
            <w:tcW w:w="2602" w:type="dxa"/>
          </w:tcPr>
          <w:p w14:paraId="7708DEB1" w14:textId="77777777" w:rsidR="0097227C" w:rsidRPr="00605E91" w:rsidRDefault="0097227C" w:rsidP="009F78CC">
            <w:pPr>
              <w:rPr>
                <w:szCs w:val="22"/>
              </w:rPr>
            </w:pPr>
            <w:r w:rsidRPr="00605E91">
              <w:rPr>
                <w:szCs w:val="22"/>
              </w:rPr>
              <w:t>Full Time Students</w:t>
            </w:r>
          </w:p>
        </w:tc>
        <w:tc>
          <w:tcPr>
            <w:tcW w:w="2689" w:type="dxa"/>
          </w:tcPr>
          <w:p w14:paraId="2A541FFE" w14:textId="77777777" w:rsidR="0097227C" w:rsidRPr="00605E91" w:rsidRDefault="0097227C" w:rsidP="009F78CC">
            <w:pPr>
              <w:rPr>
                <w:szCs w:val="22"/>
              </w:rPr>
            </w:pPr>
            <w:r w:rsidRPr="00605E91">
              <w:rPr>
                <w:szCs w:val="22"/>
              </w:rPr>
              <w:t>Population of full time students.</w:t>
            </w:r>
          </w:p>
        </w:tc>
        <w:tc>
          <w:tcPr>
            <w:tcW w:w="2818" w:type="dxa"/>
          </w:tcPr>
          <w:p w14:paraId="785C1821" w14:textId="77777777" w:rsidR="0097227C" w:rsidRPr="00605E91" w:rsidRDefault="0097227C" w:rsidP="009F78CC">
            <w:pPr>
              <w:rPr>
                <w:szCs w:val="22"/>
              </w:rPr>
            </w:pPr>
            <w:r w:rsidRPr="00605E91">
              <w:rPr>
                <w:szCs w:val="22"/>
              </w:rPr>
              <w:t>Registrar’s Office (Must Complete Online Data Request Form) – Gail Gentry</w:t>
            </w:r>
          </w:p>
        </w:tc>
      </w:tr>
      <w:tr w:rsidR="0097227C" w:rsidRPr="00605E91" w14:paraId="5B545504" w14:textId="77777777" w:rsidTr="00945668">
        <w:tc>
          <w:tcPr>
            <w:tcW w:w="2602" w:type="dxa"/>
          </w:tcPr>
          <w:p w14:paraId="00219069" w14:textId="77777777" w:rsidR="0097227C" w:rsidRPr="00605E91" w:rsidRDefault="0097227C" w:rsidP="009F78CC">
            <w:pPr>
              <w:rPr>
                <w:szCs w:val="22"/>
              </w:rPr>
            </w:pPr>
            <w:r w:rsidRPr="00605E91">
              <w:rPr>
                <w:szCs w:val="22"/>
              </w:rPr>
              <w:t>Part-Time Students</w:t>
            </w:r>
          </w:p>
        </w:tc>
        <w:tc>
          <w:tcPr>
            <w:tcW w:w="2689" w:type="dxa"/>
          </w:tcPr>
          <w:p w14:paraId="22ADCC23" w14:textId="77777777" w:rsidR="0097227C" w:rsidRPr="00605E91" w:rsidRDefault="0097227C" w:rsidP="009F78CC">
            <w:pPr>
              <w:rPr>
                <w:szCs w:val="22"/>
              </w:rPr>
            </w:pPr>
            <w:r w:rsidRPr="00605E91">
              <w:rPr>
                <w:szCs w:val="22"/>
              </w:rPr>
              <w:t>Population of part-time students.</w:t>
            </w:r>
          </w:p>
        </w:tc>
        <w:tc>
          <w:tcPr>
            <w:tcW w:w="2818" w:type="dxa"/>
          </w:tcPr>
          <w:p w14:paraId="007D207F" w14:textId="77777777" w:rsidR="0097227C" w:rsidRPr="00605E91" w:rsidRDefault="0097227C" w:rsidP="009F78CC">
            <w:pPr>
              <w:rPr>
                <w:szCs w:val="22"/>
              </w:rPr>
            </w:pPr>
            <w:r w:rsidRPr="00605E91">
              <w:rPr>
                <w:szCs w:val="22"/>
              </w:rPr>
              <w:t>Registrar’s Office (Must Complete Online Data Request Form) – Gail Gentry</w:t>
            </w:r>
          </w:p>
        </w:tc>
      </w:tr>
      <w:tr w:rsidR="0097227C" w:rsidRPr="00605E91" w14:paraId="3BFA85AD" w14:textId="77777777" w:rsidTr="00945668">
        <w:tc>
          <w:tcPr>
            <w:tcW w:w="2602" w:type="dxa"/>
          </w:tcPr>
          <w:p w14:paraId="4D4E7317" w14:textId="77777777" w:rsidR="0097227C" w:rsidRPr="00605E91" w:rsidRDefault="0097227C" w:rsidP="009F78CC">
            <w:pPr>
              <w:rPr>
                <w:szCs w:val="22"/>
              </w:rPr>
            </w:pPr>
            <w:r w:rsidRPr="00605E91">
              <w:rPr>
                <w:szCs w:val="22"/>
              </w:rPr>
              <w:t>Summer School Students</w:t>
            </w:r>
          </w:p>
        </w:tc>
        <w:tc>
          <w:tcPr>
            <w:tcW w:w="2689" w:type="dxa"/>
          </w:tcPr>
          <w:p w14:paraId="55A2093A" w14:textId="77777777" w:rsidR="0097227C" w:rsidRPr="00605E91" w:rsidRDefault="0097227C" w:rsidP="009F78CC">
            <w:pPr>
              <w:rPr>
                <w:szCs w:val="22"/>
              </w:rPr>
            </w:pPr>
            <w:r w:rsidRPr="00605E91">
              <w:rPr>
                <w:szCs w:val="22"/>
              </w:rPr>
              <w:t>Population of summer school students.</w:t>
            </w:r>
          </w:p>
        </w:tc>
        <w:tc>
          <w:tcPr>
            <w:tcW w:w="2818" w:type="dxa"/>
          </w:tcPr>
          <w:p w14:paraId="4448E809" w14:textId="77777777" w:rsidR="0097227C" w:rsidRPr="00605E91" w:rsidRDefault="0097227C" w:rsidP="009F78CC">
            <w:pPr>
              <w:rPr>
                <w:szCs w:val="22"/>
              </w:rPr>
            </w:pPr>
            <w:r w:rsidRPr="00605E91">
              <w:rPr>
                <w:szCs w:val="22"/>
              </w:rPr>
              <w:t>Registrar’s Office (Must Complete Online Data Request Form) – Gail Gentry</w:t>
            </w:r>
          </w:p>
        </w:tc>
      </w:tr>
      <w:tr w:rsidR="0097227C" w:rsidRPr="00605E91" w14:paraId="1771B3AA" w14:textId="77777777" w:rsidTr="00945668">
        <w:tc>
          <w:tcPr>
            <w:tcW w:w="2602" w:type="dxa"/>
          </w:tcPr>
          <w:p w14:paraId="14E7009D" w14:textId="77777777" w:rsidR="0097227C" w:rsidRPr="00605E91" w:rsidRDefault="0097227C" w:rsidP="009F78CC">
            <w:pPr>
              <w:rPr>
                <w:szCs w:val="22"/>
              </w:rPr>
            </w:pPr>
            <w:r w:rsidRPr="00605E91">
              <w:rPr>
                <w:szCs w:val="22"/>
              </w:rPr>
              <w:t>Faculty</w:t>
            </w:r>
          </w:p>
        </w:tc>
        <w:tc>
          <w:tcPr>
            <w:tcW w:w="2689" w:type="dxa"/>
          </w:tcPr>
          <w:p w14:paraId="7D0F3470" w14:textId="77777777" w:rsidR="0097227C" w:rsidRPr="00605E91" w:rsidRDefault="0097227C" w:rsidP="009F78CC">
            <w:pPr>
              <w:rPr>
                <w:szCs w:val="22"/>
              </w:rPr>
            </w:pPr>
            <w:r w:rsidRPr="00605E91">
              <w:rPr>
                <w:szCs w:val="22"/>
              </w:rPr>
              <w:t>Faculty population.</w:t>
            </w:r>
          </w:p>
        </w:tc>
        <w:tc>
          <w:tcPr>
            <w:tcW w:w="2818" w:type="dxa"/>
          </w:tcPr>
          <w:p w14:paraId="4B5BAFBD" w14:textId="77777777" w:rsidR="0097227C" w:rsidRPr="00605E91" w:rsidRDefault="0097227C" w:rsidP="009F78CC">
            <w:pPr>
              <w:rPr>
                <w:szCs w:val="22"/>
              </w:rPr>
            </w:pPr>
            <w:r w:rsidRPr="00605E91">
              <w:rPr>
                <w:szCs w:val="22"/>
              </w:rPr>
              <w:t>Melanie Oelfke</w:t>
            </w:r>
          </w:p>
        </w:tc>
      </w:tr>
      <w:tr w:rsidR="0097227C" w:rsidRPr="00605E91" w14:paraId="20F9478E" w14:textId="77777777" w:rsidTr="00945668">
        <w:tc>
          <w:tcPr>
            <w:tcW w:w="2602" w:type="dxa"/>
          </w:tcPr>
          <w:p w14:paraId="0006379C" w14:textId="77777777" w:rsidR="0097227C" w:rsidRPr="00605E91" w:rsidRDefault="0097227C" w:rsidP="009F78CC">
            <w:pPr>
              <w:rPr>
                <w:szCs w:val="22"/>
              </w:rPr>
            </w:pPr>
            <w:r w:rsidRPr="00605E91">
              <w:rPr>
                <w:szCs w:val="22"/>
              </w:rPr>
              <w:t>Staff</w:t>
            </w:r>
          </w:p>
        </w:tc>
        <w:tc>
          <w:tcPr>
            <w:tcW w:w="2689" w:type="dxa"/>
          </w:tcPr>
          <w:p w14:paraId="09900DA7" w14:textId="77777777" w:rsidR="0097227C" w:rsidRPr="00605E91" w:rsidRDefault="0097227C" w:rsidP="009F78CC">
            <w:pPr>
              <w:rPr>
                <w:szCs w:val="22"/>
              </w:rPr>
            </w:pPr>
            <w:r w:rsidRPr="00605E91">
              <w:rPr>
                <w:szCs w:val="22"/>
              </w:rPr>
              <w:t>Staff population.</w:t>
            </w:r>
          </w:p>
        </w:tc>
        <w:tc>
          <w:tcPr>
            <w:tcW w:w="2818" w:type="dxa"/>
          </w:tcPr>
          <w:p w14:paraId="76687910" w14:textId="77777777" w:rsidR="0097227C" w:rsidRPr="00605E91" w:rsidRDefault="0097227C" w:rsidP="009F78CC">
            <w:pPr>
              <w:rPr>
                <w:szCs w:val="22"/>
              </w:rPr>
            </w:pPr>
            <w:r w:rsidRPr="00605E91">
              <w:rPr>
                <w:szCs w:val="22"/>
              </w:rPr>
              <w:t>Melanie Oelfke</w:t>
            </w:r>
          </w:p>
        </w:tc>
      </w:tr>
      <w:tr w:rsidR="0097227C" w:rsidRPr="00605E91" w14:paraId="69DE0DB0" w14:textId="77777777" w:rsidTr="00945668">
        <w:tc>
          <w:tcPr>
            <w:tcW w:w="8109" w:type="dxa"/>
            <w:gridSpan w:val="3"/>
          </w:tcPr>
          <w:p w14:paraId="163AD3DA" w14:textId="77777777" w:rsidR="0097227C" w:rsidRPr="00605E91" w:rsidRDefault="0097227C" w:rsidP="009F78CC">
            <w:pPr>
              <w:rPr>
                <w:i/>
                <w:szCs w:val="22"/>
              </w:rPr>
            </w:pPr>
            <w:r w:rsidRPr="00605E91">
              <w:rPr>
                <w:i/>
                <w:szCs w:val="22"/>
              </w:rPr>
              <w:t>Physical Size</w:t>
            </w:r>
          </w:p>
        </w:tc>
      </w:tr>
      <w:tr w:rsidR="0097227C" w:rsidRPr="00605E91" w14:paraId="5399289A" w14:textId="77777777" w:rsidTr="00945668">
        <w:tc>
          <w:tcPr>
            <w:tcW w:w="2602" w:type="dxa"/>
          </w:tcPr>
          <w:p w14:paraId="06BFFB52" w14:textId="77777777" w:rsidR="0097227C" w:rsidRPr="00605E91" w:rsidRDefault="0097227C" w:rsidP="009F78CC">
            <w:pPr>
              <w:rPr>
                <w:szCs w:val="22"/>
              </w:rPr>
            </w:pPr>
            <w:r w:rsidRPr="00605E91">
              <w:rPr>
                <w:szCs w:val="22"/>
              </w:rPr>
              <w:t>Physical Size of Campus Buildings</w:t>
            </w:r>
          </w:p>
        </w:tc>
        <w:tc>
          <w:tcPr>
            <w:tcW w:w="2689" w:type="dxa"/>
          </w:tcPr>
          <w:p w14:paraId="0E193F3A" w14:textId="77777777" w:rsidR="0097227C" w:rsidRPr="00605E91" w:rsidRDefault="0097227C" w:rsidP="009F78CC">
            <w:pPr>
              <w:rPr>
                <w:szCs w:val="22"/>
              </w:rPr>
            </w:pPr>
            <w:r w:rsidRPr="00605E91">
              <w:rPr>
                <w:szCs w:val="22"/>
              </w:rPr>
              <w:t>Size of all on campus buildings (ft</w:t>
            </w:r>
            <w:r w:rsidRPr="00605E91">
              <w:rPr>
                <w:szCs w:val="22"/>
                <w:vertAlign w:val="superscript"/>
              </w:rPr>
              <w:t>2</w:t>
            </w:r>
            <w:r w:rsidRPr="00605E91">
              <w:rPr>
                <w:szCs w:val="22"/>
              </w:rPr>
              <w:t>).</w:t>
            </w:r>
          </w:p>
        </w:tc>
        <w:tc>
          <w:tcPr>
            <w:tcW w:w="2818" w:type="dxa"/>
          </w:tcPr>
          <w:p w14:paraId="799B3DA7" w14:textId="77777777" w:rsidR="0097227C" w:rsidRPr="00605E91" w:rsidRDefault="0097227C" w:rsidP="009F78CC">
            <w:pPr>
              <w:rPr>
                <w:szCs w:val="22"/>
              </w:rPr>
            </w:pPr>
            <w:r w:rsidRPr="00605E91">
              <w:rPr>
                <w:szCs w:val="22"/>
              </w:rPr>
              <w:t>John Jennings – Keeps a Master Spreadsheet</w:t>
            </w:r>
          </w:p>
        </w:tc>
      </w:tr>
      <w:tr w:rsidR="0097227C" w:rsidRPr="00605E91" w14:paraId="59AE225E" w14:textId="77777777" w:rsidTr="00945668">
        <w:tc>
          <w:tcPr>
            <w:tcW w:w="2602" w:type="dxa"/>
          </w:tcPr>
          <w:p w14:paraId="35B77C61" w14:textId="77777777" w:rsidR="0097227C" w:rsidRPr="00605E91" w:rsidRDefault="0097227C" w:rsidP="009F78CC">
            <w:pPr>
              <w:rPr>
                <w:szCs w:val="22"/>
              </w:rPr>
            </w:pPr>
            <w:r w:rsidRPr="00605E91">
              <w:rPr>
                <w:szCs w:val="22"/>
              </w:rPr>
              <w:t>Physical Size of Research Space</w:t>
            </w:r>
          </w:p>
        </w:tc>
        <w:tc>
          <w:tcPr>
            <w:tcW w:w="2689" w:type="dxa"/>
          </w:tcPr>
          <w:p w14:paraId="5B2B664F" w14:textId="77777777" w:rsidR="0097227C" w:rsidRPr="00605E91" w:rsidRDefault="0097227C" w:rsidP="009F78CC">
            <w:pPr>
              <w:rPr>
                <w:szCs w:val="22"/>
              </w:rPr>
            </w:pPr>
            <w:r w:rsidRPr="00605E91">
              <w:rPr>
                <w:szCs w:val="22"/>
              </w:rPr>
              <w:t>Size of research space (ft</w:t>
            </w:r>
            <w:r w:rsidRPr="00605E91">
              <w:rPr>
                <w:szCs w:val="22"/>
                <w:vertAlign w:val="superscript"/>
              </w:rPr>
              <w:t>2</w:t>
            </w:r>
            <w:r w:rsidRPr="00605E91">
              <w:rPr>
                <w:szCs w:val="22"/>
              </w:rPr>
              <w:t>).</w:t>
            </w:r>
          </w:p>
        </w:tc>
        <w:tc>
          <w:tcPr>
            <w:tcW w:w="2818" w:type="dxa"/>
          </w:tcPr>
          <w:p w14:paraId="2B00D312" w14:textId="77777777" w:rsidR="0097227C" w:rsidRPr="00605E91" w:rsidRDefault="0097227C" w:rsidP="009F78CC">
            <w:pPr>
              <w:rPr>
                <w:szCs w:val="22"/>
              </w:rPr>
            </w:pPr>
            <w:r w:rsidRPr="00605E91">
              <w:rPr>
                <w:szCs w:val="22"/>
              </w:rPr>
              <w:t>Steve Goldsmith &amp; John Jennings</w:t>
            </w:r>
          </w:p>
        </w:tc>
      </w:tr>
      <w:tr w:rsidR="0097227C" w:rsidRPr="00605E91" w14:paraId="26FFE678" w14:textId="77777777" w:rsidTr="00945668">
        <w:tc>
          <w:tcPr>
            <w:tcW w:w="8109" w:type="dxa"/>
            <w:gridSpan w:val="3"/>
          </w:tcPr>
          <w:p w14:paraId="08695F45" w14:textId="77777777" w:rsidR="0097227C" w:rsidRPr="00605E91" w:rsidRDefault="0097227C" w:rsidP="009F78CC">
            <w:pPr>
              <w:rPr>
                <w:b/>
                <w:szCs w:val="22"/>
              </w:rPr>
            </w:pPr>
            <w:r w:rsidRPr="00605E91">
              <w:rPr>
                <w:b/>
                <w:szCs w:val="22"/>
              </w:rPr>
              <w:t>Scope 1 Emissions</w:t>
            </w:r>
          </w:p>
          <w:p w14:paraId="4D789BDA" w14:textId="77777777" w:rsidR="0097227C" w:rsidRPr="00605E91" w:rsidRDefault="0097227C" w:rsidP="009F78CC">
            <w:pPr>
              <w:rPr>
                <w:b/>
                <w:szCs w:val="22"/>
              </w:rPr>
            </w:pPr>
          </w:p>
        </w:tc>
      </w:tr>
      <w:tr w:rsidR="0097227C" w:rsidRPr="00605E91" w14:paraId="2B9D6E0C" w14:textId="77777777" w:rsidTr="00945668">
        <w:tc>
          <w:tcPr>
            <w:tcW w:w="8109" w:type="dxa"/>
            <w:gridSpan w:val="3"/>
          </w:tcPr>
          <w:p w14:paraId="42394F21" w14:textId="77777777" w:rsidR="0097227C" w:rsidRPr="00605E91" w:rsidRDefault="0097227C" w:rsidP="009F78CC">
            <w:pPr>
              <w:rPr>
                <w:i/>
                <w:szCs w:val="22"/>
              </w:rPr>
            </w:pPr>
            <w:r w:rsidRPr="00605E91">
              <w:rPr>
                <w:i/>
                <w:szCs w:val="22"/>
              </w:rPr>
              <w:t>Fuels Used on Campus</w:t>
            </w:r>
          </w:p>
        </w:tc>
      </w:tr>
      <w:tr w:rsidR="0097227C" w:rsidRPr="00605E91" w14:paraId="71B3B31E" w14:textId="77777777" w:rsidTr="00945668">
        <w:tc>
          <w:tcPr>
            <w:tcW w:w="2602" w:type="dxa"/>
          </w:tcPr>
          <w:p w14:paraId="519379A8" w14:textId="77777777" w:rsidR="0097227C" w:rsidRPr="00605E91" w:rsidRDefault="0097227C" w:rsidP="009F78CC">
            <w:pPr>
              <w:rPr>
                <w:szCs w:val="22"/>
              </w:rPr>
            </w:pPr>
            <w:r w:rsidRPr="00605E91">
              <w:rPr>
                <w:szCs w:val="22"/>
              </w:rPr>
              <w:t>Natural Gas</w:t>
            </w:r>
          </w:p>
        </w:tc>
        <w:tc>
          <w:tcPr>
            <w:tcW w:w="2689" w:type="dxa"/>
          </w:tcPr>
          <w:p w14:paraId="21AEFDD2" w14:textId="77777777" w:rsidR="0097227C" w:rsidRPr="00605E91" w:rsidRDefault="0097227C" w:rsidP="00424CEF">
            <w:pPr>
              <w:rPr>
                <w:szCs w:val="22"/>
              </w:rPr>
            </w:pPr>
            <w:r w:rsidRPr="00605E91">
              <w:rPr>
                <w:szCs w:val="22"/>
              </w:rPr>
              <w:t xml:space="preserve">Fuel used for </w:t>
            </w:r>
            <w:r w:rsidR="00424CEF" w:rsidRPr="00605E91">
              <w:rPr>
                <w:szCs w:val="22"/>
              </w:rPr>
              <w:t>fdeg</w:t>
            </w:r>
            <w:r w:rsidRPr="00605E91">
              <w:rPr>
                <w:szCs w:val="22"/>
              </w:rPr>
              <w:t>, hot water, and cooking (MMBtu).</w:t>
            </w:r>
          </w:p>
        </w:tc>
        <w:tc>
          <w:tcPr>
            <w:tcW w:w="2818" w:type="dxa"/>
          </w:tcPr>
          <w:p w14:paraId="514C2852" w14:textId="77777777" w:rsidR="0097227C" w:rsidRPr="00605E91" w:rsidRDefault="0097227C" w:rsidP="009F78CC">
            <w:pPr>
              <w:rPr>
                <w:szCs w:val="22"/>
              </w:rPr>
            </w:pPr>
            <w:r w:rsidRPr="00605E91">
              <w:rPr>
                <w:szCs w:val="22"/>
              </w:rPr>
              <w:t>John Jennings</w:t>
            </w:r>
          </w:p>
        </w:tc>
      </w:tr>
      <w:tr w:rsidR="0097227C" w:rsidRPr="00605E91" w14:paraId="1C1002BD" w14:textId="77777777" w:rsidTr="00945668">
        <w:tc>
          <w:tcPr>
            <w:tcW w:w="2602" w:type="dxa"/>
          </w:tcPr>
          <w:p w14:paraId="15EB843B" w14:textId="77777777" w:rsidR="0097227C" w:rsidRPr="00605E91" w:rsidRDefault="0097227C" w:rsidP="009F78CC">
            <w:pPr>
              <w:rPr>
                <w:szCs w:val="22"/>
              </w:rPr>
            </w:pPr>
            <w:r w:rsidRPr="00605E91">
              <w:rPr>
                <w:szCs w:val="22"/>
              </w:rPr>
              <w:t>Gasoline Fleet</w:t>
            </w:r>
          </w:p>
        </w:tc>
        <w:tc>
          <w:tcPr>
            <w:tcW w:w="2689" w:type="dxa"/>
          </w:tcPr>
          <w:p w14:paraId="073C8881" w14:textId="77777777" w:rsidR="0097227C" w:rsidRPr="00605E91" w:rsidRDefault="0097227C" w:rsidP="009F78CC">
            <w:pPr>
              <w:rPr>
                <w:szCs w:val="22"/>
              </w:rPr>
            </w:pPr>
            <w:r w:rsidRPr="00605E91">
              <w:rPr>
                <w:szCs w:val="22"/>
              </w:rPr>
              <w:t>Gasoline used for college-owned vehicles including physical plant, police, biology vans, and staff vehicles (gallons). Personal miles put on fleet vehicles not included.</w:t>
            </w:r>
          </w:p>
        </w:tc>
        <w:tc>
          <w:tcPr>
            <w:tcW w:w="2818" w:type="dxa"/>
          </w:tcPr>
          <w:p w14:paraId="384D71C3" w14:textId="77777777" w:rsidR="0097227C" w:rsidRPr="00605E91" w:rsidRDefault="0097227C" w:rsidP="009F78CC">
            <w:pPr>
              <w:pStyle w:val="ListParagraph"/>
              <w:numPr>
                <w:ilvl w:val="0"/>
                <w:numId w:val="1"/>
              </w:numPr>
              <w:rPr>
                <w:szCs w:val="22"/>
              </w:rPr>
            </w:pPr>
            <w:r w:rsidRPr="00605E91">
              <w:rPr>
                <w:szCs w:val="22"/>
              </w:rPr>
              <w:t>Linda Welch (Physical Plant Purchased Fuel)</w:t>
            </w:r>
          </w:p>
          <w:p w14:paraId="0E1228D3" w14:textId="77777777" w:rsidR="0097227C" w:rsidRPr="00605E91" w:rsidRDefault="00197CD9" w:rsidP="009F78CC">
            <w:pPr>
              <w:pStyle w:val="ListParagraph"/>
              <w:numPr>
                <w:ilvl w:val="0"/>
                <w:numId w:val="1"/>
              </w:numPr>
              <w:rPr>
                <w:szCs w:val="22"/>
              </w:rPr>
            </w:pPr>
            <w:r w:rsidRPr="00605E91">
              <w:rPr>
                <w:szCs w:val="22"/>
              </w:rPr>
              <w:t>Melanie Oelfke</w:t>
            </w:r>
            <w:r w:rsidR="0097227C" w:rsidRPr="00605E91">
              <w:rPr>
                <w:szCs w:val="22"/>
              </w:rPr>
              <w:t xml:space="preserve"> (Business/Personal Miles on College Vehicles by Calendar Year),</w:t>
            </w:r>
          </w:p>
          <w:p w14:paraId="69B4D81A" w14:textId="77777777" w:rsidR="0097227C" w:rsidRPr="00605E91" w:rsidRDefault="0097227C" w:rsidP="009F78CC">
            <w:pPr>
              <w:pStyle w:val="ListParagraph"/>
              <w:numPr>
                <w:ilvl w:val="0"/>
                <w:numId w:val="1"/>
              </w:numPr>
              <w:rPr>
                <w:szCs w:val="22"/>
              </w:rPr>
            </w:pPr>
            <w:r w:rsidRPr="00605E91">
              <w:rPr>
                <w:szCs w:val="22"/>
              </w:rPr>
              <w:lastRenderedPageBreak/>
              <w:t>Caleb Smith (Mileage of Biology Vans)</w:t>
            </w:r>
          </w:p>
          <w:p w14:paraId="59D35927" w14:textId="77777777" w:rsidR="0097227C" w:rsidRPr="00605E91" w:rsidRDefault="00197CD9" w:rsidP="009F78CC">
            <w:pPr>
              <w:pStyle w:val="ListParagraph"/>
              <w:numPr>
                <w:ilvl w:val="0"/>
                <w:numId w:val="1"/>
              </w:numPr>
              <w:rPr>
                <w:szCs w:val="22"/>
              </w:rPr>
            </w:pPr>
            <w:r w:rsidRPr="00605E91">
              <w:rPr>
                <w:szCs w:val="22"/>
              </w:rPr>
              <w:t>Rhonda Duckworth</w:t>
            </w:r>
            <w:r w:rsidR="0097227C" w:rsidRPr="00605E91">
              <w:rPr>
                <w:szCs w:val="22"/>
              </w:rPr>
              <w:t xml:space="preserve"> (Campus Police Purchased Fuel)</w:t>
            </w:r>
          </w:p>
        </w:tc>
      </w:tr>
      <w:tr w:rsidR="0097227C" w:rsidRPr="00605E91" w14:paraId="6A66F3AD" w14:textId="77777777" w:rsidTr="00945668">
        <w:tc>
          <w:tcPr>
            <w:tcW w:w="8109" w:type="dxa"/>
            <w:gridSpan w:val="3"/>
          </w:tcPr>
          <w:p w14:paraId="2D45D0C5" w14:textId="77777777" w:rsidR="0097227C" w:rsidRPr="00605E91" w:rsidRDefault="0097227C" w:rsidP="009F78CC">
            <w:pPr>
              <w:rPr>
                <w:i/>
                <w:szCs w:val="22"/>
              </w:rPr>
            </w:pPr>
            <w:r w:rsidRPr="00605E91">
              <w:rPr>
                <w:i/>
                <w:szCs w:val="22"/>
              </w:rPr>
              <w:lastRenderedPageBreak/>
              <w:t>Refrigerants and Chemicals</w:t>
            </w:r>
          </w:p>
        </w:tc>
      </w:tr>
      <w:tr w:rsidR="0097227C" w:rsidRPr="00605E91" w14:paraId="43808EA3" w14:textId="77777777" w:rsidTr="00945668">
        <w:tc>
          <w:tcPr>
            <w:tcW w:w="2602" w:type="dxa"/>
          </w:tcPr>
          <w:p w14:paraId="0A9F1316" w14:textId="77777777" w:rsidR="0097227C" w:rsidRPr="00605E91" w:rsidRDefault="0097227C" w:rsidP="009F78CC">
            <w:pPr>
              <w:rPr>
                <w:szCs w:val="22"/>
              </w:rPr>
            </w:pPr>
            <w:r w:rsidRPr="00605E91">
              <w:rPr>
                <w:szCs w:val="22"/>
              </w:rPr>
              <w:t>Various Refrigerants</w:t>
            </w:r>
          </w:p>
        </w:tc>
        <w:tc>
          <w:tcPr>
            <w:tcW w:w="2689" w:type="dxa"/>
          </w:tcPr>
          <w:p w14:paraId="13ABE14D" w14:textId="77777777" w:rsidR="0097227C" w:rsidRPr="00605E91" w:rsidRDefault="0097227C" w:rsidP="009F78CC">
            <w:pPr>
              <w:rPr>
                <w:szCs w:val="22"/>
              </w:rPr>
            </w:pPr>
            <w:r w:rsidRPr="00605E91">
              <w:rPr>
                <w:szCs w:val="22"/>
              </w:rPr>
              <w:t>Refrigerants that escaped when maintaining equipment (lbs).</w:t>
            </w:r>
          </w:p>
        </w:tc>
        <w:tc>
          <w:tcPr>
            <w:tcW w:w="2818" w:type="dxa"/>
          </w:tcPr>
          <w:p w14:paraId="43EF0430" w14:textId="77777777" w:rsidR="0097227C" w:rsidRPr="00605E91" w:rsidRDefault="0097227C" w:rsidP="009F78CC">
            <w:pPr>
              <w:rPr>
                <w:szCs w:val="22"/>
              </w:rPr>
            </w:pPr>
            <w:r w:rsidRPr="00605E91">
              <w:rPr>
                <w:szCs w:val="22"/>
              </w:rPr>
              <w:t>John Jennings</w:t>
            </w:r>
          </w:p>
        </w:tc>
      </w:tr>
      <w:tr w:rsidR="0097227C" w:rsidRPr="00605E91" w14:paraId="5B0BB234" w14:textId="77777777" w:rsidTr="00945668">
        <w:tc>
          <w:tcPr>
            <w:tcW w:w="8109" w:type="dxa"/>
            <w:gridSpan w:val="3"/>
          </w:tcPr>
          <w:p w14:paraId="35ECDDF4" w14:textId="77777777" w:rsidR="0097227C" w:rsidRPr="00605E91" w:rsidRDefault="0097227C" w:rsidP="009F78CC">
            <w:pPr>
              <w:rPr>
                <w:i/>
                <w:szCs w:val="22"/>
              </w:rPr>
            </w:pPr>
            <w:r w:rsidRPr="00605E91">
              <w:rPr>
                <w:i/>
                <w:szCs w:val="22"/>
              </w:rPr>
              <w:t>Fertilizer</w:t>
            </w:r>
          </w:p>
        </w:tc>
      </w:tr>
      <w:tr w:rsidR="0097227C" w:rsidRPr="00605E91" w14:paraId="6E4A05EA" w14:textId="77777777" w:rsidTr="00945668">
        <w:tc>
          <w:tcPr>
            <w:tcW w:w="2602" w:type="dxa"/>
          </w:tcPr>
          <w:p w14:paraId="6AC0698D" w14:textId="77777777" w:rsidR="0097227C" w:rsidRPr="00605E91" w:rsidRDefault="0097227C" w:rsidP="009F78CC">
            <w:pPr>
              <w:rPr>
                <w:szCs w:val="22"/>
              </w:rPr>
            </w:pPr>
            <w:r w:rsidRPr="00605E91">
              <w:rPr>
                <w:szCs w:val="22"/>
              </w:rPr>
              <w:t>Amount of Fertilizer</w:t>
            </w:r>
          </w:p>
        </w:tc>
        <w:tc>
          <w:tcPr>
            <w:tcW w:w="2689" w:type="dxa"/>
          </w:tcPr>
          <w:p w14:paraId="729E3F4E" w14:textId="77777777" w:rsidR="0097227C" w:rsidRPr="00605E91" w:rsidRDefault="0097227C" w:rsidP="009F78CC">
            <w:pPr>
              <w:rPr>
                <w:szCs w:val="22"/>
              </w:rPr>
            </w:pPr>
            <w:r w:rsidRPr="00605E91">
              <w:rPr>
                <w:szCs w:val="22"/>
              </w:rPr>
              <w:t>Amount of Fertilizer (lbs).</w:t>
            </w:r>
          </w:p>
        </w:tc>
        <w:tc>
          <w:tcPr>
            <w:tcW w:w="2818" w:type="dxa"/>
          </w:tcPr>
          <w:p w14:paraId="3BEF818E" w14:textId="77777777" w:rsidR="0097227C" w:rsidRPr="00605E91" w:rsidRDefault="0097227C" w:rsidP="009F78CC">
            <w:pPr>
              <w:rPr>
                <w:szCs w:val="22"/>
              </w:rPr>
            </w:pPr>
            <w:r w:rsidRPr="00605E91">
              <w:rPr>
                <w:szCs w:val="22"/>
              </w:rPr>
              <w:t>John Jennings</w:t>
            </w:r>
          </w:p>
        </w:tc>
      </w:tr>
      <w:tr w:rsidR="0097227C" w:rsidRPr="00605E91" w14:paraId="1F9BD55F" w14:textId="77777777" w:rsidTr="00945668">
        <w:tc>
          <w:tcPr>
            <w:tcW w:w="2602" w:type="dxa"/>
          </w:tcPr>
          <w:p w14:paraId="28D1E057" w14:textId="77777777" w:rsidR="0097227C" w:rsidRPr="00605E91" w:rsidRDefault="0097227C" w:rsidP="009F78CC">
            <w:pPr>
              <w:rPr>
                <w:szCs w:val="22"/>
              </w:rPr>
            </w:pPr>
            <w:r w:rsidRPr="00605E91">
              <w:rPr>
                <w:szCs w:val="22"/>
              </w:rPr>
              <w:t>% Nitrogen</w:t>
            </w:r>
          </w:p>
        </w:tc>
        <w:tc>
          <w:tcPr>
            <w:tcW w:w="2689" w:type="dxa"/>
          </w:tcPr>
          <w:p w14:paraId="169826AD" w14:textId="77777777" w:rsidR="0097227C" w:rsidRPr="00605E91" w:rsidRDefault="0097227C" w:rsidP="009F78CC">
            <w:pPr>
              <w:rPr>
                <w:szCs w:val="22"/>
              </w:rPr>
            </w:pPr>
            <w:r w:rsidRPr="00605E91">
              <w:rPr>
                <w:szCs w:val="22"/>
              </w:rPr>
              <w:t>% nitrogen in fertilizer. If different % nitrogen for different fertilizer types, take weighted average of % nitrogen.</w:t>
            </w:r>
          </w:p>
        </w:tc>
        <w:tc>
          <w:tcPr>
            <w:tcW w:w="2818" w:type="dxa"/>
          </w:tcPr>
          <w:p w14:paraId="66106FBF" w14:textId="77777777" w:rsidR="0097227C" w:rsidRPr="00605E91" w:rsidRDefault="0097227C" w:rsidP="009F78CC">
            <w:pPr>
              <w:rPr>
                <w:szCs w:val="22"/>
              </w:rPr>
            </w:pPr>
            <w:r w:rsidRPr="00605E91">
              <w:rPr>
                <w:szCs w:val="22"/>
              </w:rPr>
              <w:t>John Jennings</w:t>
            </w:r>
          </w:p>
        </w:tc>
      </w:tr>
      <w:tr w:rsidR="0097227C" w:rsidRPr="00605E91" w14:paraId="49F1C178" w14:textId="77777777" w:rsidTr="00945668">
        <w:tc>
          <w:tcPr>
            <w:tcW w:w="8109" w:type="dxa"/>
            <w:gridSpan w:val="3"/>
          </w:tcPr>
          <w:p w14:paraId="38554EF7" w14:textId="77777777" w:rsidR="0097227C" w:rsidRPr="00605E91" w:rsidRDefault="0097227C" w:rsidP="009F78CC">
            <w:pPr>
              <w:rPr>
                <w:b/>
                <w:szCs w:val="22"/>
              </w:rPr>
            </w:pPr>
            <w:r w:rsidRPr="00605E91">
              <w:rPr>
                <w:b/>
                <w:szCs w:val="22"/>
              </w:rPr>
              <w:t>Scope 2 Emissions</w:t>
            </w:r>
          </w:p>
          <w:p w14:paraId="3BC32F13" w14:textId="77777777" w:rsidR="0097227C" w:rsidRPr="00605E91" w:rsidRDefault="0097227C" w:rsidP="009F78CC">
            <w:pPr>
              <w:rPr>
                <w:b/>
                <w:szCs w:val="22"/>
              </w:rPr>
            </w:pPr>
          </w:p>
        </w:tc>
      </w:tr>
      <w:tr w:rsidR="0097227C" w:rsidRPr="00605E91" w14:paraId="32363CC9" w14:textId="77777777" w:rsidTr="00945668">
        <w:tc>
          <w:tcPr>
            <w:tcW w:w="2602" w:type="dxa"/>
          </w:tcPr>
          <w:p w14:paraId="5A980311" w14:textId="77777777" w:rsidR="0097227C" w:rsidRPr="00605E91" w:rsidRDefault="0097227C" w:rsidP="009F78CC">
            <w:pPr>
              <w:rPr>
                <w:szCs w:val="22"/>
              </w:rPr>
            </w:pPr>
            <w:r w:rsidRPr="00605E91">
              <w:rPr>
                <w:szCs w:val="22"/>
              </w:rPr>
              <w:t>Purchased Electricity</w:t>
            </w:r>
          </w:p>
        </w:tc>
        <w:tc>
          <w:tcPr>
            <w:tcW w:w="2689" w:type="dxa"/>
          </w:tcPr>
          <w:p w14:paraId="14BA814A" w14:textId="77777777" w:rsidR="0097227C" w:rsidRPr="00605E91" w:rsidRDefault="0097227C" w:rsidP="009F78CC">
            <w:pPr>
              <w:rPr>
                <w:szCs w:val="22"/>
              </w:rPr>
            </w:pPr>
            <w:r w:rsidRPr="00605E91">
              <w:rPr>
                <w:szCs w:val="22"/>
              </w:rPr>
              <w:t>Amount of electricity and the fuel mix (coal, natural gas, nuclear, and renewable energy sources) used by on-campus buildings (kWh).</w:t>
            </w:r>
          </w:p>
        </w:tc>
        <w:tc>
          <w:tcPr>
            <w:tcW w:w="2818" w:type="dxa"/>
          </w:tcPr>
          <w:p w14:paraId="51FEACC1" w14:textId="77777777" w:rsidR="0097227C" w:rsidRPr="00605E91" w:rsidRDefault="0097227C" w:rsidP="009F78CC">
            <w:pPr>
              <w:rPr>
                <w:szCs w:val="22"/>
              </w:rPr>
            </w:pPr>
            <w:r w:rsidRPr="00605E91">
              <w:rPr>
                <w:szCs w:val="22"/>
              </w:rPr>
              <w:t>John Jennings</w:t>
            </w:r>
          </w:p>
        </w:tc>
      </w:tr>
      <w:tr w:rsidR="0097227C" w:rsidRPr="00605E91" w14:paraId="424F4671" w14:textId="77777777" w:rsidTr="00945668">
        <w:tc>
          <w:tcPr>
            <w:tcW w:w="2602" w:type="dxa"/>
          </w:tcPr>
          <w:p w14:paraId="65C6A83C" w14:textId="77777777" w:rsidR="0097227C" w:rsidRPr="00605E91" w:rsidRDefault="0097227C" w:rsidP="009F78CC">
            <w:pPr>
              <w:rPr>
                <w:szCs w:val="22"/>
              </w:rPr>
            </w:pPr>
            <w:r w:rsidRPr="00605E91">
              <w:rPr>
                <w:szCs w:val="22"/>
              </w:rPr>
              <w:t>Custom Fuel Mix</w:t>
            </w:r>
          </w:p>
        </w:tc>
        <w:tc>
          <w:tcPr>
            <w:tcW w:w="2689" w:type="dxa"/>
          </w:tcPr>
          <w:p w14:paraId="1130EF00" w14:textId="77777777" w:rsidR="0097227C" w:rsidRPr="00605E91" w:rsidRDefault="0097227C" w:rsidP="009F78CC">
            <w:pPr>
              <w:rPr>
                <w:szCs w:val="22"/>
              </w:rPr>
            </w:pPr>
            <w:r w:rsidRPr="00605E91">
              <w:rPr>
                <w:szCs w:val="22"/>
              </w:rPr>
              <w:t>Exact fuel mix of electric utility. % coal, natural gas, nuclear, renewable, and purchased by unknown grid sources.</w:t>
            </w:r>
          </w:p>
        </w:tc>
        <w:tc>
          <w:tcPr>
            <w:tcW w:w="2818" w:type="dxa"/>
          </w:tcPr>
          <w:p w14:paraId="1D4D8761" w14:textId="77777777" w:rsidR="0097227C" w:rsidRPr="00605E91" w:rsidRDefault="0097227C" w:rsidP="009F78CC">
            <w:pPr>
              <w:rPr>
                <w:szCs w:val="22"/>
              </w:rPr>
            </w:pPr>
            <w:r w:rsidRPr="00605E91">
              <w:rPr>
                <w:szCs w:val="22"/>
              </w:rPr>
              <w:t>John Jennings &amp; Peter Schulze</w:t>
            </w:r>
          </w:p>
        </w:tc>
      </w:tr>
      <w:tr w:rsidR="0097227C" w:rsidRPr="00605E91" w14:paraId="098446BB" w14:textId="77777777" w:rsidTr="00945668">
        <w:tc>
          <w:tcPr>
            <w:tcW w:w="8109" w:type="dxa"/>
            <w:gridSpan w:val="3"/>
          </w:tcPr>
          <w:p w14:paraId="764E2B59" w14:textId="77777777" w:rsidR="0097227C" w:rsidRPr="00605E91" w:rsidRDefault="0097227C" w:rsidP="009F78CC">
            <w:pPr>
              <w:rPr>
                <w:b/>
                <w:szCs w:val="22"/>
              </w:rPr>
            </w:pPr>
            <w:r w:rsidRPr="00605E91">
              <w:rPr>
                <w:b/>
                <w:szCs w:val="22"/>
              </w:rPr>
              <w:t>Scope 3 Emissions</w:t>
            </w:r>
          </w:p>
          <w:p w14:paraId="2FE1EE6B" w14:textId="77777777" w:rsidR="0097227C" w:rsidRPr="00605E91" w:rsidRDefault="0097227C" w:rsidP="009F78CC">
            <w:pPr>
              <w:rPr>
                <w:b/>
                <w:szCs w:val="22"/>
              </w:rPr>
            </w:pPr>
          </w:p>
        </w:tc>
      </w:tr>
      <w:tr w:rsidR="0097227C" w:rsidRPr="00605E91" w14:paraId="7987F67D" w14:textId="77777777" w:rsidTr="00945668">
        <w:tc>
          <w:tcPr>
            <w:tcW w:w="2602" w:type="dxa"/>
          </w:tcPr>
          <w:p w14:paraId="329A2ED4" w14:textId="77777777" w:rsidR="0097227C" w:rsidRPr="00605E91" w:rsidRDefault="0097227C" w:rsidP="009F78CC">
            <w:pPr>
              <w:rPr>
                <w:i/>
                <w:szCs w:val="22"/>
              </w:rPr>
            </w:pPr>
            <w:r w:rsidRPr="00605E91">
              <w:rPr>
                <w:i/>
                <w:szCs w:val="22"/>
              </w:rPr>
              <w:t>Commuting</w:t>
            </w:r>
          </w:p>
        </w:tc>
        <w:tc>
          <w:tcPr>
            <w:tcW w:w="5507" w:type="dxa"/>
            <w:gridSpan w:val="2"/>
          </w:tcPr>
          <w:p w14:paraId="60034C03" w14:textId="77777777" w:rsidR="0097227C" w:rsidRPr="00605E91" w:rsidRDefault="0097227C" w:rsidP="009F78CC">
            <w:pPr>
              <w:rPr>
                <w:szCs w:val="22"/>
              </w:rPr>
            </w:pPr>
            <w:r w:rsidRPr="00605E91">
              <w:rPr>
                <w:szCs w:val="22"/>
              </w:rPr>
              <w:t>Commuting behavior was used to calculate gallons of gasoline used by commuters per year.</w:t>
            </w:r>
          </w:p>
        </w:tc>
      </w:tr>
      <w:tr w:rsidR="0097227C" w:rsidRPr="00605E91" w14:paraId="09C2CAA1" w14:textId="77777777" w:rsidTr="00945668">
        <w:tc>
          <w:tcPr>
            <w:tcW w:w="2602" w:type="dxa"/>
          </w:tcPr>
          <w:p w14:paraId="70080CB9" w14:textId="77777777" w:rsidR="0097227C" w:rsidRPr="00605E91" w:rsidRDefault="0097227C" w:rsidP="009F78CC">
            <w:pPr>
              <w:rPr>
                <w:szCs w:val="22"/>
              </w:rPr>
            </w:pPr>
            <w:r w:rsidRPr="00605E91">
              <w:rPr>
                <w:szCs w:val="22"/>
              </w:rPr>
              <w:t>Student Automobile Fuel Efficiency</w:t>
            </w:r>
          </w:p>
        </w:tc>
        <w:tc>
          <w:tcPr>
            <w:tcW w:w="2689" w:type="dxa"/>
          </w:tcPr>
          <w:p w14:paraId="7FDD0406" w14:textId="77777777" w:rsidR="0097227C" w:rsidRPr="00605E91" w:rsidRDefault="0097227C" w:rsidP="009F78CC">
            <w:pPr>
              <w:rPr>
                <w:szCs w:val="22"/>
              </w:rPr>
            </w:pPr>
            <w:r w:rsidRPr="00605E91">
              <w:rPr>
                <w:szCs w:val="22"/>
              </w:rPr>
              <w:t>Average mpg of student vehicles driven to campus. Average from car year, make and model. EPA mpg averages were used (www.fueleconomy.gov).</w:t>
            </w:r>
          </w:p>
        </w:tc>
        <w:tc>
          <w:tcPr>
            <w:tcW w:w="2818" w:type="dxa"/>
          </w:tcPr>
          <w:p w14:paraId="5CF04CE5" w14:textId="77777777" w:rsidR="0097227C" w:rsidRPr="00605E91" w:rsidRDefault="0097227C" w:rsidP="009F78CC">
            <w:pPr>
              <w:rPr>
                <w:szCs w:val="22"/>
              </w:rPr>
            </w:pPr>
            <w:r w:rsidRPr="00605E91">
              <w:rPr>
                <w:szCs w:val="22"/>
              </w:rPr>
              <w:t>Online Survey of Students</w:t>
            </w:r>
          </w:p>
        </w:tc>
      </w:tr>
      <w:tr w:rsidR="0097227C" w:rsidRPr="00605E91" w14:paraId="599565F1" w14:textId="77777777" w:rsidTr="00945668">
        <w:tc>
          <w:tcPr>
            <w:tcW w:w="2602" w:type="dxa"/>
          </w:tcPr>
          <w:p w14:paraId="10E44960" w14:textId="77777777" w:rsidR="0097227C" w:rsidRPr="00605E91" w:rsidRDefault="0097227C" w:rsidP="009F78CC">
            <w:pPr>
              <w:rPr>
                <w:szCs w:val="22"/>
              </w:rPr>
            </w:pPr>
            <w:r w:rsidRPr="00605E91">
              <w:rPr>
                <w:szCs w:val="22"/>
              </w:rPr>
              <w:t>% Students Drive Personal Vehicle</w:t>
            </w:r>
          </w:p>
        </w:tc>
        <w:tc>
          <w:tcPr>
            <w:tcW w:w="2689" w:type="dxa"/>
          </w:tcPr>
          <w:p w14:paraId="20DF94E9" w14:textId="77777777" w:rsidR="0097227C" w:rsidRPr="00605E91" w:rsidRDefault="0097227C" w:rsidP="009F78CC">
            <w:pPr>
              <w:rPr>
                <w:szCs w:val="22"/>
              </w:rPr>
            </w:pPr>
            <w:r w:rsidRPr="00605E91">
              <w:rPr>
                <w:szCs w:val="22"/>
              </w:rPr>
              <w:t>% of students that drive personal vehicles to campus.</w:t>
            </w:r>
          </w:p>
        </w:tc>
        <w:tc>
          <w:tcPr>
            <w:tcW w:w="2818" w:type="dxa"/>
          </w:tcPr>
          <w:p w14:paraId="3C60687D" w14:textId="77777777" w:rsidR="0097227C" w:rsidRPr="00605E91" w:rsidRDefault="0097227C" w:rsidP="009F78CC">
            <w:pPr>
              <w:rPr>
                <w:szCs w:val="22"/>
              </w:rPr>
            </w:pPr>
            <w:r w:rsidRPr="00605E91">
              <w:rPr>
                <w:szCs w:val="22"/>
              </w:rPr>
              <w:t>Online Survey of Students</w:t>
            </w:r>
          </w:p>
        </w:tc>
      </w:tr>
      <w:tr w:rsidR="0097227C" w:rsidRPr="00605E91" w14:paraId="24ABC6C1" w14:textId="77777777" w:rsidTr="00945668">
        <w:tc>
          <w:tcPr>
            <w:tcW w:w="2602" w:type="dxa"/>
          </w:tcPr>
          <w:p w14:paraId="5374A2EB" w14:textId="77777777" w:rsidR="0097227C" w:rsidRPr="00605E91" w:rsidRDefault="0097227C" w:rsidP="009F78CC">
            <w:pPr>
              <w:rPr>
                <w:szCs w:val="22"/>
              </w:rPr>
            </w:pPr>
            <w:r w:rsidRPr="00605E91">
              <w:rPr>
                <w:szCs w:val="22"/>
              </w:rPr>
              <w:lastRenderedPageBreak/>
              <w:t>% Students that Carpool</w:t>
            </w:r>
          </w:p>
        </w:tc>
        <w:tc>
          <w:tcPr>
            <w:tcW w:w="2689" w:type="dxa"/>
          </w:tcPr>
          <w:p w14:paraId="3C9AFF71" w14:textId="77777777" w:rsidR="0097227C" w:rsidRPr="00605E91" w:rsidRDefault="0097227C" w:rsidP="009F78CC">
            <w:pPr>
              <w:rPr>
                <w:szCs w:val="22"/>
              </w:rPr>
            </w:pPr>
            <w:r w:rsidRPr="00605E91">
              <w:rPr>
                <w:szCs w:val="22"/>
              </w:rPr>
              <w:t>% of students that drive personal vehicles that carpool to campus. Carpooling is defined as two or more passengers.</w:t>
            </w:r>
          </w:p>
        </w:tc>
        <w:tc>
          <w:tcPr>
            <w:tcW w:w="2818" w:type="dxa"/>
          </w:tcPr>
          <w:p w14:paraId="21466560" w14:textId="77777777" w:rsidR="0097227C" w:rsidRPr="00605E91" w:rsidRDefault="0097227C" w:rsidP="009F78CC">
            <w:pPr>
              <w:rPr>
                <w:szCs w:val="22"/>
              </w:rPr>
            </w:pPr>
            <w:r w:rsidRPr="00605E91">
              <w:rPr>
                <w:szCs w:val="22"/>
              </w:rPr>
              <w:t>Online Survey of Students</w:t>
            </w:r>
          </w:p>
        </w:tc>
      </w:tr>
      <w:tr w:rsidR="0097227C" w:rsidRPr="00605E91" w14:paraId="01036A2C" w14:textId="77777777" w:rsidTr="00945668">
        <w:tc>
          <w:tcPr>
            <w:tcW w:w="2602" w:type="dxa"/>
          </w:tcPr>
          <w:p w14:paraId="6CF49A66" w14:textId="77777777" w:rsidR="0097227C" w:rsidRPr="00605E91" w:rsidRDefault="0097227C" w:rsidP="009F78CC">
            <w:pPr>
              <w:rPr>
                <w:szCs w:val="22"/>
              </w:rPr>
            </w:pPr>
            <w:r w:rsidRPr="00605E91">
              <w:rPr>
                <w:szCs w:val="22"/>
              </w:rPr>
              <w:t>Student Trips per Week</w:t>
            </w:r>
          </w:p>
        </w:tc>
        <w:tc>
          <w:tcPr>
            <w:tcW w:w="2689" w:type="dxa"/>
          </w:tcPr>
          <w:p w14:paraId="7ED43569" w14:textId="77777777" w:rsidR="0097227C" w:rsidRPr="00605E91" w:rsidRDefault="0097227C" w:rsidP="009F78CC">
            <w:pPr>
              <w:rPr>
                <w:szCs w:val="22"/>
              </w:rPr>
            </w:pPr>
            <w:r w:rsidRPr="00605E91">
              <w:rPr>
                <w:szCs w:val="22"/>
              </w:rPr>
              <w:t>Average trips per week students commuted.</w:t>
            </w:r>
          </w:p>
        </w:tc>
        <w:tc>
          <w:tcPr>
            <w:tcW w:w="2818" w:type="dxa"/>
          </w:tcPr>
          <w:p w14:paraId="2E11EED0" w14:textId="77777777" w:rsidR="0097227C" w:rsidRPr="00605E91" w:rsidRDefault="0097227C" w:rsidP="009F78CC">
            <w:pPr>
              <w:rPr>
                <w:szCs w:val="22"/>
              </w:rPr>
            </w:pPr>
            <w:r w:rsidRPr="00605E91">
              <w:rPr>
                <w:szCs w:val="22"/>
              </w:rPr>
              <w:t>Online Survey of Students</w:t>
            </w:r>
          </w:p>
        </w:tc>
      </w:tr>
      <w:tr w:rsidR="0097227C" w:rsidRPr="00605E91" w14:paraId="306E8BE0" w14:textId="77777777" w:rsidTr="00945668">
        <w:tc>
          <w:tcPr>
            <w:tcW w:w="2602" w:type="dxa"/>
          </w:tcPr>
          <w:p w14:paraId="7B0CCDD5" w14:textId="77777777" w:rsidR="0097227C" w:rsidRPr="00605E91" w:rsidRDefault="0097227C" w:rsidP="009F78CC">
            <w:pPr>
              <w:rPr>
                <w:szCs w:val="22"/>
              </w:rPr>
            </w:pPr>
            <w:r w:rsidRPr="00605E91">
              <w:rPr>
                <w:szCs w:val="22"/>
              </w:rPr>
              <w:t>Student Weeks per Year</w:t>
            </w:r>
          </w:p>
        </w:tc>
        <w:tc>
          <w:tcPr>
            <w:tcW w:w="2689" w:type="dxa"/>
          </w:tcPr>
          <w:p w14:paraId="354158E5" w14:textId="77777777" w:rsidR="0097227C" w:rsidRPr="00605E91" w:rsidRDefault="0097227C" w:rsidP="009F78CC">
            <w:pPr>
              <w:rPr>
                <w:szCs w:val="22"/>
              </w:rPr>
            </w:pPr>
            <w:r w:rsidRPr="00605E91">
              <w:rPr>
                <w:szCs w:val="22"/>
              </w:rPr>
              <w:t>Average weeks per year students commuted.</w:t>
            </w:r>
          </w:p>
        </w:tc>
        <w:tc>
          <w:tcPr>
            <w:tcW w:w="2818" w:type="dxa"/>
          </w:tcPr>
          <w:p w14:paraId="26FC1997" w14:textId="77777777" w:rsidR="0097227C" w:rsidRPr="00605E91" w:rsidRDefault="0097227C" w:rsidP="009F78CC">
            <w:pPr>
              <w:rPr>
                <w:szCs w:val="22"/>
              </w:rPr>
            </w:pPr>
            <w:r w:rsidRPr="00605E91">
              <w:rPr>
                <w:szCs w:val="22"/>
              </w:rPr>
              <w:t>Online Survey of Students</w:t>
            </w:r>
          </w:p>
        </w:tc>
      </w:tr>
      <w:tr w:rsidR="0097227C" w:rsidRPr="00605E91" w14:paraId="539D5533" w14:textId="77777777" w:rsidTr="00945668">
        <w:tc>
          <w:tcPr>
            <w:tcW w:w="2602" w:type="dxa"/>
          </w:tcPr>
          <w:p w14:paraId="1BF8D7EF" w14:textId="77777777" w:rsidR="0097227C" w:rsidRPr="00605E91" w:rsidRDefault="0097227C" w:rsidP="009F78CC">
            <w:pPr>
              <w:rPr>
                <w:szCs w:val="22"/>
              </w:rPr>
            </w:pPr>
            <w:r w:rsidRPr="00605E91">
              <w:rPr>
                <w:szCs w:val="22"/>
              </w:rPr>
              <w:t>Student Miles per Trip</w:t>
            </w:r>
          </w:p>
        </w:tc>
        <w:tc>
          <w:tcPr>
            <w:tcW w:w="2689" w:type="dxa"/>
          </w:tcPr>
          <w:p w14:paraId="3480B135" w14:textId="77777777" w:rsidR="0097227C" w:rsidRPr="00605E91" w:rsidRDefault="0097227C" w:rsidP="009F78CC">
            <w:pPr>
              <w:rPr>
                <w:szCs w:val="22"/>
              </w:rPr>
            </w:pPr>
            <w:r w:rsidRPr="00605E91">
              <w:rPr>
                <w:szCs w:val="22"/>
              </w:rPr>
              <w:t>Average distance per round trip that students commuted (miles).</w:t>
            </w:r>
          </w:p>
        </w:tc>
        <w:tc>
          <w:tcPr>
            <w:tcW w:w="2818" w:type="dxa"/>
          </w:tcPr>
          <w:p w14:paraId="481B1FBC" w14:textId="77777777" w:rsidR="0097227C" w:rsidRPr="00605E91" w:rsidRDefault="0097227C" w:rsidP="009F78CC">
            <w:pPr>
              <w:rPr>
                <w:szCs w:val="22"/>
              </w:rPr>
            </w:pPr>
            <w:r w:rsidRPr="00605E91">
              <w:rPr>
                <w:szCs w:val="22"/>
              </w:rPr>
              <w:t>Online Survey of Students</w:t>
            </w:r>
          </w:p>
        </w:tc>
      </w:tr>
      <w:tr w:rsidR="0097227C" w:rsidRPr="00605E91" w14:paraId="55318BAE" w14:textId="77777777" w:rsidTr="00945668">
        <w:tc>
          <w:tcPr>
            <w:tcW w:w="2602" w:type="dxa"/>
          </w:tcPr>
          <w:p w14:paraId="55DA6090" w14:textId="77777777" w:rsidR="0097227C" w:rsidRPr="00605E91" w:rsidRDefault="0097227C" w:rsidP="009F78CC">
            <w:pPr>
              <w:rPr>
                <w:szCs w:val="22"/>
              </w:rPr>
            </w:pPr>
            <w:r w:rsidRPr="00605E91">
              <w:rPr>
                <w:szCs w:val="22"/>
              </w:rPr>
              <w:t>Faculty Automobile Fuel Efficiency</w:t>
            </w:r>
          </w:p>
        </w:tc>
        <w:tc>
          <w:tcPr>
            <w:tcW w:w="2689" w:type="dxa"/>
          </w:tcPr>
          <w:p w14:paraId="35B768C1" w14:textId="77777777" w:rsidR="0097227C" w:rsidRPr="00605E91" w:rsidRDefault="0097227C" w:rsidP="009F78CC">
            <w:pPr>
              <w:rPr>
                <w:szCs w:val="22"/>
              </w:rPr>
            </w:pPr>
            <w:r w:rsidRPr="00605E91">
              <w:rPr>
                <w:szCs w:val="22"/>
              </w:rPr>
              <w:t>Average mpg of faculty vehicles driven to campus. Average from car year, make and model. EPA mpg averages were used (www.fueleconomy.gov).</w:t>
            </w:r>
          </w:p>
        </w:tc>
        <w:tc>
          <w:tcPr>
            <w:tcW w:w="2818" w:type="dxa"/>
          </w:tcPr>
          <w:p w14:paraId="583A71EE" w14:textId="77777777" w:rsidR="0097227C" w:rsidRPr="00605E91" w:rsidRDefault="00172A25" w:rsidP="009F78CC">
            <w:pPr>
              <w:rPr>
                <w:szCs w:val="22"/>
              </w:rPr>
            </w:pPr>
            <w:r w:rsidRPr="00605E91">
              <w:rPr>
                <w:szCs w:val="22"/>
              </w:rPr>
              <w:t>Online Survey of F</w:t>
            </w:r>
            <w:r w:rsidR="0097227C" w:rsidRPr="00605E91">
              <w:rPr>
                <w:szCs w:val="22"/>
              </w:rPr>
              <w:t>aculty</w:t>
            </w:r>
          </w:p>
        </w:tc>
      </w:tr>
      <w:tr w:rsidR="0097227C" w:rsidRPr="00605E91" w14:paraId="3642D0F6" w14:textId="77777777" w:rsidTr="00945668">
        <w:tc>
          <w:tcPr>
            <w:tcW w:w="2602" w:type="dxa"/>
          </w:tcPr>
          <w:p w14:paraId="68C87257" w14:textId="77777777" w:rsidR="0097227C" w:rsidRPr="00605E91" w:rsidRDefault="0097227C" w:rsidP="009F78CC">
            <w:pPr>
              <w:rPr>
                <w:szCs w:val="22"/>
              </w:rPr>
            </w:pPr>
            <w:r w:rsidRPr="00605E91">
              <w:rPr>
                <w:szCs w:val="22"/>
              </w:rPr>
              <w:t>% Faculty Drive Personal Vehicle</w:t>
            </w:r>
          </w:p>
        </w:tc>
        <w:tc>
          <w:tcPr>
            <w:tcW w:w="2689" w:type="dxa"/>
          </w:tcPr>
          <w:p w14:paraId="6CD77587" w14:textId="77777777" w:rsidR="0097227C" w:rsidRPr="00605E91" w:rsidRDefault="0097227C" w:rsidP="009F78CC">
            <w:pPr>
              <w:rPr>
                <w:szCs w:val="22"/>
              </w:rPr>
            </w:pPr>
            <w:r w:rsidRPr="00605E91">
              <w:rPr>
                <w:szCs w:val="22"/>
              </w:rPr>
              <w:t>% of faculty that drive personal vehicles to campus.</w:t>
            </w:r>
          </w:p>
        </w:tc>
        <w:tc>
          <w:tcPr>
            <w:tcW w:w="2818" w:type="dxa"/>
          </w:tcPr>
          <w:p w14:paraId="20C4BAE6" w14:textId="77777777" w:rsidR="0097227C" w:rsidRPr="00605E91" w:rsidRDefault="00172A25" w:rsidP="009F78CC">
            <w:pPr>
              <w:rPr>
                <w:szCs w:val="22"/>
              </w:rPr>
            </w:pPr>
            <w:r w:rsidRPr="00605E91">
              <w:rPr>
                <w:szCs w:val="22"/>
              </w:rPr>
              <w:t>Online Survey of Faculty</w:t>
            </w:r>
          </w:p>
        </w:tc>
      </w:tr>
      <w:tr w:rsidR="0097227C" w:rsidRPr="00605E91" w14:paraId="0EFEA289" w14:textId="77777777" w:rsidTr="00945668">
        <w:tc>
          <w:tcPr>
            <w:tcW w:w="2602" w:type="dxa"/>
          </w:tcPr>
          <w:p w14:paraId="3C574B2E" w14:textId="77777777" w:rsidR="0097227C" w:rsidRPr="00605E91" w:rsidRDefault="0097227C" w:rsidP="009F78CC">
            <w:pPr>
              <w:rPr>
                <w:szCs w:val="22"/>
              </w:rPr>
            </w:pPr>
            <w:r w:rsidRPr="00605E91">
              <w:rPr>
                <w:szCs w:val="22"/>
              </w:rPr>
              <w:t>% Faculty that Carpool</w:t>
            </w:r>
          </w:p>
        </w:tc>
        <w:tc>
          <w:tcPr>
            <w:tcW w:w="2689" w:type="dxa"/>
          </w:tcPr>
          <w:p w14:paraId="7BEBE711" w14:textId="77777777" w:rsidR="0097227C" w:rsidRPr="00605E91" w:rsidRDefault="0097227C" w:rsidP="009F78CC">
            <w:pPr>
              <w:rPr>
                <w:szCs w:val="22"/>
              </w:rPr>
            </w:pPr>
            <w:r w:rsidRPr="00605E91">
              <w:rPr>
                <w:szCs w:val="22"/>
              </w:rPr>
              <w:t>% of faculty that drive personal vehicles that carpool to campus. Carpooling is defined as two or more passengers.</w:t>
            </w:r>
          </w:p>
        </w:tc>
        <w:tc>
          <w:tcPr>
            <w:tcW w:w="2818" w:type="dxa"/>
          </w:tcPr>
          <w:p w14:paraId="240C82B2" w14:textId="77777777" w:rsidR="0097227C" w:rsidRPr="00605E91" w:rsidRDefault="00172A25" w:rsidP="009F78CC">
            <w:pPr>
              <w:rPr>
                <w:szCs w:val="22"/>
              </w:rPr>
            </w:pPr>
            <w:r w:rsidRPr="00605E91">
              <w:rPr>
                <w:szCs w:val="22"/>
              </w:rPr>
              <w:t>Online Survey of Faculty</w:t>
            </w:r>
          </w:p>
        </w:tc>
      </w:tr>
      <w:tr w:rsidR="0097227C" w:rsidRPr="00605E91" w14:paraId="6B12DB6A" w14:textId="77777777" w:rsidTr="00945668">
        <w:tc>
          <w:tcPr>
            <w:tcW w:w="2602" w:type="dxa"/>
          </w:tcPr>
          <w:p w14:paraId="59AE1A44" w14:textId="77777777" w:rsidR="0097227C" w:rsidRPr="00605E91" w:rsidRDefault="0097227C" w:rsidP="009F78CC">
            <w:pPr>
              <w:rPr>
                <w:szCs w:val="22"/>
              </w:rPr>
            </w:pPr>
            <w:r w:rsidRPr="00605E91">
              <w:rPr>
                <w:szCs w:val="22"/>
              </w:rPr>
              <w:t>Faculty Trips per Week</w:t>
            </w:r>
          </w:p>
        </w:tc>
        <w:tc>
          <w:tcPr>
            <w:tcW w:w="2689" w:type="dxa"/>
          </w:tcPr>
          <w:p w14:paraId="07327AE6" w14:textId="77777777" w:rsidR="0097227C" w:rsidRPr="00605E91" w:rsidRDefault="0097227C" w:rsidP="009F78CC">
            <w:pPr>
              <w:rPr>
                <w:szCs w:val="22"/>
              </w:rPr>
            </w:pPr>
            <w:r w:rsidRPr="00605E91">
              <w:rPr>
                <w:szCs w:val="22"/>
              </w:rPr>
              <w:t>Average trips per week faculty commuted.</w:t>
            </w:r>
          </w:p>
        </w:tc>
        <w:tc>
          <w:tcPr>
            <w:tcW w:w="2818" w:type="dxa"/>
          </w:tcPr>
          <w:p w14:paraId="36A17504" w14:textId="77777777" w:rsidR="0097227C" w:rsidRPr="00605E91" w:rsidRDefault="00172A25" w:rsidP="009F78CC">
            <w:pPr>
              <w:rPr>
                <w:szCs w:val="22"/>
              </w:rPr>
            </w:pPr>
            <w:r w:rsidRPr="00605E91">
              <w:rPr>
                <w:szCs w:val="22"/>
              </w:rPr>
              <w:t>Online Survey of Faculty</w:t>
            </w:r>
          </w:p>
        </w:tc>
      </w:tr>
      <w:tr w:rsidR="0097227C" w:rsidRPr="00605E91" w14:paraId="25ED7234" w14:textId="77777777" w:rsidTr="00945668">
        <w:tc>
          <w:tcPr>
            <w:tcW w:w="2602" w:type="dxa"/>
          </w:tcPr>
          <w:p w14:paraId="4D785DDB" w14:textId="77777777" w:rsidR="0097227C" w:rsidRPr="00605E91" w:rsidRDefault="0097227C" w:rsidP="009F78CC">
            <w:pPr>
              <w:rPr>
                <w:szCs w:val="22"/>
              </w:rPr>
            </w:pPr>
            <w:r w:rsidRPr="00605E91">
              <w:rPr>
                <w:szCs w:val="22"/>
              </w:rPr>
              <w:t>Faculty Weeks per Year</w:t>
            </w:r>
          </w:p>
        </w:tc>
        <w:tc>
          <w:tcPr>
            <w:tcW w:w="2689" w:type="dxa"/>
          </w:tcPr>
          <w:p w14:paraId="1DB56736" w14:textId="77777777" w:rsidR="0097227C" w:rsidRPr="00605E91" w:rsidRDefault="0097227C" w:rsidP="009F78CC">
            <w:pPr>
              <w:rPr>
                <w:szCs w:val="22"/>
              </w:rPr>
            </w:pPr>
            <w:r w:rsidRPr="00605E91">
              <w:rPr>
                <w:szCs w:val="22"/>
              </w:rPr>
              <w:t>Average weeks per year faculty commuted.</w:t>
            </w:r>
          </w:p>
        </w:tc>
        <w:tc>
          <w:tcPr>
            <w:tcW w:w="2818" w:type="dxa"/>
          </w:tcPr>
          <w:p w14:paraId="5345557D" w14:textId="77777777" w:rsidR="0097227C" w:rsidRPr="00605E91" w:rsidRDefault="00172A25" w:rsidP="009F78CC">
            <w:pPr>
              <w:rPr>
                <w:szCs w:val="22"/>
              </w:rPr>
            </w:pPr>
            <w:r w:rsidRPr="00605E91">
              <w:rPr>
                <w:szCs w:val="22"/>
              </w:rPr>
              <w:t>Online Survey of Faculty</w:t>
            </w:r>
          </w:p>
        </w:tc>
      </w:tr>
      <w:tr w:rsidR="0097227C" w:rsidRPr="00605E91" w14:paraId="23D82B06" w14:textId="77777777" w:rsidTr="00945668">
        <w:tc>
          <w:tcPr>
            <w:tcW w:w="2602" w:type="dxa"/>
          </w:tcPr>
          <w:p w14:paraId="21430DE8" w14:textId="77777777" w:rsidR="0097227C" w:rsidRPr="00605E91" w:rsidRDefault="0097227C" w:rsidP="009F78CC">
            <w:pPr>
              <w:rPr>
                <w:szCs w:val="22"/>
              </w:rPr>
            </w:pPr>
            <w:r w:rsidRPr="00605E91">
              <w:rPr>
                <w:szCs w:val="22"/>
              </w:rPr>
              <w:t>Faculty Miles per Trip</w:t>
            </w:r>
          </w:p>
        </w:tc>
        <w:tc>
          <w:tcPr>
            <w:tcW w:w="2689" w:type="dxa"/>
          </w:tcPr>
          <w:p w14:paraId="24794F08" w14:textId="77777777" w:rsidR="0097227C" w:rsidRPr="00605E91" w:rsidRDefault="0097227C" w:rsidP="009F78CC">
            <w:pPr>
              <w:rPr>
                <w:szCs w:val="22"/>
              </w:rPr>
            </w:pPr>
            <w:r w:rsidRPr="00605E91">
              <w:rPr>
                <w:szCs w:val="22"/>
              </w:rPr>
              <w:t>Average distance per round trip that faculty commuted (miles).</w:t>
            </w:r>
          </w:p>
        </w:tc>
        <w:tc>
          <w:tcPr>
            <w:tcW w:w="2818" w:type="dxa"/>
          </w:tcPr>
          <w:p w14:paraId="5CD99FE6" w14:textId="77777777" w:rsidR="0097227C" w:rsidRPr="00605E91" w:rsidRDefault="00172A25" w:rsidP="009F78CC">
            <w:pPr>
              <w:rPr>
                <w:szCs w:val="22"/>
              </w:rPr>
            </w:pPr>
            <w:r w:rsidRPr="00605E91">
              <w:rPr>
                <w:szCs w:val="22"/>
              </w:rPr>
              <w:t>Online Survey of Faculty</w:t>
            </w:r>
          </w:p>
        </w:tc>
      </w:tr>
      <w:tr w:rsidR="0097227C" w:rsidRPr="00605E91" w14:paraId="5CCFA997" w14:textId="77777777" w:rsidTr="00945668">
        <w:tc>
          <w:tcPr>
            <w:tcW w:w="2602" w:type="dxa"/>
          </w:tcPr>
          <w:p w14:paraId="36F7514F" w14:textId="77777777" w:rsidR="0097227C" w:rsidRPr="00605E91" w:rsidRDefault="0097227C" w:rsidP="009F78CC">
            <w:pPr>
              <w:rPr>
                <w:szCs w:val="22"/>
              </w:rPr>
            </w:pPr>
            <w:r w:rsidRPr="00605E91">
              <w:rPr>
                <w:szCs w:val="22"/>
              </w:rPr>
              <w:t>Staff Automobile Fuel Efficiency</w:t>
            </w:r>
          </w:p>
        </w:tc>
        <w:tc>
          <w:tcPr>
            <w:tcW w:w="2689" w:type="dxa"/>
          </w:tcPr>
          <w:p w14:paraId="48F70C28" w14:textId="77777777" w:rsidR="0097227C" w:rsidRPr="00605E91" w:rsidRDefault="0097227C" w:rsidP="009F78CC">
            <w:pPr>
              <w:rPr>
                <w:szCs w:val="22"/>
              </w:rPr>
            </w:pPr>
            <w:r w:rsidRPr="00605E91">
              <w:rPr>
                <w:szCs w:val="22"/>
              </w:rPr>
              <w:t>Average mpg of staff vehicles driven to campus. Average from car year, make and model. EPA mpg averages were used (www.fueleconomy.gov).</w:t>
            </w:r>
          </w:p>
        </w:tc>
        <w:tc>
          <w:tcPr>
            <w:tcW w:w="2818" w:type="dxa"/>
          </w:tcPr>
          <w:p w14:paraId="489A26CF" w14:textId="77777777" w:rsidR="0097227C" w:rsidRPr="00605E91" w:rsidRDefault="00172A25" w:rsidP="009F78CC">
            <w:pPr>
              <w:rPr>
                <w:szCs w:val="22"/>
              </w:rPr>
            </w:pPr>
            <w:r w:rsidRPr="00605E91">
              <w:rPr>
                <w:szCs w:val="22"/>
              </w:rPr>
              <w:t>Online Survey of S</w:t>
            </w:r>
            <w:r w:rsidR="0097227C" w:rsidRPr="00605E91">
              <w:rPr>
                <w:szCs w:val="22"/>
              </w:rPr>
              <w:t>taff</w:t>
            </w:r>
          </w:p>
        </w:tc>
      </w:tr>
      <w:tr w:rsidR="00172A25" w:rsidRPr="00605E91" w14:paraId="59D8E6E3" w14:textId="77777777" w:rsidTr="00945668">
        <w:tc>
          <w:tcPr>
            <w:tcW w:w="2602" w:type="dxa"/>
          </w:tcPr>
          <w:p w14:paraId="25A9F041" w14:textId="77777777" w:rsidR="00172A25" w:rsidRPr="00605E91" w:rsidRDefault="00172A25" w:rsidP="009F78CC">
            <w:pPr>
              <w:rPr>
                <w:szCs w:val="22"/>
              </w:rPr>
            </w:pPr>
            <w:r w:rsidRPr="00605E91">
              <w:rPr>
                <w:szCs w:val="22"/>
              </w:rPr>
              <w:t>% Staff Drive Personal Vehicle</w:t>
            </w:r>
          </w:p>
        </w:tc>
        <w:tc>
          <w:tcPr>
            <w:tcW w:w="2689" w:type="dxa"/>
          </w:tcPr>
          <w:p w14:paraId="0372C4C2" w14:textId="77777777" w:rsidR="00172A25" w:rsidRPr="00605E91" w:rsidRDefault="00172A25" w:rsidP="009F78CC">
            <w:pPr>
              <w:rPr>
                <w:szCs w:val="22"/>
              </w:rPr>
            </w:pPr>
            <w:r w:rsidRPr="00605E91">
              <w:rPr>
                <w:szCs w:val="22"/>
              </w:rPr>
              <w:t>% of staff that drive personal vehicles to campus.</w:t>
            </w:r>
          </w:p>
        </w:tc>
        <w:tc>
          <w:tcPr>
            <w:tcW w:w="2818" w:type="dxa"/>
          </w:tcPr>
          <w:p w14:paraId="64F30377" w14:textId="77777777" w:rsidR="00172A25" w:rsidRPr="00605E91" w:rsidRDefault="00172A25" w:rsidP="009F78CC">
            <w:pPr>
              <w:rPr>
                <w:szCs w:val="22"/>
              </w:rPr>
            </w:pPr>
            <w:r w:rsidRPr="00605E91">
              <w:rPr>
                <w:szCs w:val="22"/>
              </w:rPr>
              <w:t>Online Survey of Staff</w:t>
            </w:r>
          </w:p>
        </w:tc>
      </w:tr>
      <w:tr w:rsidR="00172A25" w:rsidRPr="00605E91" w14:paraId="04729CE3" w14:textId="77777777" w:rsidTr="00945668">
        <w:tc>
          <w:tcPr>
            <w:tcW w:w="2602" w:type="dxa"/>
          </w:tcPr>
          <w:p w14:paraId="711E7990" w14:textId="77777777" w:rsidR="00172A25" w:rsidRPr="00605E91" w:rsidRDefault="00172A25" w:rsidP="009F78CC">
            <w:pPr>
              <w:rPr>
                <w:szCs w:val="22"/>
              </w:rPr>
            </w:pPr>
            <w:r w:rsidRPr="00605E91">
              <w:rPr>
                <w:szCs w:val="22"/>
              </w:rPr>
              <w:t>% Staff that Carpool</w:t>
            </w:r>
          </w:p>
        </w:tc>
        <w:tc>
          <w:tcPr>
            <w:tcW w:w="2689" w:type="dxa"/>
          </w:tcPr>
          <w:p w14:paraId="392A871E" w14:textId="77777777" w:rsidR="00172A25" w:rsidRPr="00605E91" w:rsidRDefault="00172A25" w:rsidP="009F78CC">
            <w:pPr>
              <w:rPr>
                <w:szCs w:val="22"/>
              </w:rPr>
            </w:pPr>
            <w:r w:rsidRPr="00605E91">
              <w:rPr>
                <w:szCs w:val="22"/>
              </w:rPr>
              <w:t xml:space="preserve">% of staff that drive personal vehicles that </w:t>
            </w:r>
            <w:r w:rsidRPr="00605E91">
              <w:rPr>
                <w:szCs w:val="22"/>
              </w:rPr>
              <w:lastRenderedPageBreak/>
              <w:t>carpool to campus. Carpooling is defined as two or more passengers.</w:t>
            </w:r>
          </w:p>
        </w:tc>
        <w:tc>
          <w:tcPr>
            <w:tcW w:w="2818" w:type="dxa"/>
          </w:tcPr>
          <w:p w14:paraId="2F8E62D7" w14:textId="77777777" w:rsidR="00172A25" w:rsidRPr="00605E91" w:rsidRDefault="00172A25" w:rsidP="009F78CC">
            <w:pPr>
              <w:rPr>
                <w:szCs w:val="22"/>
              </w:rPr>
            </w:pPr>
            <w:r w:rsidRPr="00605E91">
              <w:rPr>
                <w:szCs w:val="22"/>
              </w:rPr>
              <w:lastRenderedPageBreak/>
              <w:t>Online Survey of Staff</w:t>
            </w:r>
          </w:p>
        </w:tc>
      </w:tr>
      <w:tr w:rsidR="00172A25" w:rsidRPr="00605E91" w14:paraId="5817F42C" w14:textId="77777777" w:rsidTr="00945668">
        <w:tc>
          <w:tcPr>
            <w:tcW w:w="2602" w:type="dxa"/>
          </w:tcPr>
          <w:p w14:paraId="3BF96E95" w14:textId="77777777" w:rsidR="00172A25" w:rsidRPr="00605E91" w:rsidRDefault="00172A25" w:rsidP="009F78CC">
            <w:pPr>
              <w:rPr>
                <w:szCs w:val="22"/>
              </w:rPr>
            </w:pPr>
            <w:r w:rsidRPr="00605E91">
              <w:rPr>
                <w:szCs w:val="22"/>
              </w:rPr>
              <w:t>Staff Trips per Week</w:t>
            </w:r>
          </w:p>
        </w:tc>
        <w:tc>
          <w:tcPr>
            <w:tcW w:w="2689" w:type="dxa"/>
          </w:tcPr>
          <w:p w14:paraId="6B1413DB" w14:textId="77777777" w:rsidR="00172A25" w:rsidRPr="00605E91" w:rsidRDefault="00172A25" w:rsidP="009F78CC">
            <w:pPr>
              <w:rPr>
                <w:szCs w:val="22"/>
              </w:rPr>
            </w:pPr>
            <w:r w:rsidRPr="00605E91">
              <w:rPr>
                <w:szCs w:val="22"/>
              </w:rPr>
              <w:t>Average trips per week staff commuted.</w:t>
            </w:r>
          </w:p>
        </w:tc>
        <w:tc>
          <w:tcPr>
            <w:tcW w:w="2818" w:type="dxa"/>
          </w:tcPr>
          <w:p w14:paraId="7C4AAE91" w14:textId="77777777" w:rsidR="00172A25" w:rsidRPr="00605E91" w:rsidRDefault="00172A25" w:rsidP="009F78CC">
            <w:pPr>
              <w:rPr>
                <w:szCs w:val="22"/>
              </w:rPr>
            </w:pPr>
            <w:r w:rsidRPr="00605E91">
              <w:rPr>
                <w:szCs w:val="22"/>
              </w:rPr>
              <w:t>Online Survey of Staff</w:t>
            </w:r>
          </w:p>
        </w:tc>
      </w:tr>
      <w:tr w:rsidR="00172A25" w:rsidRPr="00605E91" w14:paraId="795BD1D3" w14:textId="77777777" w:rsidTr="00945668">
        <w:tc>
          <w:tcPr>
            <w:tcW w:w="2602" w:type="dxa"/>
          </w:tcPr>
          <w:p w14:paraId="29FF33CC" w14:textId="77777777" w:rsidR="00172A25" w:rsidRPr="00605E91" w:rsidRDefault="00172A25" w:rsidP="009F78CC">
            <w:pPr>
              <w:rPr>
                <w:szCs w:val="22"/>
              </w:rPr>
            </w:pPr>
            <w:r w:rsidRPr="00605E91">
              <w:rPr>
                <w:szCs w:val="22"/>
              </w:rPr>
              <w:t>Staff Weeks per Year</w:t>
            </w:r>
          </w:p>
        </w:tc>
        <w:tc>
          <w:tcPr>
            <w:tcW w:w="2689" w:type="dxa"/>
          </w:tcPr>
          <w:p w14:paraId="3E72DD98" w14:textId="77777777" w:rsidR="00172A25" w:rsidRPr="00605E91" w:rsidRDefault="00172A25" w:rsidP="009F78CC">
            <w:pPr>
              <w:rPr>
                <w:szCs w:val="22"/>
              </w:rPr>
            </w:pPr>
            <w:r w:rsidRPr="00605E91">
              <w:rPr>
                <w:szCs w:val="22"/>
              </w:rPr>
              <w:t>Average weeks per year staff commuted.</w:t>
            </w:r>
          </w:p>
        </w:tc>
        <w:tc>
          <w:tcPr>
            <w:tcW w:w="2818" w:type="dxa"/>
          </w:tcPr>
          <w:p w14:paraId="57ABEACE" w14:textId="77777777" w:rsidR="00172A25" w:rsidRPr="00605E91" w:rsidRDefault="00172A25" w:rsidP="009F78CC">
            <w:pPr>
              <w:rPr>
                <w:szCs w:val="22"/>
              </w:rPr>
            </w:pPr>
            <w:r w:rsidRPr="00605E91">
              <w:rPr>
                <w:szCs w:val="22"/>
              </w:rPr>
              <w:t>Online Survey of Staff</w:t>
            </w:r>
          </w:p>
        </w:tc>
      </w:tr>
      <w:tr w:rsidR="00172A25" w:rsidRPr="00605E91" w14:paraId="6EDDAFD8" w14:textId="77777777" w:rsidTr="00945668">
        <w:tc>
          <w:tcPr>
            <w:tcW w:w="2602" w:type="dxa"/>
          </w:tcPr>
          <w:p w14:paraId="528D888F" w14:textId="77777777" w:rsidR="00172A25" w:rsidRPr="00605E91" w:rsidRDefault="00172A25" w:rsidP="009F78CC">
            <w:pPr>
              <w:rPr>
                <w:szCs w:val="22"/>
              </w:rPr>
            </w:pPr>
            <w:r w:rsidRPr="00605E91">
              <w:rPr>
                <w:szCs w:val="22"/>
              </w:rPr>
              <w:t>Staff Miles per Trip</w:t>
            </w:r>
          </w:p>
        </w:tc>
        <w:tc>
          <w:tcPr>
            <w:tcW w:w="2689" w:type="dxa"/>
          </w:tcPr>
          <w:p w14:paraId="1ABCA800" w14:textId="77777777" w:rsidR="00172A25" w:rsidRPr="00605E91" w:rsidRDefault="00172A25" w:rsidP="009F78CC">
            <w:pPr>
              <w:rPr>
                <w:szCs w:val="22"/>
              </w:rPr>
            </w:pPr>
            <w:r w:rsidRPr="00605E91">
              <w:rPr>
                <w:szCs w:val="22"/>
              </w:rPr>
              <w:t>Average distance per round trip that staff commuted (miles).</w:t>
            </w:r>
          </w:p>
        </w:tc>
        <w:tc>
          <w:tcPr>
            <w:tcW w:w="2818" w:type="dxa"/>
          </w:tcPr>
          <w:p w14:paraId="5285B781" w14:textId="77777777" w:rsidR="00172A25" w:rsidRPr="00605E91" w:rsidRDefault="00172A25" w:rsidP="009F78CC">
            <w:pPr>
              <w:rPr>
                <w:szCs w:val="22"/>
              </w:rPr>
            </w:pPr>
            <w:r w:rsidRPr="00605E91">
              <w:rPr>
                <w:szCs w:val="22"/>
              </w:rPr>
              <w:t>Online Survey of Staff</w:t>
            </w:r>
          </w:p>
        </w:tc>
      </w:tr>
      <w:tr w:rsidR="00172A25" w:rsidRPr="00605E91" w14:paraId="7C029A3C" w14:textId="77777777" w:rsidTr="00945668">
        <w:tc>
          <w:tcPr>
            <w:tcW w:w="8109" w:type="dxa"/>
            <w:gridSpan w:val="3"/>
          </w:tcPr>
          <w:p w14:paraId="49AFE575" w14:textId="77777777" w:rsidR="00172A25" w:rsidRPr="00605E91" w:rsidRDefault="00172A25" w:rsidP="009F78CC">
            <w:pPr>
              <w:rPr>
                <w:i/>
                <w:szCs w:val="22"/>
              </w:rPr>
            </w:pPr>
            <w:r w:rsidRPr="00605E91">
              <w:rPr>
                <w:i/>
                <w:szCs w:val="22"/>
              </w:rPr>
              <w:t>Directly Financed Air Travel</w:t>
            </w:r>
          </w:p>
        </w:tc>
      </w:tr>
      <w:tr w:rsidR="00172A25" w:rsidRPr="00605E91" w14:paraId="200D165E" w14:textId="77777777" w:rsidTr="00945668">
        <w:tc>
          <w:tcPr>
            <w:tcW w:w="2602" w:type="dxa"/>
          </w:tcPr>
          <w:p w14:paraId="0AE3DCBF" w14:textId="77777777" w:rsidR="00172A25" w:rsidRPr="00605E91" w:rsidRDefault="00172A25" w:rsidP="009F78CC">
            <w:pPr>
              <w:rPr>
                <w:szCs w:val="22"/>
              </w:rPr>
            </w:pPr>
            <w:r w:rsidRPr="00605E91">
              <w:rPr>
                <w:szCs w:val="22"/>
              </w:rPr>
              <w:t>Faculty/Staff Directly Financed Air Travel</w:t>
            </w:r>
          </w:p>
        </w:tc>
        <w:tc>
          <w:tcPr>
            <w:tcW w:w="2689" w:type="dxa"/>
          </w:tcPr>
          <w:p w14:paraId="6298430F" w14:textId="77777777" w:rsidR="00172A25" w:rsidRPr="00605E91" w:rsidRDefault="00172A25" w:rsidP="009F78CC">
            <w:pPr>
              <w:rPr>
                <w:szCs w:val="22"/>
              </w:rPr>
            </w:pPr>
            <w:r w:rsidRPr="00605E91">
              <w:rPr>
                <w:szCs w:val="22"/>
              </w:rPr>
              <w:t>Total distance of faculty/staff plane travel that the school wholly or partially finances in the fiscal year (miles).</w:t>
            </w:r>
          </w:p>
          <w:p w14:paraId="06516EB8" w14:textId="77777777" w:rsidR="00172A25" w:rsidRPr="00605E91" w:rsidRDefault="00172A25" w:rsidP="009F78CC">
            <w:pPr>
              <w:rPr>
                <w:szCs w:val="22"/>
              </w:rPr>
            </w:pPr>
          </w:p>
          <w:p w14:paraId="7D113B44" w14:textId="77777777" w:rsidR="00172A25" w:rsidRPr="00605E91" w:rsidRDefault="00172A25" w:rsidP="009F78CC">
            <w:pPr>
              <w:rPr>
                <w:szCs w:val="22"/>
              </w:rPr>
            </w:pPr>
            <w:r w:rsidRPr="00605E91">
              <w:rPr>
                <w:szCs w:val="22"/>
              </w:rPr>
              <w:t>** Cassie Ensminger collected coaching staff air travel data.</w:t>
            </w:r>
          </w:p>
        </w:tc>
        <w:tc>
          <w:tcPr>
            <w:tcW w:w="2818" w:type="dxa"/>
          </w:tcPr>
          <w:p w14:paraId="191BA946" w14:textId="77777777" w:rsidR="00172A25" w:rsidRPr="00605E91" w:rsidRDefault="006158FC" w:rsidP="009F78CC">
            <w:pPr>
              <w:pStyle w:val="ListParagraph"/>
              <w:numPr>
                <w:ilvl w:val="0"/>
                <w:numId w:val="1"/>
              </w:numPr>
              <w:rPr>
                <w:b/>
                <w:szCs w:val="22"/>
              </w:rPr>
            </w:pPr>
            <w:r w:rsidRPr="00605E91">
              <w:rPr>
                <w:b/>
                <w:szCs w:val="22"/>
              </w:rPr>
              <w:t xml:space="preserve">** </w:t>
            </w:r>
            <w:r w:rsidR="00172A25" w:rsidRPr="00605E91">
              <w:rPr>
                <w:b/>
                <w:szCs w:val="22"/>
              </w:rPr>
              <w:t>New Technique Needed for Faculty &amp; Staff Air Travel; Data Not Readily Available in Business Office or HR</w:t>
            </w:r>
          </w:p>
          <w:p w14:paraId="5539A8C9" w14:textId="77777777" w:rsidR="00172A25" w:rsidRPr="00605E91" w:rsidRDefault="00172A25" w:rsidP="009F78CC">
            <w:pPr>
              <w:pStyle w:val="ListParagraph"/>
              <w:numPr>
                <w:ilvl w:val="0"/>
                <w:numId w:val="1"/>
              </w:numPr>
              <w:rPr>
                <w:szCs w:val="22"/>
              </w:rPr>
            </w:pPr>
            <w:r w:rsidRPr="00605E91">
              <w:rPr>
                <w:szCs w:val="22"/>
              </w:rPr>
              <w:t>Julie Travis (Coaching Staff Air Travel)</w:t>
            </w:r>
          </w:p>
        </w:tc>
      </w:tr>
      <w:tr w:rsidR="00172A25" w:rsidRPr="00605E91" w14:paraId="1E1BF936" w14:textId="77777777" w:rsidTr="00945668">
        <w:tc>
          <w:tcPr>
            <w:tcW w:w="2602" w:type="dxa"/>
          </w:tcPr>
          <w:p w14:paraId="311FC47A" w14:textId="77777777" w:rsidR="00172A25" w:rsidRPr="00605E91" w:rsidRDefault="00172A25" w:rsidP="009F78CC">
            <w:pPr>
              <w:rPr>
                <w:szCs w:val="22"/>
              </w:rPr>
            </w:pPr>
            <w:r w:rsidRPr="00605E91">
              <w:rPr>
                <w:szCs w:val="22"/>
              </w:rPr>
              <w:t>Student Directly Financed Air Travel</w:t>
            </w:r>
          </w:p>
        </w:tc>
        <w:tc>
          <w:tcPr>
            <w:tcW w:w="2689" w:type="dxa"/>
          </w:tcPr>
          <w:p w14:paraId="2AC15C3B" w14:textId="77777777" w:rsidR="00172A25" w:rsidRPr="00605E91" w:rsidRDefault="00172A25" w:rsidP="009F78CC">
            <w:pPr>
              <w:rPr>
                <w:szCs w:val="22"/>
              </w:rPr>
            </w:pPr>
            <w:r w:rsidRPr="00605E91">
              <w:rPr>
                <w:szCs w:val="22"/>
              </w:rPr>
              <w:t>Total distance of student plane travel that the school wholly or partially finances in the fiscal year (miles). Only athletic teams in this figure.</w:t>
            </w:r>
          </w:p>
        </w:tc>
        <w:tc>
          <w:tcPr>
            <w:tcW w:w="2818" w:type="dxa"/>
          </w:tcPr>
          <w:p w14:paraId="56FC0A17" w14:textId="77777777" w:rsidR="00172A25" w:rsidRPr="00605E91" w:rsidRDefault="00172A25" w:rsidP="009F78CC">
            <w:pPr>
              <w:rPr>
                <w:szCs w:val="22"/>
              </w:rPr>
            </w:pPr>
            <w:r w:rsidRPr="00605E91">
              <w:rPr>
                <w:szCs w:val="22"/>
              </w:rPr>
              <w:t>Julie Travis (Student Athletic Flights)</w:t>
            </w:r>
          </w:p>
        </w:tc>
      </w:tr>
      <w:tr w:rsidR="00172A25" w:rsidRPr="00605E91" w14:paraId="1C5A4A10" w14:textId="77777777" w:rsidTr="00945668">
        <w:tc>
          <w:tcPr>
            <w:tcW w:w="8109" w:type="dxa"/>
            <w:gridSpan w:val="3"/>
          </w:tcPr>
          <w:p w14:paraId="323452D3" w14:textId="77777777" w:rsidR="00172A25" w:rsidRPr="00605E91" w:rsidRDefault="00172A25" w:rsidP="009F78CC">
            <w:pPr>
              <w:rPr>
                <w:i/>
                <w:szCs w:val="22"/>
              </w:rPr>
            </w:pPr>
            <w:r w:rsidRPr="00605E91">
              <w:rPr>
                <w:i/>
                <w:szCs w:val="22"/>
              </w:rPr>
              <w:t>Other Directly Financed Travel</w:t>
            </w:r>
          </w:p>
        </w:tc>
      </w:tr>
      <w:tr w:rsidR="00172A25" w:rsidRPr="00605E91" w14:paraId="12FA41D6" w14:textId="77777777" w:rsidTr="00945668">
        <w:tc>
          <w:tcPr>
            <w:tcW w:w="2602" w:type="dxa"/>
          </w:tcPr>
          <w:p w14:paraId="4ED80062" w14:textId="77777777" w:rsidR="00172A25" w:rsidRPr="00605E91" w:rsidRDefault="00172A25" w:rsidP="009F78CC">
            <w:pPr>
              <w:rPr>
                <w:szCs w:val="22"/>
              </w:rPr>
            </w:pPr>
            <w:r w:rsidRPr="00605E91">
              <w:rPr>
                <w:szCs w:val="22"/>
              </w:rPr>
              <w:t>Bus Travel</w:t>
            </w:r>
          </w:p>
        </w:tc>
        <w:tc>
          <w:tcPr>
            <w:tcW w:w="2689" w:type="dxa"/>
          </w:tcPr>
          <w:p w14:paraId="4F938EC3" w14:textId="77777777" w:rsidR="00172A25" w:rsidRPr="00605E91" w:rsidRDefault="00172A25" w:rsidP="009F78CC">
            <w:pPr>
              <w:rPr>
                <w:szCs w:val="22"/>
              </w:rPr>
            </w:pPr>
            <w:r w:rsidRPr="00605E91">
              <w:rPr>
                <w:szCs w:val="22"/>
              </w:rPr>
              <w:t>Charter bus distance from fiscal year (miles). Only athletic teams in this figure.</w:t>
            </w:r>
          </w:p>
        </w:tc>
        <w:tc>
          <w:tcPr>
            <w:tcW w:w="2818" w:type="dxa"/>
          </w:tcPr>
          <w:p w14:paraId="6AD89C8A" w14:textId="77777777" w:rsidR="00172A25" w:rsidRPr="00605E91" w:rsidRDefault="00172A25" w:rsidP="009F78CC">
            <w:pPr>
              <w:rPr>
                <w:szCs w:val="22"/>
              </w:rPr>
            </w:pPr>
            <w:r w:rsidRPr="00605E91">
              <w:rPr>
                <w:szCs w:val="22"/>
              </w:rPr>
              <w:t>Julie Travis</w:t>
            </w:r>
          </w:p>
        </w:tc>
      </w:tr>
      <w:tr w:rsidR="00172A25" w:rsidRPr="00605E91" w14:paraId="0B4D4838" w14:textId="77777777" w:rsidTr="00945668">
        <w:tc>
          <w:tcPr>
            <w:tcW w:w="2602" w:type="dxa"/>
          </w:tcPr>
          <w:p w14:paraId="25BC7135" w14:textId="77777777" w:rsidR="00172A25" w:rsidRPr="00605E91" w:rsidRDefault="00172A25" w:rsidP="009F78CC">
            <w:pPr>
              <w:rPr>
                <w:szCs w:val="22"/>
              </w:rPr>
            </w:pPr>
            <w:r w:rsidRPr="00605E91">
              <w:rPr>
                <w:szCs w:val="22"/>
              </w:rPr>
              <w:t>Mileage Reimbursements for Personal Vehicle Use</w:t>
            </w:r>
          </w:p>
        </w:tc>
        <w:tc>
          <w:tcPr>
            <w:tcW w:w="2689" w:type="dxa"/>
          </w:tcPr>
          <w:p w14:paraId="494FB626" w14:textId="77777777" w:rsidR="00172A25" w:rsidRPr="00605E91" w:rsidRDefault="00172A25" w:rsidP="009F78CC">
            <w:pPr>
              <w:rPr>
                <w:szCs w:val="22"/>
              </w:rPr>
            </w:pPr>
            <w:r w:rsidRPr="00605E91">
              <w:rPr>
                <w:szCs w:val="22"/>
              </w:rPr>
              <w:t>Distance driven on personal vehicles that the college reimbursed (miles). The IRS mileage rates were used to calculate mileage (IRS Standard Mileage Rates, 2008).</w:t>
            </w:r>
          </w:p>
          <w:p w14:paraId="120BBCFA" w14:textId="77777777" w:rsidR="00172A25" w:rsidRPr="00605E91" w:rsidRDefault="00172A25" w:rsidP="009F78CC">
            <w:pPr>
              <w:rPr>
                <w:szCs w:val="22"/>
              </w:rPr>
            </w:pPr>
          </w:p>
        </w:tc>
        <w:tc>
          <w:tcPr>
            <w:tcW w:w="2818" w:type="dxa"/>
          </w:tcPr>
          <w:p w14:paraId="675D8F3F" w14:textId="77777777" w:rsidR="00172A25" w:rsidRPr="00605E91" w:rsidRDefault="006158FC" w:rsidP="009F78CC">
            <w:pPr>
              <w:rPr>
                <w:b/>
                <w:szCs w:val="22"/>
              </w:rPr>
            </w:pPr>
            <w:r w:rsidRPr="00605E91">
              <w:rPr>
                <w:b/>
                <w:szCs w:val="22"/>
              </w:rPr>
              <w:t xml:space="preserve">** </w:t>
            </w:r>
            <w:r w:rsidR="00172A25" w:rsidRPr="00605E91">
              <w:rPr>
                <w:b/>
                <w:szCs w:val="22"/>
              </w:rPr>
              <w:t>New Technique Needed; Data Not Readily Available in Business Office or HR</w:t>
            </w:r>
          </w:p>
        </w:tc>
      </w:tr>
      <w:tr w:rsidR="00172A25" w:rsidRPr="00605E91" w14:paraId="3A543E9B" w14:textId="77777777" w:rsidTr="00945668">
        <w:tc>
          <w:tcPr>
            <w:tcW w:w="8109" w:type="dxa"/>
            <w:gridSpan w:val="3"/>
          </w:tcPr>
          <w:p w14:paraId="2ED84823" w14:textId="77777777" w:rsidR="00172A25" w:rsidRPr="00605E91" w:rsidRDefault="00172A25" w:rsidP="009F78CC">
            <w:pPr>
              <w:rPr>
                <w:i/>
                <w:szCs w:val="22"/>
              </w:rPr>
            </w:pPr>
            <w:r w:rsidRPr="00605E91">
              <w:rPr>
                <w:i/>
                <w:szCs w:val="22"/>
              </w:rPr>
              <w:t>Study Abroad Travel</w:t>
            </w:r>
          </w:p>
        </w:tc>
      </w:tr>
      <w:tr w:rsidR="00094594" w:rsidRPr="00605E91" w14:paraId="082DBB0F" w14:textId="77777777" w:rsidTr="00945668">
        <w:tc>
          <w:tcPr>
            <w:tcW w:w="2602" w:type="dxa"/>
          </w:tcPr>
          <w:p w14:paraId="4CF29C9F" w14:textId="77777777" w:rsidR="00172A25" w:rsidRPr="00605E91" w:rsidRDefault="00172A25" w:rsidP="009F78CC">
            <w:pPr>
              <w:rPr>
                <w:szCs w:val="22"/>
              </w:rPr>
            </w:pPr>
            <w:r w:rsidRPr="00605E91">
              <w:rPr>
                <w:szCs w:val="22"/>
              </w:rPr>
              <w:t>Study Abroad Air Travel</w:t>
            </w:r>
          </w:p>
        </w:tc>
        <w:tc>
          <w:tcPr>
            <w:tcW w:w="2689" w:type="dxa"/>
          </w:tcPr>
          <w:p w14:paraId="126F5136" w14:textId="77777777" w:rsidR="00172A25" w:rsidRPr="00605E91" w:rsidRDefault="00172A25" w:rsidP="009F78CC">
            <w:pPr>
              <w:rPr>
                <w:szCs w:val="22"/>
              </w:rPr>
            </w:pPr>
            <w:r w:rsidRPr="00605E91">
              <w:rPr>
                <w:szCs w:val="22"/>
              </w:rPr>
              <w:t xml:space="preserve">Total distance of semester and yearlong </w:t>
            </w:r>
            <w:r w:rsidRPr="00605E91">
              <w:rPr>
                <w:szCs w:val="22"/>
              </w:rPr>
              <w:lastRenderedPageBreak/>
              <w:t>study abroad flights and January term flights per fiscal year (miles).</w:t>
            </w:r>
          </w:p>
          <w:p w14:paraId="538B491A" w14:textId="77777777" w:rsidR="00172A25" w:rsidRPr="00605E91" w:rsidRDefault="00172A25" w:rsidP="009F78CC">
            <w:pPr>
              <w:rPr>
                <w:szCs w:val="22"/>
              </w:rPr>
            </w:pPr>
          </w:p>
          <w:p w14:paraId="21804509" w14:textId="77777777" w:rsidR="00172A25" w:rsidRPr="00605E91" w:rsidRDefault="00172A25" w:rsidP="009F78CC">
            <w:pPr>
              <w:rPr>
                <w:szCs w:val="22"/>
              </w:rPr>
            </w:pPr>
            <w:r w:rsidRPr="00605E91">
              <w:rPr>
                <w:szCs w:val="22"/>
              </w:rPr>
              <w:t>.</w:t>
            </w:r>
          </w:p>
        </w:tc>
        <w:tc>
          <w:tcPr>
            <w:tcW w:w="2818" w:type="dxa"/>
          </w:tcPr>
          <w:p w14:paraId="50E534E6" w14:textId="77777777" w:rsidR="00172A25" w:rsidRPr="00605E91" w:rsidRDefault="003B5AA1" w:rsidP="009F78CC">
            <w:pPr>
              <w:pStyle w:val="ListParagraph"/>
              <w:numPr>
                <w:ilvl w:val="0"/>
                <w:numId w:val="1"/>
              </w:numPr>
              <w:rPr>
                <w:szCs w:val="22"/>
              </w:rPr>
            </w:pPr>
            <w:r w:rsidRPr="00605E91">
              <w:rPr>
                <w:szCs w:val="22"/>
              </w:rPr>
              <w:lastRenderedPageBreak/>
              <w:t>Jade Fernberg</w:t>
            </w:r>
            <w:r w:rsidR="006158FC" w:rsidRPr="00605E91">
              <w:rPr>
                <w:szCs w:val="22"/>
              </w:rPr>
              <w:t xml:space="preserve"> of</w:t>
            </w:r>
            <w:r w:rsidR="00172A25" w:rsidRPr="00605E91">
              <w:rPr>
                <w:szCs w:val="22"/>
              </w:rPr>
              <w:t xml:space="preserve"> Center for Global </w:t>
            </w:r>
            <w:r w:rsidR="00172A25" w:rsidRPr="00605E91">
              <w:rPr>
                <w:szCs w:val="22"/>
              </w:rPr>
              <w:lastRenderedPageBreak/>
              <w:t>Learning (Semester and Year-Long Study Abroad</w:t>
            </w:r>
            <w:r w:rsidR="00094594">
              <w:rPr>
                <w:szCs w:val="22"/>
              </w:rPr>
              <w:t>, Janterm</w:t>
            </w:r>
            <w:r w:rsidR="00172A25" w:rsidRPr="00605E91">
              <w:rPr>
                <w:szCs w:val="22"/>
              </w:rPr>
              <w:t>)</w:t>
            </w:r>
          </w:p>
          <w:p w14:paraId="042B321A" w14:textId="77777777" w:rsidR="00172A25" w:rsidRPr="00605E91" w:rsidRDefault="003B5AA1" w:rsidP="00094594">
            <w:pPr>
              <w:pStyle w:val="ListParagraph"/>
              <w:numPr>
                <w:ilvl w:val="0"/>
                <w:numId w:val="1"/>
              </w:numPr>
              <w:rPr>
                <w:szCs w:val="22"/>
              </w:rPr>
            </w:pPr>
            <w:r w:rsidRPr="00605E91">
              <w:rPr>
                <w:szCs w:val="22"/>
              </w:rPr>
              <w:t>Viki Reeder</w:t>
            </w:r>
            <w:r w:rsidR="00172A25" w:rsidRPr="00605E91">
              <w:rPr>
                <w:szCs w:val="22"/>
              </w:rPr>
              <w:t xml:space="preserve"> (CSOC, and NSOC)</w:t>
            </w:r>
          </w:p>
        </w:tc>
      </w:tr>
      <w:tr w:rsidR="00172A25" w:rsidRPr="00605E91" w14:paraId="59DD65A6" w14:textId="77777777" w:rsidTr="00945668">
        <w:tc>
          <w:tcPr>
            <w:tcW w:w="8109" w:type="dxa"/>
            <w:gridSpan w:val="3"/>
          </w:tcPr>
          <w:p w14:paraId="5D6DD6FC" w14:textId="77777777" w:rsidR="00172A25" w:rsidRPr="00605E91" w:rsidRDefault="00172A25" w:rsidP="009F78CC">
            <w:pPr>
              <w:rPr>
                <w:i/>
                <w:szCs w:val="22"/>
              </w:rPr>
            </w:pPr>
            <w:r w:rsidRPr="00605E91">
              <w:rPr>
                <w:i/>
                <w:szCs w:val="22"/>
              </w:rPr>
              <w:lastRenderedPageBreak/>
              <w:t>Waste</w:t>
            </w:r>
          </w:p>
        </w:tc>
      </w:tr>
      <w:tr w:rsidR="00172A25" w:rsidRPr="00605E91" w14:paraId="1D6CF1B6" w14:textId="77777777" w:rsidTr="00945668">
        <w:tc>
          <w:tcPr>
            <w:tcW w:w="2602" w:type="dxa"/>
          </w:tcPr>
          <w:p w14:paraId="1D9184EC" w14:textId="77777777" w:rsidR="00172A25" w:rsidRPr="00605E91" w:rsidRDefault="00172A25" w:rsidP="009F78CC">
            <w:pPr>
              <w:rPr>
                <w:szCs w:val="22"/>
              </w:rPr>
            </w:pPr>
            <w:r w:rsidRPr="00605E91">
              <w:rPr>
                <w:szCs w:val="22"/>
              </w:rPr>
              <w:t>Solid Waste</w:t>
            </w:r>
          </w:p>
        </w:tc>
        <w:tc>
          <w:tcPr>
            <w:tcW w:w="2689" w:type="dxa"/>
          </w:tcPr>
          <w:p w14:paraId="72A50F9F" w14:textId="77777777" w:rsidR="00172A25" w:rsidRPr="00605E91" w:rsidRDefault="00172A25" w:rsidP="009F78CC">
            <w:pPr>
              <w:rPr>
                <w:szCs w:val="22"/>
              </w:rPr>
            </w:pPr>
            <w:r w:rsidRPr="00605E91">
              <w:rPr>
                <w:szCs w:val="22"/>
              </w:rPr>
              <w:t>Solid waste sent to the landfill from Austin College trash receptacles. Measured in short tons (2,000 lbs).</w:t>
            </w:r>
          </w:p>
        </w:tc>
        <w:tc>
          <w:tcPr>
            <w:tcW w:w="2818" w:type="dxa"/>
          </w:tcPr>
          <w:p w14:paraId="41554850" w14:textId="77777777" w:rsidR="006158FC" w:rsidRPr="00605E91" w:rsidRDefault="00EB5012" w:rsidP="009F78CC">
            <w:pPr>
              <w:pStyle w:val="ListParagraph"/>
              <w:numPr>
                <w:ilvl w:val="0"/>
                <w:numId w:val="1"/>
              </w:numPr>
              <w:rPr>
                <w:szCs w:val="22"/>
              </w:rPr>
            </w:pPr>
            <w:r w:rsidRPr="00605E91">
              <w:rPr>
                <w:szCs w:val="22"/>
              </w:rPr>
              <w:t>Linda Welch</w:t>
            </w:r>
            <w:r w:rsidR="006158FC" w:rsidRPr="00605E91">
              <w:rPr>
                <w:szCs w:val="22"/>
              </w:rPr>
              <w:t xml:space="preserve"> (Number of R</w:t>
            </w:r>
            <w:r w:rsidR="00172A25" w:rsidRPr="00605E91">
              <w:rPr>
                <w:szCs w:val="22"/>
              </w:rPr>
              <w:t>e</w:t>
            </w:r>
            <w:r w:rsidR="006158FC" w:rsidRPr="00605E91">
              <w:rPr>
                <w:szCs w:val="22"/>
              </w:rPr>
              <w:t>ceptacles and Frequency of Pick-Up)</w:t>
            </w:r>
          </w:p>
          <w:p w14:paraId="7FC40125" w14:textId="77777777" w:rsidR="00172A25" w:rsidRPr="00605E91" w:rsidRDefault="00172A25" w:rsidP="009F78CC">
            <w:pPr>
              <w:pStyle w:val="ListParagraph"/>
              <w:numPr>
                <w:ilvl w:val="0"/>
                <w:numId w:val="1"/>
              </w:numPr>
              <w:rPr>
                <w:szCs w:val="22"/>
              </w:rPr>
            </w:pPr>
            <w:r w:rsidRPr="00605E91">
              <w:rPr>
                <w:szCs w:val="22"/>
              </w:rPr>
              <w:t>Jade Rutledge</w:t>
            </w:r>
            <w:r w:rsidR="006158FC" w:rsidRPr="00605E91">
              <w:rPr>
                <w:szCs w:val="22"/>
              </w:rPr>
              <w:t xml:space="preserve"> (Use Same Calculations as FY 2008)</w:t>
            </w:r>
          </w:p>
        </w:tc>
      </w:tr>
      <w:tr w:rsidR="00172A25" w:rsidRPr="00605E91" w14:paraId="79042BCB" w14:textId="77777777" w:rsidTr="00945668">
        <w:tc>
          <w:tcPr>
            <w:tcW w:w="2602" w:type="dxa"/>
          </w:tcPr>
          <w:p w14:paraId="7781A3F6" w14:textId="77777777" w:rsidR="00172A25" w:rsidRPr="00605E91" w:rsidRDefault="00172A25" w:rsidP="009F78CC">
            <w:pPr>
              <w:rPr>
                <w:szCs w:val="22"/>
              </w:rPr>
            </w:pPr>
            <w:r w:rsidRPr="00605E91">
              <w:rPr>
                <w:szCs w:val="22"/>
              </w:rPr>
              <w:t>Wastewater</w:t>
            </w:r>
          </w:p>
        </w:tc>
        <w:tc>
          <w:tcPr>
            <w:tcW w:w="2689" w:type="dxa"/>
          </w:tcPr>
          <w:p w14:paraId="437C1432" w14:textId="77777777" w:rsidR="00172A25" w:rsidRPr="00605E91" w:rsidRDefault="00172A25" w:rsidP="009F78CC">
            <w:pPr>
              <w:rPr>
                <w:szCs w:val="22"/>
              </w:rPr>
            </w:pPr>
            <w:r w:rsidRPr="00605E91">
              <w:rPr>
                <w:szCs w:val="22"/>
              </w:rPr>
              <w:t>Water sent to the city wastewater treatment plant (gallons).</w:t>
            </w:r>
          </w:p>
        </w:tc>
        <w:tc>
          <w:tcPr>
            <w:tcW w:w="2818" w:type="dxa"/>
          </w:tcPr>
          <w:p w14:paraId="0A1F9783" w14:textId="77777777" w:rsidR="00172A25" w:rsidRPr="00605E91" w:rsidRDefault="006158FC" w:rsidP="009F78CC">
            <w:pPr>
              <w:rPr>
                <w:szCs w:val="22"/>
              </w:rPr>
            </w:pPr>
            <w:r w:rsidRPr="00605E91">
              <w:rPr>
                <w:szCs w:val="22"/>
              </w:rPr>
              <w:t>John Jennings</w:t>
            </w:r>
          </w:p>
        </w:tc>
      </w:tr>
      <w:tr w:rsidR="00172A25" w:rsidRPr="00605E91" w14:paraId="159C4388" w14:textId="77777777" w:rsidTr="00945668">
        <w:tc>
          <w:tcPr>
            <w:tcW w:w="8109" w:type="dxa"/>
            <w:gridSpan w:val="3"/>
          </w:tcPr>
          <w:p w14:paraId="3010F538" w14:textId="77777777" w:rsidR="00172A25" w:rsidRPr="00605E91" w:rsidRDefault="00172A25" w:rsidP="009F78CC">
            <w:pPr>
              <w:rPr>
                <w:i/>
                <w:szCs w:val="22"/>
              </w:rPr>
            </w:pPr>
            <w:r w:rsidRPr="00605E91">
              <w:rPr>
                <w:i/>
                <w:szCs w:val="22"/>
              </w:rPr>
              <w:t>Purchased Materials</w:t>
            </w:r>
          </w:p>
        </w:tc>
      </w:tr>
      <w:tr w:rsidR="00172A25" w:rsidRPr="00605E91" w14:paraId="08209879" w14:textId="77777777" w:rsidTr="00945668">
        <w:trPr>
          <w:trHeight w:val="287"/>
        </w:trPr>
        <w:tc>
          <w:tcPr>
            <w:tcW w:w="2602" w:type="dxa"/>
          </w:tcPr>
          <w:p w14:paraId="26D7783F" w14:textId="77777777" w:rsidR="00172A25" w:rsidRPr="00605E91" w:rsidRDefault="00172A25" w:rsidP="009F78CC">
            <w:pPr>
              <w:rPr>
                <w:szCs w:val="22"/>
              </w:rPr>
            </w:pPr>
            <w:r w:rsidRPr="00605E91">
              <w:rPr>
                <w:szCs w:val="22"/>
              </w:rPr>
              <w:t>Office Paper</w:t>
            </w:r>
          </w:p>
        </w:tc>
        <w:tc>
          <w:tcPr>
            <w:tcW w:w="2689" w:type="dxa"/>
            <w:tcBorders>
              <w:bottom w:val="single" w:sz="4" w:space="0" w:color="auto"/>
            </w:tcBorders>
          </w:tcPr>
          <w:p w14:paraId="332CD970" w14:textId="77777777" w:rsidR="00172A25" w:rsidRPr="00605E91" w:rsidRDefault="00172A25" w:rsidP="009F78CC">
            <w:pPr>
              <w:rPr>
                <w:szCs w:val="22"/>
              </w:rPr>
            </w:pPr>
            <w:r w:rsidRPr="00605E91">
              <w:rPr>
                <w:szCs w:val="22"/>
              </w:rPr>
              <w:t>Amount of office paper used per year (lbs).</w:t>
            </w:r>
          </w:p>
        </w:tc>
        <w:tc>
          <w:tcPr>
            <w:tcW w:w="2818" w:type="dxa"/>
            <w:tcBorders>
              <w:bottom w:val="single" w:sz="4" w:space="0" w:color="auto"/>
            </w:tcBorders>
          </w:tcPr>
          <w:p w14:paraId="5A9E5B47" w14:textId="77777777" w:rsidR="00172A25" w:rsidRPr="00605E91" w:rsidRDefault="006158FC" w:rsidP="009F78CC">
            <w:pPr>
              <w:rPr>
                <w:szCs w:val="22"/>
              </w:rPr>
            </w:pPr>
            <w:r w:rsidRPr="00605E91">
              <w:rPr>
                <w:szCs w:val="22"/>
              </w:rPr>
              <w:t>Debra Reed</w:t>
            </w:r>
          </w:p>
        </w:tc>
      </w:tr>
      <w:tr w:rsidR="00172A25" w:rsidRPr="00605E91" w14:paraId="08013943" w14:textId="77777777" w:rsidTr="00945668">
        <w:tc>
          <w:tcPr>
            <w:tcW w:w="2602" w:type="dxa"/>
            <w:tcBorders>
              <w:right w:val="nil"/>
            </w:tcBorders>
          </w:tcPr>
          <w:p w14:paraId="65862017" w14:textId="77777777" w:rsidR="00172A25" w:rsidRPr="00605E91" w:rsidRDefault="00172A25" w:rsidP="009F78CC">
            <w:pPr>
              <w:rPr>
                <w:i/>
                <w:szCs w:val="22"/>
              </w:rPr>
            </w:pPr>
            <w:r w:rsidRPr="00605E91">
              <w:rPr>
                <w:i/>
                <w:szCs w:val="22"/>
              </w:rPr>
              <w:t>Offsets</w:t>
            </w:r>
          </w:p>
        </w:tc>
        <w:tc>
          <w:tcPr>
            <w:tcW w:w="2689" w:type="dxa"/>
            <w:tcBorders>
              <w:top w:val="single" w:sz="4" w:space="0" w:color="auto"/>
              <w:left w:val="nil"/>
              <w:bottom w:val="single" w:sz="4" w:space="0" w:color="auto"/>
              <w:right w:val="nil"/>
            </w:tcBorders>
          </w:tcPr>
          <w:p w14:paraId="6589ECCB" w14:textId="77777777" w:rsidR="00172A25" w:rsidRPr="00605E91" w:rsidRDefault="00172A25" w:rsidP="009F78CC">
            <w:pPr>
              <w:rPr>
                <w:szCs w:val="22"/>
              </w:rPr>
            </w:pPr>
          </w:p>
        </w:tc>
        <w:tc>
          <w:tcPr>
            <w:tcW w:w="2818" w:type="dxa"/>
            <w:tcBorders>
              <w:top w:val="single" w:sz="4" w:space="0" w:color="auto"/>
              <w:left w:val="nil"/>
              <w:bottom w:val="single" w:sz="4" w:space="0" w:color="auto"/>
              <w:right w:val="single" w:sz="4" w:space="0" w:color="auto"/>
            </w:tcBorders>
          </w:tcPr>
          <w:p w14:paraId="774E0ACC" w14:textId="77777777" w:rsidR="00172A25" w:rsidRPr="00605E91" w:rsidRDefault="00172A25" w:rsidP="009F78CC">
            <w:pPr>
              <w:rPr>
                <w:szCs w:val="22"/>
              </w:rPr>
            </w:pPr>
          </w:p>
        </w:tc>
      </w:tr>
      <w:tr w:rsidR="00172A25" w:rsidRPr="00605E91" w14:paraId="10200A92" w14:textId="77777777" w:rsidTr="00945668">
        <w:tc>
          <w:tcPr>
            <w:tcW w:w="2602" w:type="dxa"/>
          </w:tcPr>
          <w:p w14:paraId="31FE6A46" w14:textId="77777777" w:rsidR="00172A25" w:rsidRPr="00605E91" w:rsidRDefault="00172A25" w:rsidP="009F78CC">
            <w:pPr>
              <w:rPr>
                <w:szCs w:val="22"/>
              </w:rPr>
            </w:pPr>
            <w:r w:rsidRPr="00605E91">
              <w:rPr>
                <w:szCs w:val="22"/>
              </w:rPr>
              <w:t>Offsets With Additionality: High end Retail Offsets</w:t>
            </w:r>
          </w:p>
        </w:tc>
        <w:tc>
          <w:tcPr>
            <w:tcW w:w="2689" w:type="dxa"/>
            <w:tcBorders>
              <w:top w:val="single" w:sz="4" w:space="0" w:color="auto"/>
            </w:tcBorders>
          </w:tcPr>
          <w:p w14:paraId="083FDC58" w14:textId="77777777" w:rsidR="00172A25" w:rsidRPr="00605E91" w:rsidRDefault="00172A25" w:rsidP="009F78CC">
            <w:pPr>
              <w:rPr>
                <w:szCs w:val="22"/>
              </w:rPr>
            </w:pPr>
            <w:r w:rsidRPr="00605E91">
              <w:rPr>
                <w:szCs w:val="22"/>
              </w:rPr>
              <w:t>Purchased offsets for January Term air miles; enter only total offset miles into “Study Abroad Air Miles” to determine total MT-eCO</w:t>
            </w:r>
            <w:r w:rsidRPr="00605E91">
              <w:rPr>
                <w:szCs w:val="22"/>
                <w:vertAlign w:val="subscript"/>
              </w:rPr>
              <w:t xml:space="preserve">2 </w:t>
            </w:r>
            <w:r w:rsidRPr="00605E91">
              <w:rPr>
                <w:szCs w:val="22"/>
              </w:rPr>
              <w:t>offset; enter MT-eCO</w:t>
            </w:r>
            <w:r w:rsidRPr="00605E91">
              <w:rPr>
                <w:szCs w:val="22"/>
                <w:vertAlign w:val="subscript"/>
              </w:rPr>
              <w:t xml:space="preserve">2 </w:t>
            </w:r>
            <w:r w:rsidRPr="00605E91">
              <w:rPr>
                <w:szCs w:val="22"/>
              </w:rPr>
              <w:t>offset into “High End Retail Offsets” (Additionality).</w:t>
            </w:r>
          </w:p>
        </w:tc>
        <w:tc>
          <w:tcPr>
            <w:tcW w:w="2818" w:type="dxa"/>
            <w:tcBorders>
              <w:top w:val="single" w:sz="4" w:space="0" w:color="auto"/>
            </w:tcBorders>
          </w:tcPr>
          <w:p w14:paraId="14F4D870" w14:textId="77777777" w:rsidR="00172A25" w:rsidRPr="00605E91" w:rsidRDefault="00172A25" w:rsidP="003B5AA1">
            <w:pPr>
              <w:rPr>
                <w:szCs w:val="22"/>
              </w:rPr>
            </w:pPr>
            <w:r w:rsidRPr="00605E91">
              <w:rPr>
                <w:szCs w:val="22"/>
              </w:rPr>
              <w:t xml:space="preserve">January Term </w:t>
            </w:r>
            <w:r w:rsidR="006158FC" w:rsidRPr="00605E91">
              <w:rPr>
                <w:szCs w:val="22"/>
              </w:rPr>
              <w:t xml:space="preserve">Air Travel Miles from </w:t>
            </w:r>
            <w:r w:rsidR="003B5AA1" w:rsidRPr="00605E91">
              <w:rPr>
                <w:szCs w:val="22"/>
              </w:rPr>
              <w:t>Jade Fernberg</w:t>
            </w:r>
            <w:r w:rsidR="006158FC" w:rsidRPr="00605E91">
              <w:rPr>
                <w:szCs w:val="22"/>
              </w:rPr>
              <w:t xml:space="preserve"> &amp;</w:t>
            </w:r>
            <w:r w:rsidRPr="00605E91">
              <w:rPr>
                <w:szCs w:val="22"/>
              </w:rPr>
              <w:t xml:space="preserve"> Margie Norman</w:t>
            </w:r>
            <w:r w:rsidR="006158FC" w:rsidRPr="00605E91">
              <w:rPr>
                <w:szCs w:val="22"/>
              </w:rPr>
              <w:t>; Discuss with Peter Schulze</w:t>
            </w:r>
          </w:p>
        </w:tc>
      </w:tr>
    </w:tbl>
    <w:p w14:paraId="38423A43" w14:textId="77777777" w:rsidR="0097227C" w:rsidRPr="00605E91" w:rsidRDefault="0097227C" w:rsidP="009F78CC"/>
    <w:p w14:paraId="5FC1F128" w14:textId="77777777" w:rsidR="00A53F4D" w:rsidRPr="00605E91" w:rsidRDefault="00A53F4D" w:rsidP="009F78CC">
      <w:pPr>
        <w:spacing w:line="480" w:lineRule="auto"/>
        <w:rPr>
          <w:b/>
          <w:sz w:val="28"/>
        </w:rPr>
      </w:pPr>
    </w:p>
    <w:p w14:paraId="2E4D7D0D" w14:textId="77777777" w:rsidR="00A53F4D" w:rsidRPr="00605E91" w:rsidRDefault="00A53F4D" w:rsidP="00A53F4D">
      <w:pPr>
        <w:spacing w:line="480" w:lineRule="auto"/>
        <w:rPr>
          <w:b/>
          <w:sz w:val="28"/>
        </w:rPr>
      </w:pPr>
    </w:p>
    <w:p w14:paraId="6DC31650" w14:textId="77777777" w:rsidR="00A53F4D" w:rsidRPr="00605E91" w:rsidRDefault="00A53F4D" w:rsidP="00A53F4D">
      <w:pPr>
        <w:spacing w:line="480" w:lineRule="auto"/>
        <w:rPr>
          <w:b/>
          <w:sz w:val="28"/>
        </w:rPr>
      </w:pPr>
    </w:p>
    <w:p w14:paraId="703BFCE9" w14:textId="77777777" w:rsidR="00103CFC" w:rsidRPr="00605E91" w:rsidRDefault="00103CFC" w:rsidP="00103CFC">
      <w:pPr>
        <w:spacing w:line="480" w:lineRule="auto"/>
        <w:rPr>
          <w:b/>
          <w:sz w:val="28"/>
        </w:rPr>
      </w:pPr>
    </w:p>
    <w:p w14:paraId="48626E9B" w14:textId="77777777" w:rsidR="00A53F4D" w:rsidRPr="00605E91" w:rsidRDefault="00A53F4D" w:rsidP="00103CFC">
      <w:pPr>
        <w:spacing w:line="480" w:lineRule="auto"/>
        <w:jc w:val="center"/>
        <w:rPr>
          <w:b/>
          <w:sz w:val="28"/>
        </w:rPr>
      </w:pPr>
      <w:r w:rsidRPr="00605E91">
        <w:rPr>
          <w:b/>
          <w:sz w:val="28"/>
        </w:rPr>
        <w:t>Summary of Alterations to the Calculator</w:t>
      </w:r>
    </w:p>
    <w:tbl>
      <w:tblPr>
        <w:tblW w:w="7573" w:type="dxa"/>
        <w:jc w:val="center"/>
        <w:tblLook w:val="0000" w:firstRow="0" w:lastRow="0" w:firstColumn="0" w:lastColumn="0" w:noHBand="0" w:noVBand="0"/>
      </w:tblPr>
      <w:tblGrid>
        <w:gridCol w:w="2533"/>
        <w:gridCol w:w="2520"/>
        <w:gridCol w:w="2520"/>
      </w:tblGrid>
      <w:tr w:rsidR="00605E91" w:rsidRPr="00605E91" w14:paraId="2058817A" w14:textId="77777777" w:rsidTr="009F78CC">
        <w:trPr>
          <w:trHeight w:val="260"/>
          <w:jc w:val="center"/>
        </w:trPr>
        <w:tc>
          <w:tcPr>
            <w:tcW w:w="2533" w:type="dxa"/>
            <w:tcBorders>
              <w:top w:val="single" w:sz="4" w:space="0" w:color="auto"/>
              <w:left w:val="single" w:sz="4" w:space="0" w:color="auto"/>
            </w:tcBorders>
            <w:shd w:val="clear" w:color="auto" w:fill="auto"/>
            <w:noWrap/>
            <w:vAlign w:val="bottom"/>
          </w:tcPr>
          <w:p w14:paraId="033A02CF" w14:textId="33E90E8F" w:rsidR="00A53F4D" w:rsidRPr="00605E91" w:rsidRDefault="00A53F4D">
            <w:pPr>
              <w:jc w:val="center"/>
              <w:rPr>
                <w:rFonts w:ascii="Verdana" w:hAnsi="Verdana"/>
                <w:b/>
                <w:sz w:val="22"/>
                <w:szCs w:val="20"/>
                <w:lang w:bidi="x-none"/>
              </w:rPr>
            </w:pPr>
            <w:r w:rsidRPr="00605E91">
              <w:rPr>
                <w:b/>
                <w:sz w:val="22"/>
                <w:szCs w:val="20"/>
                <w:lang w:bidi="x-none"/>
              </w:rPr>
              <w:t xml:space="preserve">Alteration to </w:t>
            </w:r>
            <w:r w:rsidR="001904FB">
              <w:rPr>
                <w:b/>
                <w:sz w:val="22"/>
                <w:szCs w:val="20"/>
                <w:lang w:bidi="x-none"/>
              </w:rPr>
              <w:t>CCC</w:t>
            </w:r>
            <w:r w:rsidRPr="00605E91">
              <w:rPr>
                <w:b/>
                <w:sz w:val="22"/>
                <w:szCs w:val="20"/>
                <w:lang w:bidi="x-none"/>
              </w:rPr>
              <w:t xml:space="preserve"> Calculator</w:t>
            </w:r>
          </w:p>
        </w:tc>
        <w:tc>
          <w:tcPr>
            <w:tcW w:w="2520" w:type="dxa"/>
            <w:tcBorders>
              <w:top w:val="single" w:sz="4" w:space="0" w:color="auto"/>
            </w:tcBorders>
            <w:shd w:val="clear" w:color="auto" w:fill="auto"/>
            <w:noWrap/>
            <w:vAlign w:val="bottom"/>
          </w:tcPr>
          <w:p w14:paraId="638A7226" w14:textId="0EE04750" w:rsidR="00A53F4D" w:rsidRPr="00605E91" w:rsidRDefault="00A53F4D">
            <w:pPr>
              <w:jc w:val="center"/>
              <w:rPr>
                <w:b/>
                <w:sz w:val="22"/>
                <w:szCs w:val="20"/>
                <w:lang w:bidi="x-none"/>
              </w:rPr>
            </w:pPr>
            <w:r w:rsidRPr="00605E91">
              <w:rPr>
                <w:b/>
                <w:sz w:val="22"/>
                <w:szCs w:val="20"/>
                <w:lang w:bidi="x-none"/>
              </w:rPr>
              <w:t xml:space="preserve">Input Page on </w:t>
            </w:r>
            <w:r w:rsidR="001904FB">
              <w:rPr>
                <w:b/>
                <w:sz w:val="22"/>
                <w:szCs w:val="20"/>
                <w:lang w:bidi="x-none"/>
              </w:rPr>
              <w:t>CCC</w:t>
            </w:r>
            <w:r w:rsidR="001904FB" w:rsidRPr="00605E91">
              <w:rPr>
                <w:b/>
                <w:sz w:val="22"/>
                <w:szCs w:val="20"/>
                <w:lang w:bidi="x-none"/>
              </w:rPr>
              <w:t xml:space="preserve"> </w:t>
            </w:r>
            <w:r w:rsidRPr="00605E91">
              <w:rPr>
                <w:b/>
                <w:sz w:val="22"/>
                <w:szCs w:val="20"/>
                <w:lang w:bidi="x-none"/>
              </w:rPr>
              <w:t>Calculator</w:t>
            </w:r>
          </w:p>
        </w:tc>
        <w:tc>
          <w:tcPr>
            <w:tcW w:w="2520" w:type="dxa"/>
            <w:tcBorders>
              <w:top w:val="single" w:sz="4" w:space="0" w:color="auto"/>
              <w:right w:val="single" w:sz="4" w:space="0" w:color="auto"/>
            </w:tcBorders>
            <w:shd w:val="clear" w:color="auto" w:fill="auto"/>
            <w:noWrap/>
            <w:vAlign w:val="bottom"/>
          </w:tcPr>
          <w:p w14:paraId="514A096D" w14:textId="4D1C86DA" w:rsidR="00A53F4D" w:rsidRPr="00605E91" w:rsidRDefault="00A53F4D">
            <w:pPr>
              <w:jc w:val="center"/>
              <w:rPr>
                <w:b/>
                <w:sz w:val="22"/>
                <w:szCs w:val="20"/>
                <w:lang w:bidi="x-none"/>
              </w:rPr>
            </w:pPr>
            <w:r w:rsidRPr="00605E91">
              <w:rPr>
                <w:b/>
                <w:sz w:val="22"/>
                <w:szCs w:val="20"/>
                <w:lang w:bidi="x-none"/>
              </w:rPr>
              <w:t xml:space="preserve">Column(s) in </w:t>
            </w:r>
            <w:r w:rsidR="001904FB">
              <w:rPr>
                <w:b/>
                <w:sz w:val="22"/>
                <w:szCs w:val="20"/>
                <w:lang w:bidi="x-none"/>
              </w:rPr>
              <w:t>CCC</w:t>
            </w:r>
            <w:r w:rsidR="001904FB" w:rsidRPr="00605E91">
              <w:rPr>
                <w:b/>
                <w:sz w:val="22"/>
                <w:szCs w:val="20"/>
                <w:lang w:bidi="x-none"/>
              </w:rPr>
              <w:t xml:space="preserve"> </w:t>
            </w:r>
            <w:r w:rsidRPr="00605E91">
              <w:rPr>
                <w:b/>
                <w:sz w:val="22"/>
                <w:szCs w:val="20"/>
                <w:lang w:bidi="x-none"/>
              </w:rPr>
              <w:t>Calculator</w:t>
            </w:r>
          </w:p>
        </w:tc>
      </w:tr>
      <w:tr w:rsidR="00605E91" w:rsidRPr="00605E91" w14:paraId="1CA85244" w14:textId="77777777" w:rsidTr="009F78CC">
        <w:trPr>
          <w:trHeight w:val="320"/>
          <w:jc w:val="center"/>
        </w:trPr>
        <w:tc>
          <w:tcPr>
            <w:tcW w:w="2533" w:type="dxa"/>
            <w:tcBorders>
              <w:left w:val="single" w:sz="4" w:space="0" w:color="auto"/>
            </w:tcBorders>
            <w:shd w:val="clear" w:color="auto" w:fill="auto"/>
            <w:noWrap/>
            <w:vAlign w:val="bottom"/>
          </w:tcPr>
          <w:p w14:paraId="7E6BE7DA" w14:textId="77777777" w:rsidR="00B40D31" w:rsidRPr="00605E91" w:rsidRDefault="00B40D31" w:rsidP="00B40D31">
            <w:pPr>
              <w:jc w:val="center"/>
              <w:rPr>
                <w:sz w:val="22"/>
                <w:szCs w:val="20"/>
                <w:lang w:bidi="x-none"/>
              </w:rPr>
            </w:pPr>
          </w:p>
          <w:p w14:paraId="0CAAA1CA" w14:textId="77777777" w:rsidR="00B40D31" w:rsidRPr="00605E91" w:rsidRDefault="00B40D31" w:rsidP="00B40D31">
            <w:pPr>
              <w:jc w:val="center"/>
              <w:rPr>
                <w:sz w:val="22"/>
                <w:szCs w:val="20"/>
                <w:lang w:bidi="x-none"/>
              </w:rPr>
            </w:pPr>
          </w:p>
          <w:p w14:paraId="090D8526" w14:textId="77777777" w:rsidR="00A53F4D" w:rsidRPr="00605E91" w:rsidRDefault="00A53F4D" w:rsidP="00B40D31">
            <w:pPr>
              <w:jc w:val="center"/>
              <w:rPr>
                <w:rFonts w:ascii="Verdana" w:hAnsi="Verdana"/>
                <w:sz w:val="22"/>
                <w:szCs w:val="20"/>
                <w:lang w:bidi="x-none"/>
              </w:rPr>
            </w:pPr>
            <w:r w:rsidRPr="00605E91">
              <w:rPr>
                <w:sz w:val="22"/>
                <w:szCs w:val="20"/>
                <w:lang w:bidi="x-none"/>
              </w:rPr>
              <w:t>Student, faculty, and staff personal vehicle mileage</w:t>
            </w:r>
          </w:p>
        </w:tc>
        <w:tc>
          <w:tcPr>
            <w:tcW w:w="2520" w:type="dxa"/>
            <w:shd w:val="clear" w:color="auto" w:fill="auto"/>
            <w:noWrap/>
            <w:vAlign w:val="bottom"/>
          </w:tcPr>
          <w:p w14:paraId="66B9B036" w14:textId="77777777" w:rsidR="00A53F4D" w:rsidRPr="00605E91" w:rsidRDefault="00A53F4D" w:rsidP="00B40D31">
            <w:pPr>
              <w:jc w:val="center"/>
              <w:rPr>
                <w:rFonts w:ascii="Verdana" w:hAnsi="Verdana"/>
                <w:sz w:val="22"/>
                <w:szCs w:val="20"/>
                <w:lang w:bidi="x-none"/>
              </w:rPr>
            </w:pPr>
            <w:r w:rsidRPr="00605E91">
              <w:rPr>
                <w:sz w:val="22"/>
                <w:szCs w:val="20"/>
                <w:lang w:bidi="x-none"/>
              </w:rPr>
              <w:t>Input_Commuter</w:t>
            </w:r>
          </w:p>
        </w:tc>
        <w:tc>
          <w:tcPr>
            <w:tcW w:w="2520" w:type="dxa"/>
            <w:tcBorders>
              <w:right w:val="single" w:sz="4" w:space="0" w:color="auto"/>
            </w:tcBorders>
            <w:shd w:val="clear" w:color="auto" w:fill="auto"/>
            <w:noWrap/>
            <w:vAlign w:val="bottom"/>
          </w:tcPr>
          <w:p w14:paraId="7CA9E44D" w14:textId="77777777" w:rsidR="00A53F4D" w:rsidRPr="00605E91" w:rsidRDefault="000A4B6E" w:rsidP="00B40D31">
            <w:pPr>
              <w:jc w:val="center"/>
              <w:rPr>
                <w:rFonts w:ascii="Verdana" w:hAnsi="Verdana"/>
                <w:sz w:val="22"/>
                <w:szCs w:val="20"/>
                <w:lang w:bidi="x-none"/>
              </w:rPr>
            </w:pPr>
            <w:r w:rsidRPr="00605E91">
              <w:rPr>
                <w:sz w:val="22"/>
                <w:szCs w:val="20"/>
                <w:lang w:bidi="x-none"/>
              </w:rPr>
              <w:t xml:space="preserve">V, </w:t>
            </w:r>
            <w:r w:rsidR="00C6234A" w:rsidRPr="00605E91">
              <w:rPr>
                <w:sz w:val="22"/>
                <w:szCs w:val="20"/>
                <w:lang w:bidi="x-none"/>
              </w:rPr>
              <w:t xml:space="preserve">BG, </w:t>
            </w:r>
            <w:r w:rsidR="002734BB" w:rsidRPr="00605E91">
              <w:rPr>
                <w:sz w:val="22"/>
                <w:szCs w:val="20"/>
                <w:lang w:bidi="x-none"/>
              </w:rPr>
              <w:t>CR</w:t>
            </w:r>
          </w:p>
        </w:tc>
      </w:tr>
      <w:tr w:rsidR="00605E91" w:rsidRPr="00605E91" w14:paraId="39E79727" w14:textId="77777777" w:rsidTr="009F78CC">
        <w:trPr>
          <w:trHeight w:val="260"/>
          <w:jc w:val="center"/>
        </w:trPr>
        <w:tc>
          <w:tcPr>
            <w:tcW w:w="2533" w:type="dxa"/>
            <w:tcBorders>
              <w:left w:val="single" w:sz="4" w:space="0" w:color="auto"/>
            </w:tcBorders>
            <w:shd w:val="clear" w:color="auto" w:fill="auto"/>
            <w:noWrap/>
            <w:vAlign w:val="bottom"/>
          </w:tcPr>
          <w:p w14:paraId="0068AA96" w14:textId="77777777" w:rsidR="00A53F4D" w:rsidRPr="00605E91" w:rsidRDefault="00A53F4D" w:rsidP="00B40D31">
            <w:pPr>
              <w:jc w:val="center"/>
              <w:rPr>
                <w:rFonts w:ascii="Verdana" w:hAnsi="Verdana"/>
                <w:sz w:val="22"/>
                <w:szCs w:val="20"/>
                <w:lang w:bidi="x-none"/>
              </w:rPr>
            </w:pPr>
            <w:r w:rsidRPr="00605E91">
              <w:rPr>
                <w:sz w:val="22"/>
                <w:szCs w:val="20"/>
                <w:lang w:bidi="x-none"/>
              </w:rPr>
              <w:t>altered to represent campus</w:t>
            </w:r>
            <w:r w:rsidR="00B40D31" w:rsidRPr="00605E91">
              <w:rPr>
                <w:sz w:val="22"/>
                <w:szCs w:val="20"/>
                <w:lang w:bidi="x-none"/>
              </w:rPr>
              <w:t xml:space="preserve"> commuting</w:t>
            </w:r>
          </w:p>
        </w:tc>
        <w:tc>
          <w:tcPr>
            <w:tcW w:w="2520" w:type="dxa"/>
            <w:shd w:val="clear" w:color="auto" w:fill="auto"/>
            <w:noWrap/>
            <w:vAlign w:val="bottom"/>
          </w:tcPr>
          <w:p w14:paraId="4A64F297" w14:textId="77777777" w:rsidR="00A53F4D" w:rsidRPr="00605E91" w:rsidRDefault="00A53F4D" w:rsidP="00B40D31">
            <w:pPr>
              <w:jc w:val="center"/>
              <w:rPr>
                <w:rFonts w:ascii="Verdana" w:hAnsi="Verdana"/>
                <w:sz w:val="22"/>
                <w:szCs w:val="20"/>
                <w:lang w:bidi="x-none"/>
              </w:rPr>
            </w:pPr>
          </w:p>
        </w:tc>
        <w:tc>
          <w:tcPr>
            <w:tcW w:w="2520" w:type="dxa"/>
            <w:tcBorders>
              <w:right w:val="single" w:sz="4" w:space="0" w:color="auto"/>
            </w:tcBorders>
            <w:shd w:val="clear" w:color="auto" w:fill="auto"/>
            <w:noWrap/>
            <w:vAlign w:val="bottom"/>
          </w:tcPr>
          <w:p w14:paraId="1DBB6A3E" w14:textId="77777777" w:rsidR="00A53F4D" w:rsidRPr="00605E91" w:rsidRDefault="00A53F4D" w:rsidP="00B40D31">
            <w:pPr>
              <w:jc w:val="center"/>
              <w:rPr>
                <w:rFonts w:ascii="Verdana" w:hAnsi="Verdana"/>
                <w:sz w:val="22"/>
                <w:szCs w:val="20"/>
                <w:lang w:bidi="x-none"/>
              </w:rPr>
            </w:pPr>
          </w:p>
        </w:tc>
      </w:tr>
      <w:tr w:rsidR="00605E91" w:rsidRPr="00605E91" w14:paraId="0AF7C3B9" w14:textId="77777777" w:rsidTr="009F78CC">
        <w:trPr>
          <w:trHeight w:val="260"/>
          <w:jc w:val="center"/>
        </w:trPr>
        <w:tc>
          <w:tcPr>
            <w:tcW w:w="2533" w:type="dxa"/>
            <w:tcBorders>
              <w:left w:val="single" w:sz="4" w:space="0" w:color="auto"/>
            </w:tcBorders>
            <w:shd w:val="clear" w:color="auto" w:fill="auto"/>
            <w:noWrap/>
            <w:vAlign w:val="bottom"/>
          </w:tcPr>
          <w:p w14:paraId="049E89B7" w14:textId="77777777" w:rsidR="00A53F4D" w:rsidRPr="00605E91" w:rsidRDefault="00A53F4D" w:rsidP="00B40D31">
            <w:pPr>
              <w:jc w:val="center"/>
              <w:rPr>
                <w:rFonts w:ascii="Verdana" w:hAnsi="Verdana"/>
                <w:sz w:val="22"/>
                <w:szCs w:val="20"/>
                <w:lang w:bidi="x-none"/>
              </w:rPr>
            </w:pPr>
            <w:r w:rsidRPr="00605E91">
              <w:rPr>
                <w:sz w:val="22"/>
                <w:szCs w:val="20"/>
                <w:lang w:bidi="x-none"/>
              </w:rPr>
              <w:t>habits based on</w:t>
            </w:r>
          </w:p>
        </w:tc>
        <w:tc>
          <w:tcPr>
            <w:tcW w:w="2520" w:type="dxa"/>
            <w:shd w:val="clear" w:color="auto" w:fill="auto"/>
            <w:noWrap/>
            <w:vAlign w:val="bottom"/>
          </w:tcPr>
          <w:p w14:paraId="5115DD17" w14:textId="77777777" w:rsidR="00A53F4D" w:rsidRPr="00605E91" w:rsidRDefault="00A53F4D" w:rsidP="00B40D31">
            <w:pPr>
              <w:jc w:val="center"/>
              <w:rPr>
                <w:rFonts w:ascii="Verdana" w:hAnsi="Verdana"/>
                <w:sz w:val="22"/>
                <w:szCs w:val="20"/>
                <w:lang w:bidi="x-none"/>
              </w:rPr>
            </w:pPr>
          </w:p>
        </w:tc>
        <w:tc>
          <w:tcPr>
            <w:tcW w:w="2520" w:type="dxa"/>
            <w:tcBorders>
              <w:right w:val="single" w:sz="4" w:space="0" w:color="auto"/>
            </w:tcBorders>
            <w:shd w:val="clear" w:color="auto" w:fill="auto"/>
            <w:noWrap/>
            <w:vAlign w:val="bottom"/>
          </w:tcPr>
          <w:p w14:paraId="4ECF8A41" w14:textId="77777777" w:rsidR="00A53F4D" w:rsidRPr="00605E91" w:rsidRDefault="00A53F4D" w:rsidP="00B40D31">
            <w:pPr>
              <w:jc w:val="center"/>
              <w:rPr>
                <w:rFonts w:ascii="Verdana" w:hAnsi="Verdana"/>
                <w:sz w:val="22"/>
                <w:szCs w:val="20"/>
                <w:lang w:bidi="x-none"/>
              </w:rPr>
            </w:pPr>
          </w:p>
        </w:tc>
      </w:tr>
      <w:tr w:rsidR="00605E91" w:rsidRPr="00605E91" w14:paraId="14C3A408" w14:textId="77777777" w:rsidTr="009F78CC">
        <w:trPr>
          <w:trHeight w:val="260"/>
          <w:jc w:val="center"/>
        </w:trPr>
        <w:tc>
          <w:tcPr>
            <w:tcW w:w="2533" w:type="dxa"/>
            <w:tcBorders>
              <w:left w:val="single" w:sz="4" w:space="0" w:color="auto"/>
            </w:tcBorders>
            <w:shd w:val="clear" w:color="auto" w:fill="auto"/>
            <w:noWrap/>
            <w:vAlign w:val="bottom"/>
          </w:tcPr>
          <w:p w14:paraId="5E1C3718" w14:textId="77777777" w:rsidR="00A53F4D" w:rsidRPr="00605E91" w:rsidRDefault="00A53F4D" w:rsidP="00B40D31">
            <w:pPr>
              <w:jc w:val="center"/>
              <w:rPr>
                <w:rFonts w:ascii="Verdana" w:hAnsi="Verdana"/>
                <w:sz w:val="22"/>
                <w:szCs w:val="20"/>
                <w:lang w:bidi="x-none"/>
              </w:rPr>
            </w:pPr>
            <w:r w:rsidRPr="00605E91">
              <w:rPr>
                <w:sz w:val="22"/>
                <w:szCs w:val="20"/>
                <w:lang w:bidi="x-none"/>
              </w:rPr>
              <w:t>survey results; vehicle</w:t>
            </w:r>
          </w:p>
        </w:tc>
        <w:tc>
          <w:tcPr>
            <w:tcW w:w="2520" w:type="dxa"/>
            <w:shd w:val="clear" w:color="auto" w:fill="auto"/>
            <w:noWrap/>
            <w:vAlign w:val="bottom"/>
          </w:tcPr>
          <w:p w14:paraId="7B7A77F8" w14:textId="77777777" w:rsidR="00A53F4D" w:rsidRPr="00605E91" w:rsidRDefault="00A53F4D" w:rsidP="00B40D31">
            <w:pPr>
              <w:jc w:val="center"/>
              <w:rPr>
                <w:rFonts w:ascii="Verdana" w:hAnsi="Verdana"/>
                <w:sz w:val="22"/>
                <w:szCs w:val="20"/>
                <w:lang w:bidi="x-none"/>
              </w:rPr>
            </w:pPr>
          </w:p>
        </w:tc>
        <w:tc>
          <w:tcPr>
            <w:tcW w:w="2520" w:type="dxa"/>
            <w:tcBorders>
              <w:right w:val="single" w:sz="4" w:space="0" w:color="auto"/>
            </w:tcBorders>
            <w:shd w:val="clear" w:color="auto" w:fill="auto"/>
            <w:noWrap/>
            <w:vAlign w:val="bottom"/>
          </w:tcPr>
          <w:p w14:paraId="245966A6" w14:textId="77777777" w:rsidR="00A53F4D" w:rsidRPr="00605E91" w:rsidRDefault="00A53F4D" w:rsidP="00B40D31">
            <w:pPr>
              <w:jc w:val="center"/>
              <w:rPr>
                <w:rFonts w:ascii="Verdana" w:hAnsi="Verdana"/>
                <w:sz w:val="22"/>
                <w:szCs w:val="20"/>
                <w:lang w:bidi="x-none"/>
              </w:rPr>
            </w:pPr>
          </w:p>
        </w:tc>
      </w:tr>
      <w:tr w:rsidR="00605E91" w:rsidRPr="00605E91" w14:paraId="6DFC180C" w14:textId="77777777" w:rsidTr="009F78CC">
        <w:trPr>
          <w:trHeight w:val="260"/>
          <w:jc w:val="center"/>
        </w:trPr>
        <w:tc>
          <w:tcPr>
            <w:tcW w:w="2533" w:type="dxa"/>
            <w:tcBorders>
              <w:left w:val="single" w:sz="4" w:space="0" w:color="auto"/>
            </w:tcBorders>
            <w:shd w:val="clear" w:color="auto" w:fill="auto"/>
            <w:noWrap/>
            <w:vAlign w:val="bottom"/>
          </w:tcPr>
          <w:p w14:paraId="30788373" w14:textId="77777777" w:rsidR="00A53F4D" w:rsidRPr="00605E91" w:rsidRDefault="00A53F4D" w:rsidP="00B40D31">
            <w:pPr>
              <w:jc w:val="center"/>
              <w:rPr>
                <w:rFonts w:ascii="Verdana" w:hAnsi="Verdana"/>
                <w:sz w:val="22"/>
                <w:szCs w:val="20"/>
                <w:lang w:bidi="x-none"/>
              </w:rPr>
            </w:pPr>
            <w:r w:rsidRPr="00605E91">
              <w:rPr>
                <w:sz w:val="22"/>
                <w:szCs w:val="20"/>
                <w:lang w:bidi="x-none"/>
              </w:rPr>
              <w:t>mileages averaged and</w:t>
            </w:r>
          </w:p>
        </w:tc>
        <w:tc>
          <w:tcPr>
            <w:tcW w:w="2520" w:type="dxa"/>
            <w:shd w:val="clear" w:color="auto" w:fill="auto"/>
            <w:noWrap/>
            <w:vAlign w:val="bottom"/>
          </w:tcPr>
          <w:p w14:paraId="1A57A3A1" w14:textId="77777777" w:rsidR="00A53F4D" w:rsidRPr="00605E91" w:rsidRDefault="00A53F4D" w:rsidP="00B40D31">
            <w:pPr>
              <w:jc w:val="center"/>
              <w:rPr>
                <w:rFonts w:ascii="Verdana" w:hAnsi="Verdana"/>
                <w:sz w:val="22"/>
                <w:szCs w:val="20"/>
                <w:lang w:bidi="x-none"/>
              </w:rPr>
            </w:pPr>
          </w:p>
        </w:tc>
        <w:tc>
          <w:tcPr>
            <w:tcW w:w="2520" w:type="dxa"/>
            <w:tcBorders>
              <w:right w:val="single" w:sz="4" w:space="0" w:color="auto"/>
            </w:tcBorders>
            <w:shd w:val="clear" w:color="auto" w:fill="auto"/>
            <w:noWrap/>
            <w:vAlign w:val="bottom"/>
          </w:tcPr>
          <w:p w14:paraId="2F2D0A97" w14:textId="77777777" w:rsidR="00A53F4D" w:rsidRPr="00605E91" w:rsidRDefault="00A53F4D" w:rsidP="00B40D31">
            <w:pPr>
              <w:jc w:val="center"/>
              <w:rPr>
                <w:rFonts w:ascii="Verdana" w:hAnsi="Verdana"/>
                <w:sz w:val="22"/>
                <w:szCs w:val="20"/>
                <w:lang w:bidi="x-none"/>
              </w:rPr>
            </w:pPr>
          </w:p>
        </w:tc>
      </w:tr>
      <w:tr w:rsidR="00605E91" w:rsidRPr="00605E91" w14:paraId="5F021116" w14:textId="77777777" w:rsidTr="009F78CC">
        <w:trPr>
          <w:trHeight w:val="260"/>
          <w:jc w:val="center"/>
        </w:trPr>
        <w:tc>
          <w:tcPr>
            <w:tcW w:w="2533" w:type="dxa"/>
            <w:tcBorders>
              <w:left w:val="single" w:sz="4" w:space="0" w:color="auto"/>
            </w:tcBorders>
            <w:shd w:val="clear" w:color="auto" w:fill="auto"/>
            <w:noWrap/>
            <w:vAlign w:val="bottom"/>
          </w:tcPr>
          <w:p w14:paraId="7B33725A" w14:textId="77777777" w:rsidR="00A53F4D" w:rsidRPr="00605E91" w:rsidRDefault="00A53F4D" w:rsidP="00B40D31">
            <w:pPr>
              <w:jc w:val="center"/>
              <w:rPr>
                <w:rFonts w:ascii="Verdana" w:hAnsi="Verdana"/>
                <w:sz w:val="22"/>
                <w:szCs w:val="20"/>
                <w:lang w:bidi="x-none"/>
              </w:rPr>
            </w:pPr>
            <w:r w:rsidRPr="00605E91">
              <w:rPr>
                <w:sz w:val="22"/>
                <w:szCs w:val="20"/>
                <w:lang w:bidi="x-none"/>
              </w:rPr>
              <w:t>entered for FY 2010; same</w:t>
            </w:r>
            <w:r w:rsidR="00B40D31" w:rsidRPr="00605E91">
              <w:rPr>
                <w:sz w:val="22"/>
                <w:szCs w:val="20"/>
                <w:lang w:bidi="x-none"/>
              </w:rPr>
              <w:t xml:space="preserve"> procedure</w:t>
            </w:r>
          </w:p>
        </w:tc>
        <w:tc>
          <w:tcPr>
            <w:tcW w:w="2520" w:type="dxa"/>
            <w:shd w:val="clear" w:color="auto" w:fill="auto"/>
            <w:noWrap/>
            <w:vAlign w:val="bottom"/>
          </w:tcPr>
          <w:p w14:paraId="7FB6D968" w14:textId="77777777" w:rsidR="00A53F4D" w:rsidRPr="00605E91" w:rsidRDefault="00A53F4D" w:rsidP="00B40D31">
            <w:pPr>
              <w:jc w:val="center"/>
              <w:rPr>
                <w:rFonts w:ascii="Verdana" w:hAnsi="Verdana"/>
                <w:sz w:val="22"/>
                <w:szCs w:val="20"/>
                <w:lang w:bidi="x-none"/>
              </w:rPr>
            </w:pPr>
          </w:p>
        </w:tc>
        <w:tc>
          <w:tcPr>
            <w:tcW w:w="2520" w:type="dxa"/>
            <w:tcBorders>
              <w:right w:val="single" w:sz="4" w:space="0" w:color="auto"/>
            </w:tcBorders>
            <w:shd w:val="clear" w:color="auto" w:fill="auto"/>
            <w:noWrap/>
            <w:vAlign w:val="bottom"/>
          </w:tcPr>
          <w:p w14:paraId="24BF6E95" w14:textId="77777777" w:rsidR="00A53F4D" w:rsidRPr="00605E91" w:rsidRDefault="00A53F4D" w:rsidP="00B40D31">
            <w:pPr>
              <w:jc w:val="center"/>
              <w:rPr>
                <w:rFonts w:ascii="Verdana" w:hAnsi="Verdana"/>
                <w:sz w:val="22"/>
                <w:szCs w:val="20"/>
                <w:lang w:bidi="x-none"/>
              </w:rPr>
            </w:pPr>
          </w:p>
        </w:tc>
      </w:tr>
      <w:tr w:rsidR="00605E91" w:rsidRPr="00605E91" w14:paraId="423B530D" w14:textId="77777777" w:rsidTr="009F78CC">
        <w:trPr>
          <w:trHeight w:val="260"/>
          <w:jc w:val="center"/>
        </w:trPr>
        <w:tc>
          <w:tcPr>
            <w:tcW w:w="2533" w:type="dxa"/>
            <w:tcBorders>
              <w:left w:val="single" w:sz="4" w:space="0" w:color="auto"/>
            </w:tcBorders>
            <w:shd w:val="clear" w:color="auto" w:fill="auto"/>
            <w:noWrap/>
            <w:vAlign w:val="bottom"/>
          </w:tcPr>
          <w:p w14:paraId="6D56535A" w14:textId="77777777" w:rsidR="00A53F4D" w:rsidRPr="00605E91" w:rsidRDefault="00A53F4D" w:rsidP="00B40D31">
            <w:pPr>
              <w:jc w:val="center"/>
              <w:rPr>
                <w:rFonts w:ascii="Verdana" w:hAnsi="Verdana"/>
                <w:sz w:val="22"/>
                <w:szCs w:val="20"/>
                <w:lang w:bidi="x-none"/>
              </w:rPr>
            </w:pPr>
            <w:r w:rsidRPr="00605E91">
              <w:rPr>
                <w:sz w:val="22"/>
                <w:szCs w:val="20"/>
                <w:lang w:bidi="x-none"/>
              </w:rPr>
              <w:t>used in</w:t>
            </w:r>
            <w:r w:rsidR="00B40D31" w:rsidRPr="00605E91">
              <w:rPr>
                <w:sz w:val="22"/>
                <w:szCs w:val="20"/>
                <w:lang w:bidi="x-none"/>
              </w:rPr>
              <w:t xml:space="preserve"> Rutledge’s</w:t>
            </w:r>
          </w:p>
        </w:tc>
        <w:tc>
          <w:tcPr>
            <w:tcW w:w="2520" w:type="dxa"/>
            <w:shd w:val="clear" w:color="auto" w:fill="auto"/>
            <w:noWrap/>
            <w:vAlign w:val="bottom"/>
          </w:tcPr>
          <w:p w14:paraId="23C8A626" w14:textId="77777777" w:rsidR="00A53F4D" w:rsidRPr="00605E91" w:rsidRDefault="00A53F4D" w:rsidP="00B40D31">
            <w:pPr>
              <w:jc w:val="center"/>
              <w:rPr>
                <w:rFonts w:ascii="Verdana" w:hAnsi="Verdana"/>
                <w:sz w:val="22"/>
                <w:szCs w:val="20"/>
                <w:lang w:bidi="x-none"/>
              </w:rPr>
            </w:pPr>
          </w:p>
        </w:tc>
        <w:tc>
          <w:tcPr>
            <w:tcW w:w="2520" w:type="dxa"/>
            <w:tcBorders>
              <w:right w:val="single" w:sz="4" w:space="0" w:color="auto"/>
            </w:tcBorders>
            <w:shd w:val="clear" w:color="auto" w:fill="auto"/>
            <w:noWrap/>
            <w:vAlign w:val="bottom"/>
          </w:tcPr>
          <w:p w14:paraId="639ABC6B" w14:textId="77777777" w:rsidR="00A53F4D" w:rsidRPr="00605E91" w:rsidRDefault="00A53F4D" w:rsidP="00B40D31">
            <w:pPr>
              <w:jc w:val="center"/>
              <w:rPr>
                <w:rFonts w:ascii="Verdana" w:hAnsi="Verdana"/>
                <w:sz w:val="22"/>
                <w:szCs w:val="20"/>
                <w:lang w:bidi="x-none"/>
              </w:rPr>
            </w:pPr>
          </w:p>
        </w:tc>
      </w:tr>
      <w:tr w:rsidR="00605E91" w:rsidRPr="00605E91" w14:paraId="52EE70FD" w14:textId="77777777" w:rsidTr="009F78CC">
        <w:trPr>
          <w:trHeight w:val="260"/>
          <w:jc w:val="center"/>
        </w:trPr>
        <w:tc>
          <w:tcPr>
            <w:tcW w:w="2533" w:type="dxa"/>
            <w:tcBorders>
              <w:left w:val="single" w:sz="4" w:space="0" w:color="auto"/>
            </w:tcBorders>
            <w:shd w:val="clear" w:color="auto" w:fill="auto"/>
            <w:noWrap/>
            <w:vAlign w:val="bottom"/>
          </w:tcPr>
          <w:p w14:paraId="78EDEF10" w14:textId="77777777" w:rsidR="00A53F4D" w:rsidRPr="00605E91" w:rsidRDefault="00A53F4D" w:rsidP="00B40D31">
            <w:pPr>
              <w:jc w:val="center"/>
              <w:rPr>
                <w:rFonts w:ascii="Verdana" w:hAnsi="Verdana"/>
                <w:sz w:val="22"/>
                <w:szCs w:val="20"/>
                <w:lang w:bidi="x-none"/>
              </w:rPr>
            </w:pPr>
            <w:r w:rsidRPr="00605E91">
              <w:rPr>
                <w:sz w:val="22"/>
                <w:szCs w:val="20"/>
                <w:lang w:bidi="x-none"/>
              </w:rPr>
              <w:t>FY 2008 inventory</w:t>
            </w:r>
          </w:p>
        </w:tc>
        <w:tc>
          <w:tcPr>
            <w:tcW w:w="2520" w:type="dxa"/>
            <w:shd w:val="clear" w:color="auto" w:fill="auto"/>
            <w:noWrap/>
            <w:vAlign w:val="bottom"/>
          </w:tcPr>
          <w:p w14:paraId="5AF934BE" w14:textId="77777777" w:rsidR="00A53F4D" w:rsidRPr="00605E91" w:rsidRDefault="00A53F4D" w:rsidP="00B40D31">
            <w:pPr>
              <w:jc w:val="center"/>
              <w:rPr>
                <w:rFonts w:ascii="Verdana" w:hAnsi="Verdana"/>
                <w:sz w:val="22"/>
                <w:szCs w:val="20"/>
                <w:lang w:bidi="x-none"/>
              </w:rPr>
            </w:pPr>
          </w:p>
        </w:tc>
        <w:tc>
          <w:tcPr>
            <w:tcW w:w="2520" w:type="dxa"/>
            <w:tcBorders>
              <w:right w:val="single" w:sz="4" w:space="0" w:color="auto"/>
            </w:tcBorders>
            <w:shd w:val="clear" w:color="auto" w:fill="auto"/>
            <w:noWrap/>
            <w:vAlign w:val="bottom"/>
          </w:tcPr>
          <w:p w14:paraId="256947A6" w14:textId="77777777" w:rsidR="00A53F4D" w:rsidRPr="00605E91" w:rsidRDefault="00A53F4D" w:rsidP="00B40D31">
            <w:pPr>
              <w:jc w:val="center"/>
              <w:rPr>
                <w:rFonts w:ascii="Verdana" w:hAnsi="Verdana"/>
                <w:sz w:val="22"/>
                <w:szCs w:val="20"/>
                <w:lang w:bidi="x-none"/>
              </w:rPr>
            </w:pPr>
          </w:p>
        </w:tc>
      </w:tr>
      <w:tr w:rsidR="00605E91" w:rsidRPr="00605E91" w14:paraId="629ED020" w14:textId="77777777" w:rsidTr="009F78CC">
        <w:trPr>
          <w:trHeight w:val="260"/>
          <w:jc w:val="center"/>
        </w:trPr>
        <w:tc>
          <w:tcPr>
            <w:tcW w:w="2533" w:type="dxa"/>
            <w:tcBorders>
              <w:top w:val="single" w:sz="4" w:space="0" w:color="auto"/>
              <w:left w:val="single" w:sz="4" w:space="0" w:color="auto"/>
            </w:tcBorders>
            <w:shd w:val="clear" w:color="auto" w:fill="auto"/>
            <w:noWrap/>
            <w:vAlign w:val="bottom"/>
          </w:tcPr>
          <w:p w14:paraId="207170E7" w14:textId="77777777" w:rsidR="00B40D31" w:rsidRPr="00605E91" w:rsidRDefault="00B40D31" w:rsidP="00B40D31">
            <w:pPr>
              <w:jc w:val="center"/>
              <w:rPr>
                <w:sz w:val="22"/>
                <w:szCs w:val="20"/>
                <w:lang w:bidi="x-none"/>
              </w:rPr>
            </w:pPr>
          </w:p>
          <w:p w14:paraId="3B052356" w14:textId="77777777" w:rsidR="00B40D31" w:rsidRPr="00605E91" w:rsidRDefault="00B40D31" w:rsidP="00B40D31">
            <w:pPr>
              <w:jc w:val="center"/>
              <w:rPr>
                <w:sz w:val="22"/>
                <w:szCs w:val="20"/>
                <w:lang w:bidi="x-none"/>
              </w:rPr>
            </w:pPr>
          </w:p>
          <w:p w14:paraId="4F2976C7" w14:textId="77777777" w:rsidR="00A53F4D" w:rsidRPr="00605E91" w:rsidRDefault="00A53F4D" w:rsidP="00B40D31">
            <w:pPr>
              <w:jc w:val="center"/>
              <w:rPr>
                <w:rFonts w:ascii="Verdana" w:hAnsi="Verdana"/>
                <w:sz w:val="22"/>
                <w:szCs w:val="20"/>
                <w:lang w:bidi="x-none"/>
              </w:rPr>
            </w:pPr>
            <w:r w:rsidRPr="00605E91">
              <w:rPr>
                <w:sz w:val="22"/>
                <w:szCs w:val="20"/>
                <w:lang w:bidi="x-none"/>
              </w:rPr>
              <w:t>Study abroad air miles</w:t>
            </w:r>
          </w:p>
        </w:tc>
        <w:tc>
          <w:tcPr>
            <w:tcW w:w="2520" w:type="dxa"/>
            <w:tcBorders>
              <w:top w:val="single" w:sz="4" w:space="0" w:color="auto"/>
            </w:tcBorders>
            <w:shd w:val="clear" w:color="auto" w:fill="auto"/>
            <w:noWrap/>
            <w:vAlign w:val="bottom"/>
          </w:tcPr>
          <w:p w14:paraId="04BE96A6" w14:textId="77777777" w:rsidR="00B40D31" w:rsidRPr="00605E91" w:rsidRDefault="00B40D31" w:rsidP="00B40D31">
            <w:pPr>
              <w:jc w:val="center"/>
              <w:rPr>
                <w:sz w:val="22"/>
                <w:szCs w:val="20"/>
                <w:lang w:bidi="x-none"/>
              </w:rPr>
            </w:pPr>
          </w:p>
          <w:p w14:paraId="1EA6166E" w14:textId="77777777" w:rsidR="00A53F4D" w:rsidRPr="00605E91" w:rsidRDefault="00A53F4D" w:rsidP="00B40D31">
            <w:pPr>
              <w:jc w:val="center"/>
              <w:rPr>
                <w:rFonts w:ascii="Verdana" w:hAnsi="Verdana"/>
                <w:sz w:val="22"/>
                <w:szCs w:val="20"/>
                <w:lang w:bidi="x-none"/>
              </w:rPr>
            </w:pPr>
            <w:r w:rsidRPr="00605E91">
              <w:rPr>
                <w:sz w:val="22"/>
                <w:szCs w:val="20"/>
                <w:lang w:bidi="x-none"/>
              </w:rPr>
              <w:t>EF_CO</w:t>
            </w:r>
            <w:r w:rsidRPr="00605E91">
              <w:rPr>
                <w:sz w:val="22"/>
                <w:szCs w:val="20"/>
                <w:vertAlign w:val="subscript"/>
                <w:lang w:bidi="x-none"/>
              </w:rPr>
              <w:t>2</w:t>
            </w:r>
          </w:p>
        </w:tc>
        <w:tc>
          <w:tcPr>
            <w:tcW w:w="2520" w:type="dxa"/>
            <w:tcBorders>
              <w:top w:val="single" w:sz="4" w:space="0" w:color="auto"/>
              <w:right w:val="single" w:sz="4" w:space="0" w:color="auto"/>
            </w:tcBorders>
            <w:shd w:val="clear" w:color="auto" w:fill="auto"/>
            <w:noWrap/>
            <w:vAlign w:val="bottom"/>
          </w:tcPr>
          <w:p w14:paraId="64B72F4F" w14:textId="77777777" w:rsidR="00A53F4D" w:rsidRPr="00605E91" w:rsidRDefault="00A53F4D" w:rsidP="00B40D31">
            <w:pPr>
              <w:jc w:val="center"/>
              <w:rPr>
                <w:rFonts w:ascii="Verdana" w:hAnsi="Verdana"/>
                <w:sz w:val="22"/>
                <w:szCs w:val="20"/>
                <w:lang w:bidi="x-none"/>
              </w:rPr>
            </w:pPr>
            <w:r w:rsidRPr="00605E91">
              <w:rPr>
                <w:sz w:val="22"/>
                <w:szCs w:val="20"/>
                <w:lang w:bidi="x-none"/>
              </w:rPr>
              <w:t>BF</w:t>
            </w:r>
          </w:p>
        </w:tc>
      </w:tr>
      <w:tr w:rsidR="00605E91" w:rsidRPr="00605E91" w14:paraId="046BD9E5" w14:textId="77777777" w:rsidTr="009F78CC">
        <w:trPr>
          <w:trHeight w:val="260"/>
          <w:jc w:val="center"/>
        </w:trPr>
        <w:tc>
          <w:tcPr>
            <w:tcW w:w="2533" w:type="dxa"/>
            <w:tcBorders>
              <w:left w:val="single" w:sz="4" w:space="0" w:color="auto"/>
            </w:tcBorders>
            <w:shd w:val="clear" w:color="auto" w:fill="auto"/>
            <w:noWrap/>
            <w:vAlign w:val="bottom"/>
          </w:tcPr>
          <w:p w14:paraId="01A34115" w14:textId="77777777" w:rsidR="00A53F4D" w:rsidRPr="00605E91" w:rsidRDefault="00A53F4D" w:rsidP="00B40D31">
            <w:pPr>
              <w:jc w:val="center"/>
              <w:rPr>
                <w:rFonts w:ascii="Verdana" w:hAnsi="Verdana"/>
                <w:sz w:val="22"/>
                <w:szCs w:val="20"/>
                <w:lang w:bidi="x-none"/>
              </w:rPr>
            </w:pPr>
            <w:r w:rsidRPr="00605E91">
              <w:rPr>
                <w:sz w:val="22"/>
                <w:szCs w:val="20"/>
                <w:lang w:bidi="x-none"/>
              </w:rPr>
              <w:t>kg CO</w:t>
            </w:r>
            <w:r w:rsidRPr="00605E91">
              <w:rPr>
                <w:sz w:val="22"/>
                <w:szCs w:val="20"/>
                <w:vertAlign w:val="subscript"/>
                <w:lang w:bidi="x-none"/>
              </w:rPr>
              <w:t>2</w:t>
            </w:r>
            <w:r w:rsidRPr="00605E91">
              <w:rPr>
                <w:sz w:val="22"/>
                <w:szCs w:val="20"/>
                <w:lang w:bidi="x-none"/>
              </w:rPr>
              <w:t>/mile multiplied by 0.64</w:t>
            </w:r>
            <w:r w:rsidR="00B40D31" w:rsidRPr="00605E91">
              <w:rPr>
                <w:sz w:val="22"/>
                <w:szCs w:val="20"/>
                <w:lang w:bidi="x-none"/>
              </w:rPr>
              <w:t xml:space="preserve"> to represent</w:t>
            </w:r>
          </w:p>
        </w:tc>
        <w:tc>
          <w:tcPr>
            <w:tcW w:w="2520" w:type="dxa"/>
            <w:shd w:val="clear" w:color="auto" w:fill="auto"/>
            <w:noWrap/>
            <w:vAlign w:val="bottom"/>
          </w:tcPr>
          <w:p w14:paraId="6F0473DB" w14:textId="77777777" w:rsidR="00A53F4D" w:rsidRPr="00605E91" w:rsidRDefault="00A53F4D" w:rsidP="00B40D31">
            <w:pPr>
              <w:jc w:val="center"/>
              <w:rPr>
                <w:rFonts w:ascii="Verdana" w:hAnsi="Verdana"/>
                <w:sz w:val="22"/>
                <w:szCs w:val="20"/>
                <w:lang w:bidi="x-none"/>
              </w:rPr>
            </w:pPr>
          </w:p>
        </w:tc>
        <w:tc>
          <w:tcPr>
            <w:tcW w:w="2520" w:type="dxa"/>
            <w:tcBorders>
              <w:right w:val="single" w:sz="4" w:space="0" w:color="auto"/>
            </w:tcBorders>
            <w:shd w:val="clear" w:color="auto" w:fill="auto"/>
            <w:noWrap/>
            <w:vAlign w:val="bottom"/>
          </w:tcPr>
          <w:p w14:paraId="18DD7F5D" w14:textId="77777777" w:rsidR="00A53F4D" w:rsidRPr="00605E91" w:rsidRDefault="00B40D31" w:rsidP="00B40D31">
            <w:pPr>
              <w:jc w:val="center"/>
              <w:rPr>
                <w:sz w:val="16"/>
                <w:szCs w:val="16"/>
                <w:lang w:bidi="x-none"/>
              </w:rPr>
            </w:pPr>
            <w:r w:rsidRPr="00605E91">
              <w:rPr>
                <w:sz w:val="16"/>
                <w:szCs w:val="16"/>
                <w:lang w:bidi="x-none"/>
              </w:rPr>
              <w:t>Note: m</w:t>
            </w:r>
            <w:r w:rsidR="00543BE6" w:rsidRPr="00605E91">
              <w:rPr>
                <w:sz w:val="16"/>
                <w:szCs w:val="16"/>
                <w:lang w:bidi="x-none"/>
              </w:rPr>
              <w:t>ust double-click into equation and add “*0.64” to end</w:t>
            </w:r>
          </w:p>
        </w:tc>
      </w:tr>
      <w:tr w:rsidR="00605E91" w:rsidRPr="00605E91" w14:paraId="13928B3A" w14:textId="77777777" w:rsidTr="009F78CC">
        <w:trPr>
          <w:trHeight w:val="260"/>
          <w:jc w:val="center"/>
        </w:trPr>
        <w:tc>
          <w:tcPr>
            <w:tcW w:w="2533" w:type="dxa"/>
            <w:tcBorders>
              <w:left w:val="single" w:sz="4" w:space="0" w:color="auto"/>
            </w:tcBorders>
            <w:shd w:val="clear" w:color="auto" w:fill="auto"/>
            <w:noWrap/>
            <w:vAlign w:val="bottom"/>
          </w:tcPr>
          <w:p w14:paraId="3892E821" w14:textId="77777777" w:rsidR="00A53F4D" w:rsidRPr="00605E91" w:rsidRDefault="00A53F4D" w:rsidP="00B40D31">
            <w:pPr>
              <w:jc w:val="center"/>
              <w:rPr>
                <w:rFonts w:ascii="Verdana" w:hAnsi="Verdana"/>
                <w:sz w:val="22"/>
                <w:szCs w:val="20"/>
                <w:lang w:bidi="x-none"/>
              </w:rPr>
            </w:pPr>
            <w:r w:rsidRPr="00605E91">
              <w:rPr>
                <w:sz w:val="22"/>
                <w:szCs w:val="20"/>
                <w:lang w:bidi="x-none"/>
              </w:rPr>
              <w:t>smaller proportion of</w:t>
            </w:r>
          </w:p>
        </w:tc>
        <w:tc>
          <w:tcPr>
            <w:tcW w:w="2520" w:type="dxa"/>
            <w:shd w:val="clear" w:color="auto" w:fill="auto"/>
            <w:noWrap/>
            <w:vAlign w:val="bottom"/>
          </w:tcPr>
          <w:p w14:paraId="76E00DD4" w14:textId="77777777" w:rsidR="00A53F4D" w:rsidRPr="00605E91" w:rsidRDefault="00A53F4D" w:rsidP="00B40D31">
            <w:pPr>
              <w:jc w:val="center"/>
              <w:rPr>
                <w:rFonts w:ascii="Verdana" w:hAnsi="Verdana"/>
                <w:sz w:val="22"/>
                <w:szCs w:val="20"/>
                <w:lang w:bidi="x-none"/>
              </w:rPr>
            </w:pPr>
          </w:p>
        </w:tc>
        <w:tc>
          <w:tcPr>
            <w:tcW w:w="2520" w:type="dxa"/>
            <w:tcBorders>
              <w:right w:val="single" w:sz="4" w:space="0" w:color="auto"/>
            </w:tcBorders>
            <w:shd w:val="clear" w:color="auto" w:fill="auto"/>
            <w:noWrap/>
            <w:vAlign w:val="bottom"/>
          </w:tcPr>
          <w:p w14:paraId="0C7F8809" w14:textId="77777777" w:rsidR="00A53F4D" w:rsidRPr="00605E91" w:rsidRDefault="00A53F4D" w:rsidP="00B40D31">
            <w:pPr>
              <w:jc w:val="center"/>
              <w:rPr>
                <w:rFonts w:ascii="Verdana" w:hAnsi="Verdana"/>
                <w:sz w:val="22"/>
                <w:szCs w:val="20"/>
                <w:lang w:bidi="x-none"/>
              </w:rPr>
            </w:pPr>
          </w:p>
        </w:tc>
      </w:tr>
      <w:tr w:rsidR="00605E91" w:rsidRPr="00605E91" w14:paraId="2BBDBA34" w14:textId="77777777" w:rsidTr="009F78CC">
        <w:trPr>
          <w:trHeight w:val="260"/>
          <w:jc w:val="center"/>
        </w:trPr>
        <w:tc>
          <w:tcPr>
            <w:tcW w:w="2533" w:type="dxa"/>
            <w:tcBorders>
              <w:left w:val="single" w:sz="4" w:space="0" w:color="auto"/>
            </w:tcBorders>
            <w:shd w:val="clear" w:color="auto" w:fill="auto"/>
            <w:noWrap/>
            <w:vAlign w:val="bottom"/>
          </w:tcPr>
          <w:p w14:paraId="77F3EE42" w14:textId="77777777" w:rsidR="00A53F4D" w:rsidRPr="00605E91" w:rsidRDefault="00A53F4D" w:rsidP="00B40D31">
            <w:pPr>
              <w:jc w:val="center"/>
              <w:rPr>
                <w:rFonts w:ascii="Verdana" w:hAnsi="Verdana"/>
                <w:sz w:val="22"/>
                <w:szCs w:val="20"/>
                <w:lang w:bidi="x-none"/>
              </w:rPr>
            </w:pPr>
            <w:r w:rsidRPr="00605E91">
              <w:rPr>
                <w:sz w:val="22"/>
                <w:szCs w:val="20"/>
                <w:lang w:bidi="x-none"/>
              </w:rPr>
              <w:t>emissions for long (overseas)</w:t>
            </w:r>
            <w:r w:rsidR="00B40D31" w:rsidRPr="00605E91">
              <w:rPr>
                <w:sz w:val="22"/>
                <w:szCs w:val="20"/>
                <w:lang w:bidi="x-none"/>
              </w:rPr>
              <w:t xml:space="preserve"> flights as</w:t>
            </w:r>
          </w:p>
        </w:tc>
        <w:tc>
          <w:tcPr>
            <w:tcW w:w="2520" w:type="dxa"/>
            <w:shd w:val="clear" w:color="auto" w:fill="auto"/>
            <w:noWrap/>
            <w:vAlign w:val="bottom"/>
          </w:tcPr>
          <w:p w14:paraId="64085109" w14:textId="77777777" w:rsidR="00A53F4D" w:rsidRPr="00605E91" w:rsidRDefault="00A53F4D" w:rsidP="00B40D31">
            <w:pPr>
              <w:jc w:val="center"/>
              <w:rPr>
                <w:rFonts w:ascii="Verdana" w:hAnsi="Verdana"/>
                <w:sz w:val="22"/>
                <w:szCs w:val="20"/>
                <w:lang w:bidi="x-none"/>
              </w:rPr>
            </w:pPr>
          </w:p>
        </w:tc>
        <w:tc>
          <w:tcPr>
            <w:tcW w:w="2520" w:type="dxa"/>
            <w:tcBorders>
              <w:right w:val="single" w:sz="4" w:space="0" w:color="auto"/>
            </w:tcBorders>
            <w:shd w:val="clear" w:color="auto" w:fill="auto"/>
            <w:noWrap/>
            <w:vAlign w:val="bottom"/>
          </w:tcPr>
          <w:p w14:paraId="2E19B83D" w14:textId="77777777" w:rsidR="00A53F4D" w:rsidRPr="00605E91" w:rsidRDefault="00A53F4D" w:rsidP="00B40D31">
            <w:pPr>
              <w:jc w:val="center"/>
              <w:rPr>
                <w:rFonts w:ascii="Verdana" w:hAnsi="Verdana"/>
                <w:sz w:val="22"/>
                <w:szCs w:val="20"/>
                <w:lang w:bidi="x-none"/>
              </w:rPr>
            </w:pPr>
          </w:p>
        </w:tc>
      </w:tr>
      <w:tr w:rsidR="00605E91" w:rsidRPr="00605E91" w14:paraId="5C51E6CD" w14:textId="77777777" w:rsidTr="009F78CC">
        <w:trPr>
          <w:trHeight w:val="260"/>
          <w:jc w:val="center"/>
        </w:trPr>
        <w:tc>
          <w:tcPr>
            <w:tcW w:w="2533" w:type="dxa"/>
            <w:tcBorders>
              <w:left w:val="single" w:sz="4" w:space="0" w:color="auto"/>
            </w:tcBorders>
            <w:shd w:val="clear" w:color="auto" w:fill="auto"/>
            <w:noWrap/>
            <w:vAlign w:val="bottom"/>
          </w:tcPr>
          <w:p w14:paraId="289D1FA7" w14:textId="77777777" w:rsidR="00A53F4D" w:rsidRPr="00605E91" w:rsidRDefault="00A53F4D" w:rsidP="00B40D31">
            <w:pPr>
              <w:jc w:val="center"/>
              <w:rPr>
                <w:rFonts w:ascii="Verdana" w:hAnsi="Verdana"/>
                <w:sz w:val="22"/>
                <w:szCs w:val="20"/>
                <w:lang w:bidi="x-none"/>
              </w:rPr>
            </w:pPr>
            <w:r w:rsidRPr="00605E91">
              <w:rPr>
                <w:sz w:val="22"/>
                <w:szCs w:val="20"/>
                <w:lang w:bidi="x-none"/>
              </w:rPr>
              <w:t>opposed to domestic</w:t>
            </w:r>
          </w:p>
        </w:tc>
        <w:tc>
          <w:tcPr>
            <w:tcW w:w="2520" w:type="dxa"/>
            <w:shd w:val="clear" w:color="auto" w:fill="auto"/>
            <w:noWrap/>
            <w:vAlign w:val="bottom"/>
          </w:tcPr>
          <w:p w14:paraId="2ED41D70" w14:textId="77777777" w:rsidR="00A53F4D" w:rsidRPr="00605E91" w:rsidRDefault="00A53F4D" w:rsidP="00B40D31">
            <w:pPr>
              <w:jc w:val="center"/>
              <w:rPr>
                <w:rFonts w:ascii="Verdana" w:hAnsi="Verdana"/>
                <w:sz w:val="22"/>
                <w:szCs w:val="20"/>
                <w:lang w:bidi="x-none"/>
              </w:rPr>
            </w:pPr>
          </w:p>
        </w:tc>
        <w:tc>
          <w:tcPr>
            <w:tcW w:w="2520" w:type="dxa"/>
            <w:tcBorders>
              <w:right w:val="single" w:sz="4" w:space="0" w:color="auto"/>
            </w:tcBorders>
            <w:shd w:val="clear" w:color="auto" w:fill="auto"/>
            <w:noWrap/>
            <w:vAlign w:val="bottom"/>
          </w:tcPr>
          <w:p w14:paraId="1A7A2E60" w14:textId="77777777" w:rsidR="00A53F4D" w:rsidRPr="00605E91" w:rsidRDefault="00A53F4D" w:rsidP="00B40D31">
            <w:pPr>
              <w:jc w:val="center"/>
              <w:rPr>
                <w:rFonts w:ascii="Verdana" w:hAnsi="Verdana"/>
                <w:sz w:val="22"/>
                <w:szCs w:val="20"/>
                <w:lang w:bidi="x-none"/>
              </w:rPr>
            </w:pPr>
          </w:p>
        </w:tc>
      </w:tr>
      <w:tr w:rsidR="00605E91" w:rsidRPr="00605E91" w14:paraId="345D5381" w14:textId="77777777" w:rsidTr="009F78CC">
        <w:trPr>
          <w:trHeight w:val="260"/>
          <w:jc w:val="center"/>
        </w:trPr>
        <w:tc>
          <w:tcPr>
            <w:tcW w:w="2533" w:type="dxa"/>
            <w:tcBorders>
              <w:left w:val="single" w:sz="4" w:space="0" w:color="auto"/>
            </w:tcBorders>
            <w:shd w:val="clear" w:color="auto" w:fill="auto"/>
            <w:noWrap/>
            <w:vAlign w:val="bottom"/>
          </w:tcPr>
          <w:p w14:paraId="4D101CB7" w14:textId="77777777" w:rsidR="00A53F4D" w:rsidRPr="00605E91" w:rsidRDefault="00A53F4D" w:rsidP="00B40D31">
            <w:pPr>
              <w:jc w:val="center"/>
              <w:rPr>
                <w:rFonts w:ascii="Verdana" w:hAnsi="Verdana"/>
                <w:sz w:val="22"/>
                <w:szCs w:val="20"/>
                <w:lang w:bidi="x-none"/>
              </w:rPr>
            </w:pPr>
            <w:r w:rsidRPr="00605E91">
              <w:rPr>
                <w:sz w:val="22"/>
                <w:szCs w:val="20"/>
                <w:lang w:bidi="x-none"/>
              </w:rPr>
              <w:t>flights; take-off and landing</w:t>
            </w:r>
            <w:r w:rsidR="00B40D31" w:rsidRPr="00605E91">
              <w:rPr>
                <w:sz w:val="22"/>
                <w:szCs w:val="20"/>
                <w:lang w:bidi="x-none"/>
              </w:rPr>
              <w:t xml:space="preserve"> portions of</w:t>
            </w:r>
          </w:p>
        </w:tc>
        <w:tc>
          <w:tcPr>
            <w:tcW w:w="2520" w:type="dxa"/>
            <w:shd w:val="clear" w:color="auto" w:fill="auto"/>
            <w:noWrap/>
            <w:vAlign w:val="bottom"/>
          </w:tcPr>
          <w:p w14:paraId="7E2A74F0" w14:textId="77777777" w:rsidR="00A53F4D" w:rsidRPr="00605E91" w:rsidRDefault="00A53F4D" w:rsidP="00B40D31">
            <w:pPr>
              <w:jc w:val="center"/>
              <w:rPr>
                <w:rFonts w:ascii="Verdana" w:hAnsi="Verdana"/>
                <w:sz w:val="22"/>
                <w:szCs w:val="20"/>
                <w:lang w:bidi="x-none"/>
              </w:rPr>
            </w:pPr>
          </w:p>
        </w:tc>
        <w:tc>
          <w:tcPr>
            <w:tcW w:w="2520" w:type="dxa"/>
            <w:tcBorders>
              <w:right w:val="single" w:sz="4" w:space="0" w:color="auto"/>
            </w:tcBorders>
            <w:shd w:val="clear" w:color="auto" w:fill="auto"/>
            <w:noWrap/>
            <w:vAlign w:val="bottom"/>
          </w:tcPr>
          <w:p w14:paraId="3DD520EF" w14:textId="77777777" w:rsidR="00A53F4D" w:rsidRPr="00605E91" w:rsidRDefault="00A53F4D" w:rsidP="00B40D31">
            <w:pPr>
              <w:jc w:val="center"/>
              <w:rPr>
                <w:rFonts w:ascii="Verdana" w:hAnsi="Verdana"/>
                <w:sz w:val="22"/>
                <w:szCs w:val="20"/>
                <w:lang w:bidi="x-none"/>
              </w:rPr>
            </w:pPr>
          </w:p>
        </w:tc>
      </w:tr>
      <w:tr w:rsidR="00605E91" w:rsidRPr="00605E91" w14:paraId="11EECEE7" w14:textId="77777777" w:rsidTr="009F78CC">
        <w:trPr>
          <w:trHeight w:val="260"/>
          <w:jc w:val="center"/>
        </w:trPr>
        <w:tc>
          <w:tcPr>
            <w:tcW w:w="2533" w:type="dxa"/>
            <w:tcBorders>
              <w:left w:val="single" w:sz="4" w:space="0" w:color="auto"/>
            </w:tcBorders>
            <w:shd w:val="clear" w:color="auto" w:fill="auto"/>
            <w:noWrap/>
            <w:vAlign w:val="bottom"/>
          </w:tcPr>
          <w:p w14:paraId="7B595E2A" w14:textId="77777777" w:rsidR="00A53F4D" w:rsidRPr="00605E91" w:rsidRDefault="00A53F4D" w:rsidP="00B40D31">
            <w:pPr>
              <w:jc w:val="center"/>
              <w:rPr>
                <w:rFonts w:ascii="Verdana" w:hAnsi="Verdana"/>
                <w:sz w:val="22"/>
                <w:szCs w:val="20"/>
                <w:lang w:bidi="x-none"/>
              </w:rPr>
            </w:pPr>
            <w:r w:rsidRPr="00605E91">
              <w:rPr>
                <w:sz w:val="22"/>
                <w:szCs w:val="20"/>
                <w:lang w:bidi="x-none"/>
              </w:rPr>
              <w:t>flights yield highest</w:t>
            </w:r>
          </w:p>
        </w:tc>
        <w:tc>
          <w:tcPr>
            <w:tcW w:w="2520" w:type="dxa"/>
            <w:shd w:val="clear" w:color="auto" w:fill="auto"/>
            <w:noWrap/>
            <w:vAlign w:val="bottom"/>
          </w:tcPr>
          <w:p w14:paraId="2E7E7D73" w14:textId="77777777" w:rsidR="00A53F4D" w:rsidRPr="00605E91" w:rsidRDefault="00A53F4D" w:rsidP="00B40D31">
            <w:pPr>
              <w:jc w:val="center"/>
              <w:rPr>
                <w:rFonts w:ascii="Verdana" w:hAnsi="Verdana"/>
                <w:sz w:val="22"/>
                <w:szCs w:val="20"/>
                <w:lang w:bidi="x-none"/>
              </w:rPr>
            </w:pPr>
          </w:p>
        </w:tc>
        <w:tc>
          <w:tcPr>
            <w:tcW w:w="2520" w:type="dxa"/>
            <w:tcBorders>
              <w:right w:val="single" w:sz="4" w:space="0" w:color="auto"/>
            </w:tcBorders>
            <w:shd w:val="clear" w:color="auto" w:fill="auto"/>
            <w:noWrap/>
            <w:vAlign w:val="bottom"/>
          </w:tcPr>
          <w:p w14:paraId="459F78EC" w14:textId="77777777" w:rsidR="00A53F4D" w:rsidRPr="00605E91" w:rsidRDefault="00A53F4D" w:rsidP="00B40D31">
            <w:pPr>
              <w:jc w:val="center"/>
              <w:rPr>
                <w:rFonts w:ascii="Verdana" w:hAnsi="Verdana"/>
                <w:sz w:val="22"/>
                <w:szCs w:val="20"/>
                <w:lang w:bidi="x-none"/>
              </w:rPr>
            </w:pPr>
          </w:p>
        </w:tc>
      </w:tr>
      <w:tr w:rsidR="00605E91" w:rsidRPr="00605E91" w14:paraId="22085864" w14:textId="77777777" w:rsidTr="009F78CC">
        <w:trPr>
          <w:trHeight w:val="260"/>
          <w:jc w:val="center"/>
        </w:trPr>
        <w:tc>
          <w:tcPr>
            <w:tcW w:w="2533" w:type="dxa"/>
            <w:tcBorders>
              <w:left w:val="single" w:sz="4" w:space="0" w:color="auto"/>
            </w:tcBorders>
            <w:shd w:val="clear" w:color="auto" w:fill="auto"/>
            <w:noWrap/>
            <w:vAlign w:val="bottom"/>
          </w:tcPr>
          <w:p w14:paraId="11842D3E" w14:textId="77777777" w:rsidR="00A53F4D" w:rsidRPr="00605E91" w:rsidRDefault="00A53F4D" w:rsidP="00B40D31">
            <w:pPr>
              <w:jc w:val="center"/>
              <w:rPr>
                <w:rFonts w:ascii="Verdana" w:hAnsi="Verdana"/>
                <w:sz w:val="22"/>
                <w:szCs w:val="20"/>
                <w:lang w:bidi="x-none"/>
              </w:rPr>
            </w:pPr>
            <w:r w:rsidRPr="00605E91">
              <w:rPr>
                <w:sz w:val="22"/>
                <w:szCs w:val="20"/>
                <w:lang w:bidi="x-none"/>
              </w:rPr>
              <w:t>emissions; directly financed</w:t>
            </w:r>
            <w:r w:rsidR="00B40D31" w:rsidRPr="00605E91">
              <w:rPr>
                <w:sz w:val="22"/>
                <w:szCs w:val="20"/>
                <w:lang w:bidi="x-none"/>
              </w:rPr>
              <w:t xml:space="preserve"> faculty/staff</w:t>
            </w:r>
          </w:p>
        </w:tc>
        <w:tc>
          <w:tcPr>
            <w:tcW w:w="2520" w:type="dxa"/>
            <w:shd w:val="clear" w:color="auto" w:fill="auto"/>
            <w:noWrap/>
            <w:vAlign w:val="bottom"/>
          </w:tcPr>
          <w:p w14:paraId="16C85547" w14:textId="77777777" w:rsidR="00A53F4D" w:rsidRPr="00605E91" w:rsidRDefault="00A53F4D" w:rsidP="00B40D31">
            <w:pPr>
              <w:jc w:val="center"/>
              <w:rPr>
                <w:rFonts w:ascii="Verdana" w:hAnsi="Verdana"/>
                <w:sz w:val="22"/>
                <w:szCs w:val="20"/>
                <w:lang w:bidi="x-none"/>
              </w:rPr>
            </w:pPr>
          </w:p>
        </w:tc>
        <w:tc>
          <w:tcPr>
            <w:tcW w:w="2520" w:type="dxa"/>
            <w:tcBorders>
              <w:right w:val="single" w:sz="4" w:space="0" w:color="auto"/>
            </w:tcBorders>
            <w:shd w:val="clear" w:color="auto" w:fill="auto"/>
            <w:noWrap/>
            <w:vAlign w:val="bottom"/>
          </w:tcPr>
          <w:p w14:paraId="1E7C4FA6" w14:textId="77777777" w:rsidR="00A53F4D" w:rsidRPr="00605E91" w:rsidRDefault="00A53F4D" w:rsidP="00B40D31">
            <w:pPr>
              <w:jc w:val="center"/>
              <w:rPr>
                <w:rFonts w:ascii="Verdana" w:hAnsi="Verdana"/>
                <w:sz w:val="22"/>
                <w:szCs w:val="20"/>
                <w:lang w:bidi="x-none"/>
              </w:rPr>
            </w:pPr>
          </w:p>
        </w:tc>
      </w:tr>
      <w:tr w:rsidR="00605E91" w:rsidRPr="00605E91" w14:paraId="503643B1" w14:textId="77777777" w:rsidTr="009F78CC">
        <w:trPr>
          <w:trHeight w:val="260"/>
          <w:jc w:val="center"/>
        </w:trPr>
        <w:tc>
          <w:tcPr>
            <w:tcW w:w="2533" w:type="dxa"/>
            <w:tcBorders>
              <w:left w:val="single" w:sz="4" w:space="0" w:color="auto"/>
            </w:tcBorders>
            <w:shd w:val="clear" w:color="auto" w:fill="auto"/>
            <w:noWrap/>
            <w:vAlign w:val="bottom"/>
          </w:tcPr>
          <w:p w14:paraId="3533B9F0" w14:textId="77777777" w:rsidR="00A53F4D" w:rsidRPr="00605E91" w:rsidRDefault="00A53F4D" w:rsidP="00B40D31">
            <w:pPr>
              <w:jc w:val="center"/>
              <w:rPr>
                <w:rFonts w:ascii="Verdana" w:hAnsi="Verdana"/>
                <w:sz w:val="22"/>
                <w:szCs w:val="20"/>
                <w:lang w:bidi="x-none"/>
              </w:rPr>
            </w:pPr>
            <w:r w:rsidRPr="00605E91">
              <w:rPr>
                <w:sz w:val="22"/>
                <w:szCs w:val="20"/>
                <w:lang w:bidi="x-none"/>
              </w:rPr>
              <w:t>air travel not</w:t>
            </w:r>
            <w:r w:rsidR="00B40D31" w:rsidRPr="00605E91">
              <w:rPr>
                <w:sz w:val="22"/>
                <w:szCs w:val="20"/>
                <w:lang w:bidi="x-none"/>
              </w:rPr>
              <w:t xml:space="preserve"> multiplied</w:t>
            </w:r>
          </w:p>
        </w:tc>
        <w:tc>
          <w:tcPr>
            <w:tcW w:w="2520" w:type="dxa"/>
            <w:shd w:val="clear" w:color="auto" w:fill="auto"/>
            <w:noWrap/>
            <w:vAlign w:val="bottom"/>
          </w:tcPr>
          <w:p w14:paraId="1C70FC37" w14:textId="77777777" w:rsidR="00A53F4D" w:rsidRPr="00605E91" w:rsidRDefault="00A53F4D" w:rsidP="00B40D31">
            <w:pPr>
              <w:jc w:val="center"/>
              <w:rPr>
                <w:rFonts w:ascii="Verdana" w:hAnsi="Verdana"/>
                <w:sz w:val="22"/>
                <w:szCs w:val="20"/>
                <w:lang w:bidi="x-none"/>
              </w:rPr>
            </w:pPr>
          </w:p>
        </w:tc>
        <w:tc>
          <w:tcPr>
            <w:tcW w:w="2520" w:type="dxa"/>
            <w:tcBorders>
              <w:right w:val="single" w:sz="4" w:space="0" w:color="auto"/>
            </w:tcBorders>
            <w:shd w:val="clear" w:color="auto" w:fill="auto"/>
            <w:noWrap/>
            <w:vAlign w:val="bottom"/>
          </w:tcPr>
          <w:p w14:paraId="35887D28" w14:textId="77777777" w:rsidR="00A53F4D" w:rsidRPr="00605E91" w:rsidRDefault="00A53F4D" w:rsidP="00B40D31">
            <w:pPr>
              <w:jc w:val="center"/>
              <w:rPr>
                <w:rFonts w:ascii="Verdana" w:hAnsi="Verdana"/>
                <w:sz w:val="22"/>
                <w:szCs w:val="20"/>
                <w:lang w:bidi="x-none"/>
              </w:rPr>
            </w:pPr>
          </w:p>
        </w:tc>
      </w:tr>
      <w:tr w:rsidR="00605E91" w:rsidRPr="00605E91" w14:paraId="01C6FAB3" w14:textId="77777777" w:rsidTr="009F78CC">
        <w:trPr>
          <w:trHeight w:val="260"/>
          <w:jc w:val="center"/>
        </w:trPr>
        <w:tc>
          <w:tcPr>
            <w:tcW w:w="2533" w:type="dxa"/>
            <w:tcBorders>
              <w:left w:val="single" w:sz="4" w:space="0" w:color="auto"/>
            </w:tcBorders>
            <w:shd w:val="clear" w:color="auto" w:fill="auto"/>
            <w:noWrap/>
            <w:vAlign w:val="bottom"/>
          </w:tcPr>
          <w:p w14:paraId="4CCFC72D" w14:textId="77777777" w:rsidR="00A53F4D" w:rsidRPr="00605E91" w:rsidRDefault="00A53F4D" w:rsidP="00B40D31">
            <w:pPr>
              <w:jc w:val="center"/>
              <w:rPr>
                <w:rFonts w:ascii="Verdana" w:hAnsi="Verdana"/>
                <w:sz w:val="22"/>
                <w:szCs w:val="20"/>
                <w:lang w:bidi="x-none"/>
              </w:rPr>
            </w:pPr>
            <w:r w:rsidRPr="00605E91">
              <w:rPr>
                <w:sz w:val="22"/>
                <w:szCs w:val="20"/>
                <w:lang w:bidi="x-none"/>
              </w:rPr>
              <w:t>by 0.64; majority of these</w:t>
            </w:r>
          </w:p>
        </w:tc>
        <w:tc>
          <w:tcPr>
            <w:tcW w:w="2520" w:type="dxa"/>
            <w:shd w:val="clear" w:color="auto" w:fill="auto"/>
            <w:noWrap/>
            <w:vAlign w:val="bottom"/>
          </w:tcPr>
          <w:p w14:paraId="5A18D613" w14:textId="77777777" w:rsidR="00A53F4D" w:rsidRPr="00605E91" w:rsidRDefault="00A53F4D" w:rsidP="00B40D31">
            <w:pPr>
              <w:jc w:val="center"/>
              <w:rPr>
                <w:rFonts w:ascii="Verdana" w:hAnsi="Verdana"/>
                <w:sz w:val="22"/>
                <w:szCs w:val="20"/>
                <w:lang w:bidi="x-none"/>
              </w:rPr>
            </w:pPr>
          </w:p>
        </w:tc>
        <w:tc>
          <w:tcPr>
            <w:tcW w:w="2520" w:type="dxa"/>
            <w:tcBorders>
              <w:right w:val="single" w:sz="4" w:space="0" w:color="auto"/>
            </w:tcBorders>
            <w:shd w:val="clear" w:color="auto" w:fill="auto"/>
            <w:noWrap/>
            <w:vAlign w:val="bottom"/>
          </w:tcPr>
          <w:p w14:paraId="05D970BF" w14:textId="77777777" w:rsidR="00A53F4D" w:rsidRPr="00605E91" w:rsidRDefault="00A53F4D" w:rsidP="00B40D31">
            <w:pPr>
              <w:jc w:val="center"/>
              <w:rPr>
                <w:rFonts w:ascii="Verdana" w:hAnsi="Verdana"/>
                <w:sz w:val="22"/>
                <w:szCs w:val="20"/>
                <w:lang w:bidi="x-none"/>
              </w:rPr>
            </w:pPr>
          </w:p>
        </w:tc>
      </w:tr>
      <w:tr w:rsidR="00605E91" w:rsidRPr="00605E91" w14:paraId="590B5533" w14:textId="77777777" w:rsidTr="009F78CC">
        <w:trPr>
          <w:trHeight w:val="260"/>
          <w:jc w:val="center"/>
        </w:trPr>
        <w:tc>
          <w:tcPr>
            <w:tcW w:w="2533" w:type="dxa"/>
            <w:tcBorders>
              <w:left w:val="single" w:sz="4" w:space="0" w:color="auto"/>
              <w:bottom w:val="single" w:sz="4" w:space="0" w:color="auto"/>
            </w:tcBorders>
            <w:shd w:val="clear" w:color="auto" w:fill="auto"/>
            <w:noWrap/>
            <w:vAlign w:val="bottom"/>
          </w:tcPr>
          <w:p w14:paraId="498C580E" w14:textId="77777777" w:rsidR="00A53F4D" w:rsidRPr="00605E91" w:rsidRDefault="00A53F4D" w:rsidP="00B40D31">
            <w:pPr>
              <w:jc w:val="center"/>
              <w:rPr>
                <w:rFonts w:ascii="Verdana" w:hAnsi="Verdana"/>
                <w:sz w:val="22"/>
                <w:szCs w:val="20"/>
                <w:lang w:bidi="x-none"/>
              </w:rPr>
            </w:pPr>
            <w:r w:rsidRPr="00605E91">
              <w:rPr>
                <w:sz w:val="22"/>
                <w:szCs w:val="20"/>
                <w:lang w:bidi="x-none"/>
              </w:rPr>
              <w:t>flights assumed to be domestic</w:t>
            </w:r>
          </w:p>
        </w:tc>
        <w:tc>
          <w:tcPr>
            <w:tcW w:w="2520" w:type="dxa"/>
            <w:tcBorders>
              <w:bottom w:val="single" w:sz="4" w:space="0" w:color="auto"/>
            </w:tcBorders>
            <w:shd w:val="clear" w:color="auto" w:fill="auto"/>
            <w:noWrap/>
            <w:vAlign w:val="bottom"/>
          </w:tcPr>
          <w:p w14:paraId="281ADF51" w14:textId="77777777" w:rsidR="00A53F4D" w:rsidRPr="00605E91" w:rsidRDefault="00A53F4D" w:rsidP="00B40D31">
            <w:pPr>
              <w:jc w:val="center"/>
              <w:rPr>
                <w:rFonts w:ascii="Verdana" w:hAnsi="Verdana"/>
                <w:sz w:val="22"/>
                <w:szCs w:val="20"/>
                <w:lang w:bidi="x-none"/>
              </w:rPr>
            </w:pPr>
          </w:p>
        </w:tc>
        <w:tc>
          <w:tcPr>
            <w:tcW w:w="2520" w:type="dxa"/>
            <w:tcBorders>
              <w:bottom w:val="single" w:sz="4" w:space="0" w:color="auto"/>
              <w:right w:val="single" w:sz="4" w:space="0" w:color="auto"/>
            </w:tcBorders>
            <w:shd w:val="clear" w:color="auto" w:fill="auto"/>
            <w:noWrap/>
            <w:vAlign w:val="bottom"/>
          </w:tcPr>
          <w:p w14:paraId="29F5E2D2" w14:textId="77777777" w:rsidR="00A53F4D" w:rsidRPr="00605E91" w:rsidRDefault="00A53F4D" w:rsidP="00B40D31">
            <w:pPr>
              <w:jc w:val="center"/>
              <w:rPr>
                <w:rFonts w:ascii="Verdana" w:hAnsi="Verdana"/>
                <w:sz w:val="22"/>
                <w:szCs w:val="20"/>
                <w:lang w:bidi="x-none"/>
              </w:rPr>
            </w:pPr>
          </w:p>
        </w:tc>
      </w:tr>
      <w:tr w:rsidR="00605E91" w:rsidRPr="00605E91" w14:paraId="0022B835" w14:textId="77777777" w:rsidTr="009F78CC">
        <w:trPr>
          <w:trHeight w:val="260"/>
          <w:jc w:val="center"/>
        </w:trPr>
        <w:tc>
          <w:tcPr>
            <w:tcW w:w="2533" w:type="dxa"/>
            <w:tcBorders>
              <w:top w:val="single" w:sz="4" w:space="0" w:color="auto"/>
              <w:left w:val="single" w:sz="4" w:space="0" w:color="auto"/>
            </w:tcBorders>
            <w:shd w:val="clear" w:color="auto" w:fill="auto"/>
            <w:noWrap/>
            <w:vAlign w:val="bottom"/>
          </w:tcPr>
          <w:p w14:paraId="22D0673C" w14:textId="77777777" w:rsidR="00A53F4D" w:rsidRPr="00605E91" w:rsidRDefault="00A53F4D" w:rsidP="00B40D31">
            <w:pPr>
              <w:jc w:val="center"/>
              <w:rPr>
                <w:rFonts w:ascii="Verdana" w:hAnsi="Verdana"/>
                <w:sz w:val="22"/>
                <w:szCs w:val="20"/>
                <w:lang w:bidi="x-none"/>
              </w:rPr>
            </w:pPr>
            <w:r w:rsidRPr="00605E91">
              <w:rPr>
                <w:sz w:val="22"/>
                <w:szCs w:val="20"/>
                <w:lang w:bidi="x-none"/>
              </w:rPr>
              <w:t>kg CO</w:t>
            </w:r>
            <w:r w:rsidRPr="00605E91">
              <w:rPr>
                <w:sz w:val="22"/>
                <w:szCs w:val="20"/>
                <w:vertAlign w:val="subscript"/>
                <w:lang w:bidi="x-none"/>
              </w:rPr>
              <w:t>2</w:t>
            </w:r>
            <w:r w:rsidRPr="00605E91">
              <w:rPr>
                <w:sz w:val="22"/>
                <w:szCs w:val="20"/>
                <w:lang w:bidi="x-none"/>
              </w:rPr>
              <w:t xml:space="preserve">/mile for all air miles </w:t>
            </w:r>
            <w:r w:rsidR="00B40D31" w:rsidRPr="00605E91">
              <w:rPr>
                <w:sz w:val="22"/>
                <w:szCs w:val="20"/>
                <w:lang w:bidi="x-none"/>
              </w:rPr>
              <w:t>multiplied by</w:t>
            </w:r>
          </w:p>
        </w:tc>
        <w:tc>
          <w:tcPr>
            <w:tcW w:w="2520" w:type="dxa"/>
            <w:tcBorders>
              <w:top w:val="single" w:sz="4" w:space="0" w:color="auto"/>
            </w:tcBorders>
            <w:shd w:val="clear" w:color="auto" w:fill="auto"/>
            <w:noWrap/>
            <w:vAlign w:val="bottom"/>
          </w:tcPr>
          <w:p w14:paraId="30153D3E" w14:textId="77777777" w:rsidR="00A53F4D" w:rsidRPr="00605E91" w:rsidRDefault="00A53F4D" w:rsidP="00B40D31">
            <w:pPr>
              <w:jc w:val="center"/>
              <w:rPr>
                <w:rFonts w:ascii="Verdana" w:hAnsi="Verdana"/>
                <w:sz w:val="22"/>
                <w:szCs w:val="20"/>
                <w:lang w:bidi="x-none"/>
              </w:rPr>
            </w:pPr>
            <w:r w:rsidRPr="00605E91">
              <w:rPr>
                <w:sz w:val="22"/>
                <w:szCs w:val="20"/>
                <w:lang w:bidi="x-none"/>
              </w:rPr>
              <w:t>EF_Transportation</w:t>
            </w:r>
          </w:p>
        </w:tc>
        <w:tc>
          <w:tcPr>
            <w:tcW w:w="2520" w:type="dxa"/>
            <w:tcBorders>
              <w:top w:val="single" w:sz="4" w:space="0" w:color="auto"/>
              <w:right w:val="single" w:sz="4" w:space="0" w:color="auto"/>
            </w:tcBorders>
            <w:shd w:val="clear" w:color="auto" w:fill="auto"/>
            <w:noWrap/>
            <w:vAlign w:val="bottom"/>
          </w:tcPr>
          <w:p w14:paraId="39DB4233" w14:textId="77777777" w:rsidR="00A53F4D" w:rsidRPr="00605E91" w:rsidRDefault="00A53F4D" w:rsidP="00B40D31">
            <w:pPr>
              <w:jc w:val="center"/>
              <w:rPr>
                <w:sz w:val="22"/>
                <w:szCs w:val="20"/>
                <w:lang w:bidi="x-none"/>
              </w:rPr>
            </w:pPr>
          </w:p>
          <w:p w14:paraId="2B876DBA" w14:textId="77777777" w:rsidR="00B40D31" w:rsidRPr="00605E91" w:rsidRDefault="00A53F4D" w:rsidP="00B40D31">
            <w:pPr>
              <w:jc w:val="center"/>
              <w:rPr>
                <w:sz w:val="22"/>
                <w:szCs w:val="20"/>
                <w:lang w:bidi="x-none"/>
              </w:rPr>
            </w:pPr>
            <w:r w:rsidRPr="00605E91">
              <w:rPr>
                <w:sz w:val="22"/>
                <w:szCs w:val="20"/>
                <w:lang w:bidi="x-none"/>
              </w:rPr>
              <w:t>BN</w:t>
            </w:r>
          </w:p>
          <w:p w14:paraId="05895230" w14:textId="77777777" w:rsidR="00A53F4D" w:rsidRPr="00605E91" w:rsidRDefault="00B40D31" w:rsidP="00B40D31">
            <w:pPr>
              <w:jc w:val="center"/>
              <w:rPr>
                <w:sz w:val="22"/>
                <w:szCs w:val="20"/>
                <w:lang w:bidi="x-none"/>
              </w:rPr>
            </w:pPr>
            <w:r w:rsidRPr="00605E91">
              <w:rPr>
                <w:sz w:val="22"/>
                <w:szCs w:val="20"/>
                <w:lang w:bidi="x-none"/>
              </w:rPr>
              <w:br/>
            </w:r>
            <w:r w:rsidRPr="00605E91">
              <w:rPr>
                <w:sz w:val="16"/>
                <w:szCs w:val="16"/>
                <w:lang w:bidi="x-none"/>
              </w:rPr>
              <w:t>Note: must double-click into equation and delete “.7” from end</w:t>
            </w:r>
          </w:p>
        </w:tc>
      </w:tr>
      <w:tr w:rsidR="00605E91" w:rsidRPr="00605E91" w14:paraId="2B557AAA" w14:textId="77777777" w:rsidTr="0082024C">
        <w:trPr>
          <w:trHeight w:val="260"/>
          <w:jc w:val="center"/>
        </w:trPr>
        <w:tc>
          <w:tcPr>
            <w:tcW w:w="2533" w:type="dxa"/>
            <w:tcBorders>
              <w:left w:val="single" w:sz="4" w:space="0" w:color="auto"/>
              <w:bottom w:val="single" w:sz="4" w:space="0" w:color="auto"/>
            </w:tcBorders>
            <w:shd w:val="clear" w:color="auto" w:fill="auto"/>
            <w:noWrap/>
            <w:vAlign w:val="bottom"/>
          </w:tcPr>
          <w:p w14:paraId="4F0188A5" w14:textId="77777777" w:rsidR="00A53F4D" w:rsidRPr="00605E91" w:rsidRDefault="00B40D31" w:rsidP="00B40D31">
            <w:pPr>
              <w:jc w:val="center"/>
              <w:rPr>
                <w:rFonts w:ascii="Verdana" w:hAnsi="Verdana"/>
                <w:sz w:val="22"/>
                <w:szCs w:val="20"/>
                <w:lang w:bidi="x-none"/>
              </w:rPr>
            </w:pPr>
            <w:r w:rsidRPr="00605E91">
              <w:rPr>
                <w:sz w:val="22"/>
                <w:szCs w:val="20"/>
                <w:lang w:bidi="x-none"/>
              </w:rPr>
              <w:t>2 (instead of 2.7</w:t>
            </w:r>
            <w:r w:rsidR="00A53F4D" w:rsidRPr="00605E91">
              <w:rPr>
                <w:sz w:val="22"/>
                <w:szCs w:val="20"/>
                <w:lang w:bidi="x-none"/>
              </w:rPr>
              <w:t>) to reflect best estimate of radiative forcing index (RFI)</w:t>
            </w:r>
          </w:p>
        </w:tc>
        <w:tc>
          <w:tcPr>
            <w:tcW w:w="2520" w:type="dxa"/>
            <w:tcBorders>
              <w:bottom w:val="single" w:sz="4" w:space="0" w:color="auto"/>
            </w:tcBorders>
            <w:shd w:val="clear" w:color="auto" w:fill="auto"/>
            <w:noWrap/>
            <w:vAlign w:val="bottom"/>
          </w:tcPr>
          <w:p w14:paraId="08E3EF0C" w14:textId="77777777" w:rsidR="00A53F4D" w:rsidRPr="00605E91" w:rsidRDefault="00A53F4D" w:rsidP="00B40D31">
            <w:pPr>
              <w:jc w:val="center"/>
              <w:rPr>
                <w:rFonts w:ascii="Verdana" w:hAnsi="Verdana"/>
                <w:sz w:val="22"/>
                <w:szCs w:val="20"/>
                <w:lang w:bidi="x-none"/>
              </w:rPr>
            </w:pPr>
          </w:p>
        </w:tc>
        <w:tc>
          <w:tcPr>
            <w:tcW w:w="2520" w:type="dxa"/>
            <w:tcBorders>
              <w:bottom w:val="single" w:sz="4" w:space="0" w:color="auto"/>
              <w:right w:val="single" w:sz="4" w:space="0" w:color="auto"/>
            </w:tcBorders>
            <w:shd w:val="clear" w:color="auto" w:fill="auto"/>
            <w:noWrap/>
            <w:vAlign w:val="bottom"/>
          </w:tcPr>
          <w:p w14:paraId="2B565DB4" w14:textId="77777777" w:rsidR="00A53F4D" w:rsidRPr="00605E91" w:rsidRDefault="00A53F4D" w:rsidP="00B40D31">
            <w:pPr>
              <w:jc w:val="center"/>
              <w:rPr>
                <w:rFonts w:ascii="Verdana" w:hAnsi="Verdana"/>
                <w:sz w:val="22"/>
                <w:szCs w:val="20"/>
                <w:lang w:bidi="x-none"/>
              </w:rPr>
            </w:pPr>
          </w:p>
        </w:tc>
      </w:tr>
      <w:tr w:rsidR="00605E91" w:rsidRPr="00605E91" w14:paraId="067BB28F" w14:textId="77777777" w:rsidTr="0082024C">
        <w:trPr>
          <w:trHeight w:val="260"/>
          <w:jc w:val="center"/>
        </w:trPr>
        <w:tc>
          <w:tcPr>
            <w:tcW w:w="2533" w:type="dxa"/>
            <w:tcBorders>
              <w:top w:val="single" w:sz="4" w:space="0" w:color="auto"/>
              <w:left w:val="single" w:sz="4" w:space="0" w:color="auto"/>
              <w:bottom w:val="single" w:sz="4" w:space="0" w:color="auto"/>
            </w:tcBorders>
            <w:shd w:val="clear" w:color="auto" w:fill="auto"/>
            <w:noWrap/>
            <w:vAlign w:val="center"/>
          </w:tcPr>
          <w:p w14:paraId="094F8F0C" w14:textId="77777777" w:rsidR="0082024C" w:rsidRPr="00605E91" w:rsidRDefault="0082024C" w:rsidP="0082024C">
            <w:pPr>
              <w:jc w:val="center"/>
              <w:rPr>
                <w:sz w:val="22"/>
                <w:szCs w:val="20"/>
                <w:lang w:bidi="x-none"/>
              </w:rPr>
            </w:pPr>
            <w:r w:rsidRPr="00605E91">
              <w:rPr>
                <w:sz w:val="22"/>
                <w:szCs w:val="20"/>
                <w:lang w:bidi="x-none"/>
              </w:rPr>
              <w:t>Heating and Cooling Degree Days were changed based on calculations completed through degreedays.net. This data was specific to Sherman, TX as opposed to the whole of Texas assumed in the calculator.</w:t>
            </w:r>
          </w:p>
        </w:tc>
        <w:tc>
          <w:tcPr>
            <w:tcW w:w="2520" w:type="dxa"/>
            <w:tcBorders>
              <w:top w:val="single" w:sz="4" w:space="0" w:color="auto"/>
              <w:bottom w:val="single" w:sz="4" w:space="0" w:color="auto"/>
            </w:tcBorders>
            <w:shd w:val="clear" w:color="auto" w:fill="auto"/>
            <w:noWrap/>
            <w:vAlign w:val="center"/>
          </w:tcPr>
          <w:p w14:paraId="4C2F772E" w14:textId="77777777" w:rsidR="0082024C" w:rsidRPr="00605E91" w:rsidRDefault="0082024C" w:rsidP="0082024C">
            <w:pPr>
              <w:jc w:val="center"/>
              <w:rPr>
                <w:sz w:val="22"/>
                <w:szCs w:val="20"/>
                <w:lang w:bidi="x-none"/>
              </w:rPr>
            </w:pPr>
            <w:r w:rsidRPr="00605E91">
              <w:rPr>
                <w:sz w:val="22"/>
                <w:szCs w:val="20"/>
                <w:lang w:bidi="x-none"/>
              </w:rPr>
              <w:t>Degree Days</w:t>
            </w:r>
          </w:p>
        </w:tc>
        <w:tc>
          <w:tcPr>
            <w:tcW w:w="2520" w:type="dxa"/>
            <w:tcBorders>
              <w:top w:val="single" w:sz="4" w:space="0" w:color="auto"/>
              <w:bottom w:val="single" w:sz="4" w:space="0" w:color="auto"/>
              <w:right w:val="single" w:sz="4" w:space="0" w:color="auto"/>
            </w:tcBorders>
            <w:shd w:val="clear" w:color="auto" w:fill="auto"/>
            <w:noWrap/>
            <w:vAlign w:val="center"/>
          </w:tcPr>
          <w:p w14:paraId="53FC05EA" w14:textId="77777777" w:rsidR="0082024C" w:rsidRPr="00605E91" w:rsidRDefault="0082024C" w:rsidP="0082024C">
            <w:pPr>
              <w:jc w:val="center"/>
              <w:rPr>
                <w:sz w:val="22"/>
                <w:szCs w:val="20"/>
                <w:lang w:bidi="x-none"/>
              </w:rPr>
            </w:pPr>
            <w:r w:rsidRPr="00605E91">
              <w:rPr>
                <w:sz w:val="22"/>
                <w:szCs w:val="20"/>
                <w:lang w:bidi="x-none"/>
              </w:rPr>
              <w:t>AS</w:t>
            </w:r>
          </w:p>
        </w:tc>
      </w:tr>
    </w:tbl>
    <w:p w14:paraId="527DD58A" w14:textId="77777777" w:rsidR="00A53F4D" w:rsidRPr="00605E91" w:rsidRDefault="00A53F4D"/>
    <w:p w14:paraId="4075F4D0" w14:textId="77777777" w:rsidR="006F331C" w:rsidRPr="00605E91" w:rsidRDefault="006F331C"/>
    <w:p w14:paraId="083D95B3" w14:textId="77777777" w:rsidR="004D72A3" w:rsidRPr="00605E91" w:rsidRDefault="004D72A3" w:rsidP="004D72A3">
      <w:pPr>
        <w:rPr>
          <w:b/>
          <w:sz w:val="28"/>
        </w:rPr>
      </w:pPr>
    </w:p>
    <w:p w14:paraId="3DA4A81A" w14:textId="77777777" w:rsidR="00103CFC" w:rsidRPr="00605E91" w:rsidRDefault="00103CFC" w:rsidP="006F331C">
      <w:pPr>
        <w:jc w:val="center"/>
        <w:rPr>
          <w:b/>
          <w:sz w:val="28"/>
        </w:rPr>
      </w:pPr>
    </w:p>
    <w:p w14:paraId="70D1D07F" w14:textId="77777777" w:rsidR="00103CFC" w:rsidRPr="00605E91" w:rsidRDefault="00103CFC" w:rsidP="006F331C">
      <w:pPr>
        <w:jc w:val="center"/>
        <w:rPr>
          <w:b/>
          <w:sz w:val="28"/>
        </w:rPr>
      </w:pPr>
    </w:p>
    <w:p w14:paraId="3C389D49" w14:textId="77777777" w:rsidR="006F331C" w:rsidRPr="00605E91" w:rsidRDefault="006F331C" w:rsidP="006F331C">
      <w:pPr>
        <w:jc w:val="center"/>
        <w:rPr>
          <w:b/>
          <w:sz w:val="28"/>
        </w:rPr>
      </w:pPr>
      <w:r w:rsidRPr="00605E91">
        <w:rPr>
          <w:b/>
          <w:sz w:val="28"/>
        </w:rPr>
        <w:t>Calculator Data and Corresponding Input Page/Column(s)</w:t>
      </w:r>
    </w:p>
    <w:p w14:paraId="62F6CAD1" w14:textId="77777777" w:rsidR="006F331C" w:rsidRPr="00605E91" w:rsidRDefault="006F331C" w:rsidP="006F331C">
      <w:pPr>
        <w:rPr>
          <w:b/>
          <w:sz w:val="28"/>
        </w:rPr>
      </w:pPr>
    </w:p>
    <w:tbl>
      <w:tblPr>
        <w:tblW w:w="5989" w:type="dxa"/>
        <w:jc w:val="center"/>
        <w:tblLayout w:type="fixed"/>
        <w:tblLook w:val="0000" w:firstRow="0" w:lastRow="0" w:firstColumn="0" w:lastColumn="0" w:noHBand="0" w:noVBand="0"/>
      </w:tblPr>
      <w:tblGrid>
        <w:gridCol w:w="1944"/>
        <w:gridCol w:w="2515"/>
        <w:gridCol w:w="1530"/>
      </w:tblGrid>
      <w:tr w:rsidR="006F331C" w:rsidRPr="00605E91" w14:paraId="00C0F8BF" w14:textId="77777777" w:rsidTr="00DC21DA">
        <w:trPr>
          <w:trHeight w:val="358"/>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F90D7" w14:textId="77777777" w:rsidR="006F331C" w:rsidRPr="00605E91" w:rsidRDefault="006F331C" w:rsidP="00DC21DA">
            <w:pPr>
              <w:jc w:val="center"/>
              <w:rPr>
                <w:b/>
                <w:lang w:bidi="x-none"/>
              </w:rPr>
            </w:pPr>
            <w:r w:rsidRPr="00605E91">
              <w:rPr>
                <w:b/>
                <w:lang w:bidi="x-none"/>
              </w:rPr>
              <w:t>Input Page</w:t>
            </w: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44493" w14:textId="77777777" w:rsidR="006F331C" w:rsidRPr="00605E91" w:rsidRDefault="006F331C" w:rsidP="00DC21DA">
            <w:pPr>
              <w:jc w:val="center"/>
              <w:rPr>
                <w:b/>
                <w:lang w:bidi="x-none"/>
              </w:rPr>
            </w:pPr>
            <w:r w:rsidRPr="00605E91">
              <w:rPr>
                <w:b/>
                <w:lang w:bidi="x-none"/>
              </w:rPr>
              <w:t>Data to Input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78549" w14:textId="5A6E3B46" w:rsidR="006F331C" w:rsidRPr="00605E91" w:rsidRDefault="006F331C" w:rsidP="008163D9">
            <w:pPr>
              <w:jc w:val="center"/>
              <w:rPr>
                <w:b/>
                <w:lang w:bidi="x-none"/>
              </w:rPr>
            </w:pPr>
            <w:r w:rsidRPr="00605E91">
              <w:rPr>
                <w:b/>
                <w:lang w:bidi="x-none"/>
              </w:rPr>
              <w:t xml:space="preserve">Column in </w:t>
            </w:r>
            <w:r w:rsidR="002B21A6" w:rsidRPr="00605E91">
              <w:rPr>
                <w:b/>
                <w:lang w:bidi="x-none"/>
              </w:rPr>
              <w:t>C</w:t>
            </w:r>
            <w:r w:rsidR="002B21A6">
              <w:rPr>
                <w:b/>
                <w:lang w:bidi="x-none"/>
              </w:rPr>
              <w:t>CC</w:t>
            </w:r>
            <w:r w:rsidR="002B21A6" w:rsidRPr="00605E91">
              <w:rPr>
                <w:b/>
                <w:lang w:bidi="x-none"/>
              </w:rPr>
              <w:t xml:space="preserve"> </w:t>
            </w:r>
            <w:r w:rsidRPr="00605E91">
              <w:rPr>
                <w:b/>
                <w:lang w:bidi="x-none"/>
              </w:rPr>
              <w:t>Calculator</w:t>
            </w:r>
          </w:p>
        </w:tc>
      </w:tr>
      <w:tr w:rsidR="006F331C" w:rsidRPr="00605E91" w14:paraId="34F20A7A"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365D9" w14:textId="77777777" w:rsidR="006F331C" w:rsidRPr="00605E91" w:rsidRDefault="006F331C" w:rsidP="00DC21DA">
            <w:pPr>
              <w:jc w:val="center"/>
              <w:rPr>
                <w:lang w:bidi="x-none"/>
              </w:rPr>
            </w:pPr>
            <w:r w:rsidRPr="00605E91">
              <w:rPr>
                <w:lang w:bidi="x-none"/>
              </w:rPr>
              <w:t>Input_InflAdj</w:t>
            </w: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6DAA0" w14:textId="77777777" w:rsidR="006F331C" w:rsidRPr="00605E91" w:rsidRDefault="006F331C" w:rsidP="00DC21DA">
            <w:pPr>
              <w:jc w:val="center"/>
              <w:rPr>
                <w:lang w:bidi="x-none"/>
              </w:rPr>
            </w:pPr>
            <w:r w:rsidRPr="00605E91">
              <w:rPr>
                <w:lang w:bidi="x-none"/>
              </w:rPr>
              <w:t>Operating budget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DF238" w14:textId="77777777" w:rsidR="006F331C" w:rsidRPr="00605E91" w:rsidRDefault="006F331C" w:rsidP="00DC21DA">
            <w:pPr>
              <w:jc w:val="center"/>
              <w:rPr>
                <w:lang w:bidi="x-none"/>
              </w:rPr>
            </w:pPr>
            <w:r w:rsidRPr="00605E91">
              <w:rPr>
                <w:lang w:bidi="x-none"/>
              </w:rPr>
              <w:t>C</w:t>
            </w:r>
          </w:p>
        </w:tc>
      </w:tr>
      <w:tr w:rsidR="006F331C" w:rsidRPr="00605E91" w14:paraId="0975E433"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8A806"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2CB21" w14:textId="77777777" w:rsidR="006F331C" w:rsidRPr="00605E91" w:rsidRDefault="006F331C" w:rsidP="00DC21DA">
            <w:pPr>
              <w:jc w:val="center"/>
              <w:rPr>
                <w:lang w:bidi="x-none"/>
              </w:rPr>
            </w:pPr>
            <w:r w:rsidRPr="00605E91">
              <w:rPr>
                <w:lang w:bidi="x-none"/>
              </w:rPr>
              <w:t>Energy budget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842A" w14:textId="77777777" w:rsidR="006F331C" w:rsidRPr="00605E91" w:rsidRDefault="006F331C" w:rsidP="00DC21DA">
            <w:pPr>
              <w:jc w:val="center"/>
              <w:rPr>
                <w:lang w:bidi="x-none"/>
              </w:rPr>
            </w:pPr>
            <w:r w:rsidRPr="00605E91">
              <w:rPr>
                <w:lang w:bidi="x-none"/>
              </w:rPr>
              <w:t>E</w:t>
            </w:r>
          </w:p>
        </w:tc>
      </w:tr>
      <w:tr w:rsidR="00733B4B" w:rsidRPr="00605E91" w14:paraId="1DE5E899"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04110" w14:textId="77777777" w:rsidR="00733B4B" w:rsidRPr="00605E91" w:rsidRDefault="00733B4B" w:rsidP="00DC21DA">
            <w:pPr>
              <w:jc w:val="center"/>
              <w:rPr>
                <w:lang w:bidi="x-none"/>
              </w:rPr>
            </w:pPr>
            <w:r w:rsidRPr="00605E91">
              <w:rPr>
                <w:lang w:bidi="x-none"/>
              </w:rPr>
              <w:t>CustFuelMix</w:t>
            </w: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CAFB3" w14:textId="77777777" w:rsidR="00733B4B" w:rsidRPr="00605E91" w:rsidRDefault="00733B4B" w:rsidP="00DC21DA">
            <w:pPr>
              <w:jc w:val="center"/>
              <w:rPr>
                <w:lang w:bidi="x-none"/>
              </w:rPr>
            </w:pPr>
            <w:r w:rsidRPr="00605E91">
              <w:rPr>
                <w:lang w:bidi="x-none"/>
              </w:rPr>
              <w:t>% Coal</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D11F0" w14:textId="77777777" w:rsidR="00733B4B" w:rsidRPr="00605E91" w:rsidRDefault="00733B4B" w:rsidP="00DC21DA">
            <w:pPr>
              <w:jc w:val="center"/>
              <w:rPr>
                <w:lang w:bidi="x-none"/>
              </w:rPr>
            </w:pPr>
            <w:r w:rsidRPr="00605E91">
              <w:rPr>
                <w:lang w:bidi="x-none"/>
              </w:rPr>
              <w:t>E</w:t>
            </w:r>
          </w:p>
        </w:tc>
      </w:tr>
      <w:tr w:rsidR="00733B4B" w:rsidRPr="00605E91" w14:paraId="16FCE7E2"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90934" w14:textId="77777777" w:rsidR="00733B4B" w:rsidRPr="00605E91" w:rsidRDefault="00733B4B"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2DEA5" w14:textId="77777777" w:rsidR="00733B4B" w:rsidRPr="00605E91" w:rsidRDefault="00733B4B" w:rsidP="00DC21DA">
            <w:pPr>
              <w:jc w:val="center"/>
              <w:rPr>
                <w:lang w:bidi="x-none"/>
              </w:rPr>
            </w:pPr>
            <w:r w:rsidRPr="00605E91">
              <w:rPr>
                <w:lang w:bidi="x-none"/>
              </w:rPr>
              <w:t>% Natural Gas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40FBF" w14:textId="77777777" w:rsidR="00733B4B" w:rsidRPr="00605E91" w:rsidRDefault="00733B4B" w:rsidP="00DC21DA">
            <w:pPr>
              <w:jc w:val="center"/>
              <w:rPr>
                <w:lang w:bidi="x-none"/>
              </w:rPr>
            </w:pPr>
            <w:r w:rsidRPr="00605E91">
              <w:rPr>
                <w:lang w:bidi="x-none"/>
              </w:rPr>
              <w:t>F</w:t>
            </w:r>
          </w:p>
        </w:tc>
      </w:tr>
      <w:tr w:rsidR="00733B4B" w:rsidRPr="00605E91" w14:paraId="3BAE9485"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8863D" w14:textId="77777777" w:rsidR="00733B4B" w:rsidRPr="00605E91" w:rsidRDefault="00733B4B"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2DAC2" w14:textId="77777777" w:rsidR="00733B4B" w:rsidRPr="00605E91" w:rsidRDefault="00733B4B" w:rsidP="00DC21DA">
            <w:pPr>
              <w:jc w:val="center"/>
              <w:rPr>
                <w:lang w:bidi="x-none"/>
              </w:rPr>
            </w:pPr>
            <w:r w:rsidRPr="00605E91">
              <w:rPr>
                <w:lang w:bidi="x-none"/>
              </w:rPr>
              <w:t>% Nuclear</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EFD0D" w14:textId="77777777" w:rsidR="00733B4B" w:rsidRPr="00605E91" w:rsidRDefault="00733B4B" w:rsidP="00DC21DA">
            <w:pPr>
              <w:jc w:val="center"/>
              <w:rPr>
                <w:lang w:bidi="x-none"/>
              </w:rPr>
            </w:pPr>
            <w:r w:rsidRPr="00605E91">
              <w:rPr>
                <w:lang w:bidi="x-none"/>
              </w:rPr>
              <w:t>I</w:t>
            </w:r>
          </w:p>
        </w:tc>
      </w:tr>
      <w:tr w:rsidR="006F331C" w:rsidRPr="00605E91" w14:paraId="2874A5C9"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49705" w14:textId="77777777" w:rsidR="006F331C" w:rsidRPr="00605E91" w:rsidRDefault="006F331C" w:rsidP="00DC21DA">
            <w:pPr>
              <w:jc w:val="center"/>
              <w:rPr>
                <w:lang w:bidi="x-none"/>
              </w:rPr>
            </w:pPr>
            <w:r w:rsidRPr="00605E91">
              <w:rPr>
                <w:lang w:bidi="x-none"/>
              </w:rPr>
              <w:t>Input_Commuter</w:t>
            </w: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27974" w14:textId="77777777" w:rsidR="006F331C" w:rsidRPr="00605E91" w:rsidRDefault="006F331C" w:rsidP="00DC21DA">
            <w:pPr>
              <w:jc w:val="center"/>
              <w:rPr>
                <w:lang w:bidi="x-none"/>
              </w:rPr>
            </w:pPr>
            <w:r w:rsidRPr="00605E91">
              <w:rPr>
                <w:lang w:bidi="x-none"/>
              </w:rPr>
              <w:t>Students Commuters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A1A6C" w14:textId="77777777" w:rsidR="006F331C" w:rsidRPr="00605E91" w:rsidRDefault="006F331C" w:rsidP="00DC21DA">
            <w:pPr>
              <w:jc w:val="center"/>
              <w:rPr>
                <w:lang w:bidi="x-none"/>
              </w:rPr>
            </w:pPr>
            <w:r w:rsidRPr="00605E91">
              <w:rPr>
                <w:lang w:bidi="x-none"/>
              </w:rPr>
              <w:t>C</w:t>
            </w:r>
          </w:p>
        </w:tc>
      </w:tr>
      <w:tr w:rsidR="006F331C" w:rsidRPr="00605E91" w14:paraId="7A2585F6"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8DB7A"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8876C" w14:textId="77777777" w:rsidR="006F331C" w:rsidRPr="00605E91" w:rsidRDefault="006F331C" w:rsidP="00DC21DA">
            <w:pPr>
              <w:jc w:val="center"/>
              <w:rPr>
                <w:lang w:bidi="x-none"/>
              </w:rPr>
            </w:pPr>
            <w:r w:rsidRPr="00605E91">
              <w:rPr>
                <w:lang w:bidi="x-none"/>
              </w:rPr>
              <w:t>Students One-Way Trips / Week</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02B9B" w14:textId="77777777" w:rsidR="006F331C" w:rsidRPr="00605E91" w:rsidRDefault="006F331C" w:rsidP="00DC21DA">
            <w:pPr>
              <w:jc w:val="center"/>
              <w:rPr>
                <w:lang w:bidi="x-none"/>
              </w:rPr>
            </w:pPr>
            <w:r w:rsidRPr="00605E91">
              <w:rPr>
                <w:lang w:bidi="x-none"/>
              </w:rPr>
              <w:t>D</w:t>
            </w:r>
          </w:p>
        </w:tc>
      </w:tr>
      <w:tr w:rsidR="006F331C" w:rsidRPr="00605E91" w14:paraId="5D5AF91B"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13877"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FD7B7" w14:textId="77777777" w:rsidR="006F331C" w:rsidRPr="00605E91" w:rsidRDefault="006F331C" w:rsidP="00DC21DA">
            <w:pPr>
              <w:jc w:val="center"/>
              <w:rPr>
                <w:lang w:bidi="x-none"/>
              </w:rPr>
            </w:pPr>
            <w:r w:rsidRPr="00605E91">
              <w:rPr>
                <w:lang w:bidi="x-none"/>
              </w:rPr>
              <w:t>Students Weeks / Year</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360F2" w14:textId="77777777" w:rsidR="006F331C" w:rsidRPr="00605E91" w:rsidRDefault="006F331C" w:rsidP="00DC21DA">
            <w:pPr>
              <w:jc w:val="center"/>
              <w:rPr>
                <w:lang w:bidi="x-none"/>
              </w:rPr>
            </w:pPr>
            <w:r w:rsidRPr="00605E91">
              <w:rPr>
                <w:lang w:bidi="x-none"/>
              </w:rPr>
              <w:t>F</w:t>
            </w:r>
          </w:p>
        </w:tc>
      </w:tr>
      <w:tr w:rsidR="006F331C" w:rsidRPr="00605E91" w14:paraId="0961F764"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36ECF"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EA130" w14:textId="77777777" w:rsidR="006F331C" w:rsidRPr="00605E91" w:rsidRDefault="006F331C" w:rsidP="00DC21DA">
            <w:pPr>
              <w:jc w:val="center"/>
              <w:rPr>
                <w:lang w:bidi="x-none"/>
              </w:rPr>
            </w:pPr>
            <w:r w:rsidRPr="00605E91">
              <w:rPr>
                <w:lang w:bidi="x-none"/>
              </w:rPr>
              <w:t>Students Drive Alone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A8BCD" w14:textId="77777777" w:rsidR="006F331C" w:rsidRPr="00605E91" w:rsidRDefault="006F331C" w:rsidP="00DC21DA">
            <w:pPr>
              <w:jc w:val="center"/>
              <w:rPr>
                <w:lang w:bidi="x-none"/>
              </w:rPr>
            </w:pPr>
            <w:r w:rsidRPr="00605E91">
              <w:rPr>
                <w:lang w:bidi="x-none"/>
              </w:rPr>
              <w:t>I</w:t>
            </w:r>
          </w:p>
        </w:tc>
      </w:tr>
      <w:tr w:rsidR="006F331C" w:rsidRPr="00605E91" w14:paraId="1AF88B57"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C687C"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11685" w14:textId="77777777" w:rsidR="006F331C" w:rsidRPr="00605E91" w:rsidRDefault="006F331C" w:rsidP="00DC21DA">
            <w:pPr>
              <w:jc w:val="center"/>
              <w:rPr>
                <w:lang w:bidi="x-none"/>
              </w:rPr>
            </w:pPr>
            <w:r w:rsidRPr="00605E91">
              <w:rPr>
                <w:lang w:bidi="x-none"/>
              </w:rPr>
              <w:t>Students Carpool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9AC02" w14:textId="77777777" w:rsidR="006F331C" w:rsidRPr="00605E91" w:rsidRDefault="006F331C" w:rsidP="00DC21DA">
            <w:pPr>
              <w:jc w:val="center"/>
              <w:rPr>
                <w:lang w:bidi="x-none"/>
              </w:rPr>
            </w:pPr>
            <w:r w:rsidRPr="00605E91">
              <w:rPr>
                <w:lang w:bidi="x-none"/>
              </w:rPr>
              <w:t>J</w:t>
            </w:r>
          </w:p>
        </w:tc>
      </w:tr>
      <w:tr w:rsidR="006F331C" w:rsidRPr="00605E91" w14:paraId="5A9491B0"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64E70"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C039E" w14:textId="77777777" w:rsidR="006F331C" w:rsidRPr="00605E91" w:rsidRDefault="006F331C" w:rsidP="00DC21DA">
            <w:pPr>
              <w:jc w:val="center"/>
              <w:rPr>
                <w:lang w:bidi="x-none"/>
              </w:rPr>
            </w:pPr>
            <w:r w:rsidRPr="00605E91">
              <w:rPr>
                <w:lang w:bidi="x-none"/>
              </w:rPr>
              <w:t>Students Drive Alone Miles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39193" w14:textId="77777777" w:rsidR="006F331C" w:rsidRPr="00605E91" w:rsidRDefault="006F331C" w:rsidP="00DC21DA">
            <w:pPr>
              <w:jc w:val="center"/>
              <w:rPr>
                <w:lang w:bidi="x-none"/>
              </w:rPr>
            </w:pPr>
            <w:r w:rsidRPr="00605E91">
              <w:rPr>
                <w:lang w:bidi="x-none"/>
              </w:rPr>
              <w:t>Q</w:t>
            </w:r>
          </w:p>
        </w:tc>
      </w:tr>
      <w:tr w:rsidR="006F331C" w:rsidRPr="00605E91" w14:paraId="407E144A"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5EC40"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50886" w14:textId="77777777" w:rsidR="006F331C" w:rsidRPr="00605E91" w:rsidRDefault="006F331C" w:rsidP="00DC21DA">
            <w:pPr>
              <w:jc w:val="center"/>
              <w:rPr>
                <w:lang w:bidi="x-none"/>
              </w:rPr>
            </w:pPr>
            <w:r w:rsidRPr="00605E91">
              <w:rPr>
                <w:lang w:bidi="x-none"/>
              </w:rPr>
              <w:t>Students Carpool Miles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4DC23" w14:textId="77777777" w:rsidR="006F331C" w:rsidRPr="00605E91" w:rsidRDefault="006F331C" w:rsidP="00DC21DA">
            <w:pPr>
              <w:jc w:val="center"/>
              <w:rPr>
                <w:lang w:bidi="x-none"/>
              </w:rPr>
            </w:pPr>
            <w:r w:rsidRPr="00605E91">
              <w:rPr>
                <w:lang w:bidi="x-none"/>
              </w:rPr>
              <w:t>R</w:t>
            </w:r>
          </w:p>
        </w:tc>
      </w:tr>
      <w:tr w:rsidR="006F331C" w:rsidRPr="00605E91" w14:paraId="13BBD41F"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D321A"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7D368" w14:textId="77777777" w:rsidR="006F331C" w:rsidRPr="00605E91" w:rsidRDefault="006F331C" w:rsidP="00DC21DA">
            <w:pPr>
              <w:jc w:val="center"/>
              <w:rPr>
                <w:lang w:bidi="x-none"/>
              </w:rPr>
            </w:pPr>
            <w:r w:rsidRPr="00605E91">
              <w:rPr>
                <w:lang w:bidi="x-none"/>
              </w:rPr>
              <w:t>Faculty Commuters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60CF5" w14:textId="77777777" w:rsidR="006F331C" w:rsidRPr="00605E91" w:rsidRDefault="006F331C" w:rsidP="00DC21DA">
            <w:pPr>
              <w:jc w:val="center"/>
              <w:rPr>
                <w:lang w:bidi="x-none"/>
              </w:rPr>
            </w:pPr>
            <w:r w:rsidRPr="00605E91">
              <w:rPr>
                <w:lang w:bidi="x-none"/>
              </w:rPr>
              <w:t>AN</w:t>
            </w:r>
          </w:p>
        </w:tc>
      </w:tr>
      <w:tr w:rsidR="006F331C" w:rsidRPr="00605E91" w14:paraId="14B5F347"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556D2"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07A8C" w14:textId="77777777" w:rsidR="006F331C" w:rsidRPr="00605E91" w:rsidRDefault="006F331C" w:rsidP="00DC21DA">
            <w:pPr>
              <w:jc w:val="center"/>
              <w:rPr>
                <w:lang w:bidi="x-none"/>
              </w:rPr>
            </w:pPr>
            <w:r w:rsidRPr="00605E91">
              <w:rPr>
                <w:lang w:bidi="x-none"/>
              </w:rPr>
              <w:t>Faculty One-Way Trips / Week</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A38E9" w14:textId="77777777" w:rsidR="006F331C" w:rsidRPr="00605E91" w:rsidRDefault="006F331C" w:rsidP="00DC21DA">
            <w:pPr>
              <w:jc w:val="center"/>
              <w:rPr>
                <w:lang w:bidi="x-none"/>
              </w:rPr>
            </w:pPr>
            <w:r w:rsidRPr="00605E91">
              <w:rPr>
                <w:lang w:bidi="x-none"/>
              </w:rPr>
              <w:t>AO</w:t>
            </w:r>
          </w:p>
        </w:tc>
      </w:tr>
      <w:tr w:rsidR="006F331C" w:rsidRPr="00605E91" w14:paraId="7E68BEFB"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299DA"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4F65E" w14:textId="77777777" w:rsidR="006F331C" w:rsidRPr="00605E91" w:rsidRDefault="006F331C" w:rsidP="00DC21DA">
            <w:pPr>
              <w:jc w:val="center"/>
              <w:rPr>
                <w:lang w:bidi="x-none"/>
              </w:rPr>
            </w:pPr>
            <w:r w:rsidRPr="00605E91">
              <w:rPr>
                <w:lang w:bidi="x-none"/>
              </w:rPr>
              <w:t>Faculty Weeks / Year</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C5A80" w14:textId="77777777" w:rsidR="006F331C" w:rsidRPr="00605E91" w:rsidRDefault="006F331C" w:rsidP="00DC21DA">
            <w:pPr>
              <w:jc w:val="center"/>
              <w:rPr>
                <w:lang w:bidi="x-none"/>
              </w:rPr>
            </w:pPr>
            <w:r w:rsidRPr="00605E91">
              <w:rPr>
                <w:lang w:bidi="x-none"/>
              </w:rPr>
              <w:t>AQ</w:t>
            </w:r>
          </w:p>
        </w:tc>
      </w:tr>
      <w:tr w:rsidR="006F331C" w:rsidRPr="00605E91" w14:paraId="3021999B"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3A543"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7BB67" w14:textId="77777777" w:rsidR="006F331C" w:rsidRPr="00605E91" w:rsidRDefault="006F331C" w:rsidP="00DC21DA">
            <w:pPr>
              <w:jc w:val="center"/>
              <w:rPr>
                <w:lang w:bidi="x-none"/>
              </w:rPr>
            </w:pPr>
            <w:r w:rsidRPr="00605E91">
              <w:rPr>
                <w:lang w:bidi="x-none"/>
              </w:rPr>
              <w:t>Faculty Drive Alone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D43E0" w14:textId="77777777" w:rsidR="006F331C" w:rsidRPr="00605E91" w:rsidRDefault="006F331C" w:rsidP="00DC21DA">
            <w:pPr>
              <w:jc w:val="center"/>
              <w:rPr>
                <w:lang w:bidi="x-none"/>
              </w:rPr>
            </w:pPr>
            <w:r w:rsidRPr="00605E91">
              <w:rPr>
                <w:lang w:bidi="x-none"/>
              </w:rPr>
              <w:t>AT</w:t>
            </w:r>
          </w:p>
        </w:tc>
      </w:tr>
      <w:tr w:rsidR="006F331C" w:rsidRPr="00605E91" w14:paraId="02E0049C"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E8FC0"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D7452" w14:textId="77777777" w:rsidR="006F331C" w:rsidRPr="00605E91" w:rsidRDefault="006F331C" w:rsidP="00DC21DA">
            <w:pPr>
              <w:jc w:val="center"/>
              <w:rPr>
                <w:lang w:bidi="x-none"/>
              </w:rPr>
            </w:pPr>
            <w:r w:rsidRPr="00605E91">
              <w:rPr>
                <w:lang w:bidi="x-none"/>
              </w:rPr>
              <w:t>Faculty Carpool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430C6" w14:textId="77777777" w:rsidR="006F331C" w:rsidRPr="00605E91" w:rsidRDefault="006F331C" w:rsidP="00DC21DA">
            <w:pPr>
              <w:jc w:val="center"/>
              <w:rPr>
                <w:lang w:bidi="x-none"/>
              </w:rPr>
            </w:pPr>
            <w:r w:rsidRPr="00605E91">
              <w:rPr>
                <w:lang w:bidi="x-none"/>
              </w:rPr>
              <w:t>AU</w:t>
            </w:r>
          </w:p>
        </w:tc>
      </w:tr>
      <w:tr w:rsidR="006F331C" w:rsidRPr="00605E91" w14:paraId="4C0742F6"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D7EA1"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FDBE7" w14:textId="77777777" w:rsidR="006F331C" w:rsidRPr="00605E91" w:rsidRDefault="006F331C" w:rsidP="00DC21DA">
            <w:pPr>
              <w:jc w:val="center"/>
              <w:rPr>
                <w:lang w:bidi="x-none"/>
              </w:rPr>
            </w:pPr>
            <w:r w:rsidRPr="00605E91">
              <w:rPr>
                <w:lang w:bidi="x-none"/>
              </w:rPr>
              <w:t>Faculty Drive Alone Miles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40F99" w14:textId="77777777" w:rsidR="006F331C" w:rsidRPr="00605E91" w:rsidRDefault="006F331C" w:rsidP="00DC21DA">
            <w:pPr>
              <w:jc w:val="center"/>
              <w:rPr>
                <w:lang w:bidi="x-none"/>
              </w:rPr>
            </w:pPr>
            <w:r w:rsidRPr="00605E91">
              <w:rPr>
                <w:lang w:bidi="x-none"/>
              </w:rPr>
              <w:t>BB</w:t>
            </w:r>
          </w:p>
        </w:tc>
      </w:tr>
      <w:tr w:rsidR="006F331C" w:rsidRPr="00605E91" w14:paraId="31DC5CF0"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0C42A"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24F35" w14:textId="77777777" w:rsidR="006F331C" w:rsidRPr="00605E91" w:rsidRDefault="006F331C" w:rsidP="00DC21DA">
            <w:pPr>
              <w:jc w:val="center"/>
              <w:rPr>
                <w:lang w:bidi="x-none"/>
              </w:rPr>
            </w:pPr>
            <w:r w:rsidRPr="00605E91">
              <w:rPr>
                <w:lang w:bidi="x-none"/>
              </w:rPr>
              <w:t>Faculty Carpool Miles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576D4" w14:textId="77777777" w:rsidR="006F331C" w:rsidRPr="00605E91" w:rsidRDefault="006F331C" w:rsidP="00DC21DA">
            <w:pPr>
              <w:jc w:val="center"/>
              <w:rPr>
                <w:lang w:bidi="x-none"/>
              </w:rPr>
            </w:pPr>
            <w:r w:rsidRPr="00605E91">
              <w:rPr>
                <w:lang w:bidi="x-none"/>
              </w:rPr>
              <w:t>BC</w:t>
            </w:r>
          </w:p>
        </w:tc>
      </w:tr>
      <w:tr w:rsidR="006F331C" w:rsidRPr="00605E91" w14:paraId="14CED72C"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62652"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90E67" w14:textId="77777777" w:rsidR="006F331C" w:rsidRPr="00605E91" w:rsidRDefault="006F331C" w:rsidP="00DC21DA">
            <w:pPr>
              <w:jc w:val="center"/>
              <w:rPr>
                <w:lang w:bidi="x-none"/>
              </w:rPr>
            </w:pPr>
            <w:r w:rsidRPr="00605E91">
              <w:rPr>
                <w:lang w:bidi="x-none"/>
              </w:rPr>
              <w:t>Staff Commuters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A4D93" w14:textId="77777777" w:rsidR="006F331C" w:rsidRPr="00605E91" w:rsidRDefault="006F331C" w:rsidP="00DC21DA">
            <w:pPr>
              <w:jc w:val="center"/>
              <w:rPr>
                <w:lang w:bidi="x-none"/>
              </w:rPr>
            </w:pPr>
            <w:r w:rsidRPr="00605E91">
              <w:rPr>
                <w:lang w:bidi="x-none"/>
              </w:rPr>
              <w:t>BY</w:t>
            </w:r>
          </w:p>
        </w:tc>
      </w:tr>
      <w:tr w:rsidR="006F331C" w:rsidRPr="00605E91" w14:paraId="7E00EF2F"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1737F"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8B809" w14:textId="77777777" w:rsidR="006F331C" w:rsidRPr="00605E91" w:rsidRDefault="006F331C" w:rsidP="00DC21DA">
            <w:pPr>
              <w:jc w:val="center"/>
              <w:rPr>
                <w:lang w:bidi="x-none"/>
              </w:rPr>
            </w:pPr>
            <w:r w:rsidRPr="00605E91">
              <w:rPr>
                <w:lang w:bidi="x-none"/>
              </w:rPr>
              <w:t>Staff One-Way Trips / Week</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91680" w14:textId="77777777" w:rsidR="006F331C" w:rsidRPr="00605E91" w:rsidRDefault="006F331C" w:rsidP="00DC21DA">
            <w:pPr>
              <w:jc w:val="center"/>
              <w:rPr>
                <w:lang w:bidi="x-none"/>
              </w:rPr>
            </w:pPr>
            <w:r w:rsidRPr="00605E91">
              <w:rPr>
                <w:lang w:bidi="x-none"/>
              </w:rPr>
              <w:t>BZ</w:t>
            </w:r>
          </w:p>
        </w:tc>
      </w:tr>
      <w:tr w:rsidR="006F331C" w:rsidRPr="00605E91" w14:paraId="7539F198"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4D13E"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BF20B" w14:textId="77777777" w:rsidR="006F331C" w:rsidRPr="00605E91" w:rsidRDefault="006F331C" w:rsidP="00DC21DA">
            <w:pPr>
              <w:jc w:val="center"/>
              <w:rPr>
                <w:lang w:bidi="x-none"/>
              </w:rPr>
            </w:pPr>
            <w:r w:rsidRPr="00605E91">
              <w:rPr>
                <w:lang w:bidi="x-none"/>
              </w:rPr>
              <w:t>Staff Weeks / Year</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16483" w14:textId="77777777" w:rsidR="006F331C" w:rsidRPr="00605E91" w:rsidRDefault="006F331C" w:rsidP="00DC21DA">
            <w:pPr>
              <w:jc w:val="center"/>
              <w:rPr>
                <w:lang w:bidi="x-none"/>
              </w:rPr>
            </w:pPr>
            <w:r w:rsidRPr="00605E91">
              <w:rPr>
                <w:lang w:bidi="x-none"/>
              </w:rPr>
              <w:t>CB</w:t>
            </w:r>
          </w:p>
        </w:tc>
      </w:tr>
      <w:tr w:rsidR="006F331C" w:rsidRPr="00605E91" w14:paraId="4BCE43DC"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645BC"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E1E54" w14:textId="77777777" w:rsidR="006F331C" w:rsidRPr="00605E91" w:rsidRDefault="006F331C" w:rsidP="00DC21DA">
            <w:pPr>
              <w:jc w:val="center"/>
              <w:rPr>
                <w:lang w:bidi="x-none"/>
              </w:rPr>
            </w:pPr>
            <w:r w:rsidRPr="00605E91">
              <w:rPr>
                <w:lang w:bidi="x-none"/>
              </w:rPr>
              <w:t>Staff Drive Alone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E5EF9" w14:textId="77777777" w:rsidR="006F331C" w:rsidRPr="00605E91" w:rsidRDefault="006F331C" w:rsidP="00DC21DA">
            <w:pPr>
              <w:jc w:val="center"/>
              <w:rPr>
                <w:lang w:bidi="x-none"/>
              </w:rPr>
            </w:pPr>
            <w:r w:rsidRPr="00605E91">
              <w:rPr>
                <w:lang w:bidi="x-none"/>
              </w:rPr>
              <w:t>CE</w:t>
            </w:r>
          </w:p>
        </w:tc>
      </w:tr>
      <w:tr w:rsidR="006F331C" w:rsidRPr="00605E91" w14:paraId="0946C97F"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E1AC0"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50AB3" w14:textId="77777777" w:rsidR="006F331C" w:rsidRPr="00605E91" w:rsidRDefault="006F331C" w:rsidP="00DC21DA">
            <w:pPr>
              <w:jc w:val="center"/>
              <w:rPr>
                <w:lang w:bidi="x-none"/>
              </w:rPr>
            </w:pPr>
            <w:r w:rsidRPr="00605E91">
              <w:rPr>
                <w:lang w:bidi="x-none"/>
              </w:rPr>
              <w:t>Staff Carpool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82B6E" w14:textId="77777777" w:rsidR="006F331C" w:rsidRPr="00605E91" w:rsidRDefault="006F331C" w:rsidP="00DC21DA">
            <w:pPr>
              <w:jc w:val="center"/>
              <w:rPr>
                <w:lang w:bidi="x-none"/>
              </w:rPr>
            </w:pPr>
            <w:r w:rsidRPr="00605E91">
              <w:rPr>
                <w:lang w:bidi="x-none"/>
              </w:rPr>
              <w:t>CF</w:t>
            </w:r>
          </w:p>
        </w:tc>
      </w:tr>
      <w:tr w:rsidR="006F331C" w:rsidRPr="00605E91" w14:paraId="00BD41A8"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CB8E4"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E0607" w14:textId="77777777" w:rsidR="006F331C" w:rsidRPr="00605E91" w:rsidRDefault="006F331C" w:rsidP="00DC21DA">
            <w:pPr>
              <w:jc w:val="center"/>
              <w:rPr>
                <w:lang w:bidi="x-none"/>
              </w:rPr>
            </w:pPr>
            <w:r w:rsidRPr="00605E91">
              <w:rPr>
                <w:lang w:bidi="x-none"/>
              </w:rPr>
              <w:t>Staff Drive Alone Miles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A167A" w14:textId="77777777" w:rsidR="006F331C" w:rsidRPr="00605E91" w:rsidRDefault="006F331C" w:rsidP="00DC21DA">
            <w:pPr>
              <w:jc w:val="center"/>
              <w:rPr>
                <w:lang w:bidi="x-none"/>
              </w:rPr>
            </w:pPr>
            <w:r w:rsidRPr="00605E91">
              <w:rPr>
                <w:lang w:bidi="x-none"/>
              </w:rPr>
              <w:t>CM</w:t>
            </w:r>
          </w:p>
        </w:tc>
      </w:tr>
      <w:tr w:rsidR="006F331C" w:rsidRPr="00605E91" w14:paraId="58DEC932"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C7CC1"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AF731" w14:textId="77777777" w:rsidR="006F331C" w:rsidRPr="00605E91" w:rsidRDefault="006F331C" w:rsidP="00DC21DA">
            <w:pPr>
              <w:jc w:val="center"/>
              <w:rPr>
                <w:lang w:bidi="x-none"/>
              </w:rPr>
            </w:pPr>
            <w:r w:rsidRPr="00605E91">
              <w:rPr>
                <w:lang w:bidi="x-none"/>
              </w:rPr>
              <w:t>Staff Carpool Miles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9FA93" w14:textId="77777777" w:rsidR="006F331C" w:rsidRPr="00605E91" w:rsidRDefault="006F331C" w:rsidP="00DC21DA">
            <w:pPr>
              <w:jc w:val="center"/>
              <w:rPr>
                <w:lang w:bidi="x-none"/>
              </w:rPr>
            </w:pPr>
            <w:r w:rsidRPr="00605E91">
              <w:rPr>
                <w:lang w:bidi="x-none"/>
              </w:rPr>
              <w:t>CN</w:t>
            </w:r>
          </w:p>
        </w:tc>
      </w:tr>
      <w:tr w:rsidR="006F331C" w:rsidRPr="00605E91" w14:paraId="351ED52C"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95D4D" w14:textId="77777777" w:rsidR="006F331C" w:rsidRPr="00605E91" w:rsidRDefault="006F331C" w:rsidP="00DC21DA">
            <w:pPr>
              <w:jc w:val="center"/>
              <w:rPr>
                <w:lang w:bidi="x-none"/>
              </w:rPr>
            </w:pPr>
            <w:r w:rsidRPr="00605E91">
              <w:rPr>
                <w:lang w:bidi="x-none"/>
              </w:rPr>
              <w:t>Input</w:t>
            </w: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D4085" w14:textId="77777777" w:rsidR="006F331C" w:rsidRPr="00605E91" w:rsidRDefault="006F331C" w:rsidP="00DC21DA">
            <w:pPr>
              <w:jc w:val="center"/>
              <w:rPr>
                <w:lang w:bidi="x-none"/>
              </w:rPr>
            </w:pPr>
            <w:r w:rsidRPr="00605E91">
              <w:rPr>
                <w:lang w:bidi="x-none"/>
              </w:rPr>
              <w:t>Full-time students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0F75E" w14:textId="77777777" w:rsidR="006F331C" w:rsidRPr="00605E91" w:rsidRDefault="006F331C" w:rsidP="00DC21DA">
            <w:pPr>
              <w:jc w:val="center"/>
              <w:rPr>
                <w:lang w:bidi="x-none"/>
              </w:rPr>
            </w:pPr>
            <w:r w:rsidRPr="00605E91">
              <w:rPr>
                <w:lang w:bidi="x-none"/>
              </w:rPr>
              <w:t>G</w:t>
            </w:r>
          </w:p>
        </w:tc>
      </w:tr>
      <w:tr w:rsidR="006F331C" w:rsidRPr="00605E91" w14:paraId="05A1B725"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4D4EB"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936B4" w14:textId="77777777" w:rsidR="006F331C" w:rsidRPr="00605E91" w:rsidRDefault="006F331C" w:rsidP="00DC21DA">
            <w:pPr>
              <w:jc w:val="center"/>
              <w:rPr>
                <w:lang w:bidi="x-none"/>
              </w:rPr>
            </w:pPr>
            <w:r w:rsidRPr="00605E91">
              <w:rPr>
                <w:lang w:bidi="x-none"/>
              </w:rPr>
              <w:t>Part-time students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470A1" w14:textId="77777777" w:rsidR="006F331C" w:rsidRPr="00605E91" w:rsidRDefault="006F331C" w:rsidP="00DC21DA">
            <w:pPr>
              <w:jc w:val="center"/>
              <w:rPr>
                <w:lang w:bidi="x-none"/>
              </w:rPr>
            </w:pPr>
            <w:r w:rsidRPr="00605E91">
              <w:rPr>
                <w:lang w:bidi="x-none"/>
              </w:rPr>
              <w:t>H</w:t>
            </w:r>
          </w:p>
        </w:tc>
      </w:tr>
      <w:tr w:rsidR="006F331C" w:rsidRPr="00605E91" w14:paraId="06C80574"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BB413"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80820" w14:textId="77777777" w:rsidR="006F331C" w:rsidRPr="00605E91" w:rsidRDefault="006F331C" w:rsidP="00DC21DA">
            <w:pPr>
              <w:jc w:val="center"/>
              <w:rPr>
                <w:lang w:bidi="x-none"/>
              </w:rPr>
            </w:pPr>
            <w:r w:rsidRPr="00605E91">
              <w:rPr>
                <w:lang w:bidi="x-none"/>
              </w:rPr>
              <w:t>Summerschool students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CC1EA" w14:textId="77777777" w:rsidR="006F331C" w:rsidRPr="00605E91" w:rsidRDefault="006F331C" w:rsidP="00DC21DA">
            <w:pPr>
              <w:jc w:val="center"/>
              <w:rPr>
                <w:lang w:bidi="x-none"/>
              </w:rPr>
            </w:pPr>
            <w:r w:rsidRPr="00605E91">
              <w:rPr>
                <w:lang w:bidi="x-none"/>
              </w:rPr>
              <w:t>I</w:t>
            </w:r>
          </w:p>
        </w:tc>
      </w:tr>
      <w:tr w:rsidR="006F331C" w:rsidRPr="00605E91" w14:paraId="10501A0E"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5E5A4"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7AEC1" w14:textId="77777777" w:rsidR="006F331C" w:rsidRPr="00605E91" w:rsidRDefault="006F331C" w:rsidP="00DC21DA">
            <w:pPr>
              <w:jc w:val="center"/>
              <w:rPr>
                <w:lang w:bidi="x-none"/>
              </w:rPr>
            </w:pPr>
            <w:r w:rsidRPr="00605E91">
              <w:rPr>
                <w:lang w:bidi="x-none"/>
              </w:rPr>
              <w:t>Faculty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7E459" w14:textId="77777777" w:rsidR="006F331C" w:rsidRPr="00605E91" w:rsidRDefault="006F331C" w:rsidP="00DC21DA">
            <w:pPr>
              <w:jc w:val="center"/>
              <w:rPr>
                <w:lang w:bidi="x-none"/>
              </w:rPr>
            </w:pPr>
            <w:r w:rsidRPr="00605E91">
              <w:rPr>
                <w:lang w:bidi="x-none"/>
              </w:rPr>
              <w:t>J</w:t>
            </w:r>
          </w:p>
        </w:tc>
      </w:tr>
      <w:tr w:rsidR="006F331C" w:rsidRPr="00605E91" w14:paraId="719D2262"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437F7"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3F75D" w14:textId="77777777" w:rsidR="006F331C" w:rsidRPr="00605E91" w:rsidRDefault="006F331C" w:rsidP="00DC21DA">
            <w:pPr>
              <w:jc w:val="center"/>
              <w:rPr>
                <w:lang w:bidi="x-none"/>
              </w:rPr>
            </w:pPr>
            <w:r w:rsidRPr="00605E91">
              <w:rPr>
                <w:lang w:bidi="x-none"/>
              </w:rPr>
              <w:t>Staff</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595B5" w14:textId="77777777" w:rsidR="006F331C" w:rsidRPr="00605E91" w:rsidRDefault="006F331C" w:rsidP="00DC21DA">
            <w:pPr>
              <w:jc w:val="center"/>
              <w:rPr>
                <w:lang w:bidi="x-none"/>
              </w:rPr>
            </w:pPr>
            <w:r w:rsidRPr="00605E91">
              <w:rPr>
                <w:lang w:bidi="x-none"/>
              </w:rPr>
              <w:t>K</w:t>
            </w:r>
          </w:p>
        </w:tc>
      </w:tr>
      <w:tr w:rsidR="006F331C" w:rsidRPr="00605E91" w14:paraId="042E7EF4"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CFD71"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3AB00" w14:textId="77777777" w:rsidR="006F331C" w:rsidRPr="00605E91" w:rsidRDefault="006F331C" w:rsidP="00DC21DA">
            <w:pPr>
              <w:jc w:val="center"/>
              <w:rPr>
                <w:lang w:bidi="x-none"/>
              </w:rPr>
            </w:pPr>
            <w:r w:rsidRPr="00605E91">
              <w:rPr>
                <w:lang w:bidi="x-none"/>
              </w:rPr>
              <w:t>Total building (sq. ft.)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3D566" w14:textId="77777777" w:rsidR="006F331C" w:rsidRPr="00605E91" w:rsidRDefault="006F331C" w:rsidP="00DC21DA">
            <w:pPr>
              <w:jc w:val="center"/>
              <w:rPr>
                <w:lang w:bidi="x-none"/>
              </w:rPr>
            </w:pPr>
            <w:r w:rsidRPr="00605E91">
              <w:rPr>
                <w:lang w:bidi="x-none"/>
              </w:rPr>
              <w:t>L</w:t>
            </w:r>
          </w:p>
        </w:tc>
      </w:tr>
      <w:tr w:rsidR="006F331C" w:rsidRPr="00605E91" w14:paraId="7307994C"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90267"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DDFE4" w14:textId="77777777" w:rsidR="006F331C" w:rsidRPr="00605E91" w:rsidRDefault="006F331C" w:rsidP="00DC21DA">
            <w:pPr>
              <w:jc w:val="center"/>
              <w:rPr>
                <w:lang w:bidi="x-none"/>
              </w:rPr>
            </w:pPr>
            <w:r w:rsidRPr="00605E91">
              <w:rPr>
                <w:lang w:bidi="x-none"/>
              </w:rPr>
              <w:t>Total research building (sq. ft.)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309B0" w14:textId="77777777" w:rsidR="006F331C" w:rsidRPr="00605E91" w:rsidRDefault="006F331C" w:rsidP="00DC21DA">
            <w:pPr>
              <w:jc w:val="center"/>
              <w:rPr>
                <w:lang w:bidi="x-none"/>
              </w:rPr>
            </w:pPr>
            <w:r w:rsidRPr="00605E91">
              <w:rPr>
                <w:lang w:bidi="x-none"/>
              </w:rPr>
              <w:t>M</w:t>
            </w:r>
          </w:p>
        </w:tc>
      </w:tr>
      <w:tr w:rsidR="006F331C" w:rsidRPr="00605E91" w14:paraId="1C3EB0CA"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0FC30"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76F6B" w14:textId="77777777" w:rsidR="006F331C" w:rsidRPr="00605E91" w:rsidRDefault="006F331C" w:rsidP="00DC21DA">
            <w:pPr>
              <w:jc w:val="center"/>
              <w:rPr>
                <w:lang w:bidi="x-none"/>
              </w:rPr>
            </w:pPr>
            <w:r w:rsidRPr="00605E91">
              <w:rPr>
                <w:lang w:bidi="x-none"/>
              </w:rPr>
              <w:t>Natural gas (MMBtu)</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A1544" w14:textId="77777777" w:rsidR="006F331C" w:rsidRPr="00605E91" w:rsidRDefault="006F331C" w:rsidP="00DC21DA">
            <w:pPr>
              <w:jc w:val="center"/>
              <w:rPr>
                <w:lang w:bidi="x-none"/>
              </w:rPr>
            </w:pPr>
            <w:r w:rsidRPr="00605E91">
              <w:rPr>
                <w:lang w:bidi="x-none"/>
              </w:rPr>
              <w:t>AI</w:t>
            </w:r>
          </w:p>
        </w:tc>
      </w:tr>
      <w:tr w:rsidR="006F331C" w:rsidRPr="00605E91" w14:paraId="755E2C01"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0FC1E"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4D05C" w14:textId="77777777" w:rsidR="006F331C" w:rsidRPr="00605E91" w:rsidRDefault="006F331C" w:rsidP="00DC21DA">
            <w:pPr>
              <w:jc w:val="center"/>
              <w:rPr>
                <w:lang w:bidi="x-none"/>
              </w:rPr>
            </w:pPr>
            <w:r w:rsidRPr="00605E91">
              <w:rPr>
                <w:lang w:bidi="x-none"/>
              </w:rPr>
              <w:t>Gasoline fleet (gallons)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A1B83" w14:textId="77777777" w:rsidR="006F331C" w:rsidRPr="00605E91" w:rsidRDefault="006F331C" w:rsidP="00DC21DA">
            <w:pPr>
              <w:jc w:val="center"/>
              <w:rPr>
                <w:lang w:bidi="x-none"/>
              </w:rPr>
            </w:pPr>
            <w:r w:rsidRPr="00605E91">
              <w:rPr>
                <w:lang w:bidi="x-none"/>
              </w:rPr>
              <w:t>AV</w:t>
            </w:r>
          </w:p>
        </w:tc>
      </w:tr>
      <w:tr w:rsidR="006F331C" w:rsidRPr="00605E91" w14:paraId="33EBC4B1"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B2424"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643A1" w14:textId="77777777" w:rsidR="006F331C" w:rsidRPr="00605E91" w:rsidRDefault="006F331C" w:rsidP="00DC21DA">
            <w:pPr>
              <w:jc w:val="center"/>
              <w:rPr>
                <w:lang w:bidi="x-none"/>
              </w:rPr>
            </w:pPr>
            <w:r w:rsidRPr="00605E91">
              <w:rPr>
                <w:lang w:bidi="x-none"/>
              </w:rPr>
              <w:t>Diesel fleet (gallons)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D6D6E" w14:textId="77777777" w:rsidR="006F331C" w:rsidRPr="00605E91" w:rsidRDefault="006F331C" w:rsidP="00DC21DA">
            <w:pPr>
              <w:jc w:val="center"/>
              <w:rPr>
                <w:lang w:bidi="x-none"/>
              </w:rPr>
            </w:pPr>
            <w:r w:rsidRPr="00605E91">
              <w:rPr>
                <w:lang w:bidi="x-none"/>
              </w:rPr>
              <w:t>AW</w:t>
            </w:r>
          </w:p>
        </w:tc>
      </w:tr>
      <w:tr w:rsidR="006F331C" w:rsidRPr="00605E91" w14:paraId="5C10D18E"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588D3"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EEE47" w14:textId="77777777" w:rsidR="006F331C" w:rsidRPr="00605E91" w:rsidRDefault="006F331C" w:rsidP="00DC21DA">
            <w:pPr>
              <w:jc w:val="center"/>
              <w:rPr>
                <w:lang w:bidi="x-none"/>
              </w:rPr>
            </w:pPr>
            <w:r w:rsidRPr="00605E91">
              <w:rPr>
                <w:lang w:bidi="x-none"/>
              </w:rPr>
              <w:t>HFC-134a (lbs.)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7FBB9" w14:textId="77777777" w:rsidR="006F331C" w:rsidRPr="00605E91" w:rsidRDefault="006F331C" w:rsidP="00DC21DA">
            <w:pPr>
              <w:jc w:val="center"/>
              <w:rPr>
                <w:lang w:bidi="x-none"/>
              </w:rPr>
            </w:pPr>
            <w:r w:rsidRPr="00605E91">
              <w:rPr>
                <w:lang w:bidi="x-none"/>
              </w:rPr>
              <w:t>BF</w:t>
            </w:r>
          </w:p>
        </w:tc>
      </w:tr>
      <w:tr w:rsidR="006F331C" w:rsidRPr="00605E91" w14:paraId="4BA3B3E0"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41D44"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363AA" w14:textId="77777777" w:rsidR="006F331C" w:rsidRPr="00605E91" w:rsidRDefault="006F331C" w:rsidP="00DC21DA">
            <w:pPr>
              <w:jc w:val="center"/>
              <w:rPr>
                <w:lang w:bidi="x-none"/>
              </w:rPr>
            </w:pPr>
            <w:r w:rsidRPr="00605E91">
              <w:rPr>
                <w:lang w:bidi="x-none"/>
              </w:rPr>
              <w:t>HFC-404a (lbs.)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33FCE" w14:textId="77777777" w:rsidR="006F331C" w:rsidRPr="00605E91" w:rsidRDefault="006F331C" w:rsidP="00DC21DA">
            <w:pPr>
              <w:jc w:val="center"/>
              <w:rPr>
                <w:lang w:bidi="x-none"/>
              </w:rPr>
            </w:pPr>
            <w:r w:rsidRPr="00605E91">
              <w:rPr>
                <w:lang w:bidi="x-none"/>
              </w:rPr>
              <w:t>BG</w:t>
            </w:r>
          </w:p>
        </w:tc>
      </w:tr>
      <w:tr w:rsidR="006F331C" w:rsidRPr="00605E91" w14:paraId="1598BE20"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883BF"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31B64" w14:textId="77777777" w:rsidR="006F331C" w:rsidRPr="00605E91" w:rsidRDefault="006F331C" w:rsidP="00DC21DA">
            <w:pPr>
              <w:jc w:val="center"/>
              <w:rPr>
                <w:lang w:bidi="x-none"/>
              </w:rPr>
            </w:pPr>
            <w:r w:rsidRPr="00605E91">
              <w:rPr>
                <w:lang w:bidi="x-none"/>
              </w:rPr>
              <w:t>HCFC-22 (lbs.)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E9F79" w14:textId="77777777" w:rsidR="006F331C" w:rsidRPr="00605E91" w:rsidRDefault="006F331C" w:rsidP="00DC21DA">
            <w:pPr>
              <w:jc w:val="center"/>
              <w:rPr>
                <w:lang w:bidi="x-none"/>
              </w:rPr>
            </w:pPr>
            <w:r w:rsidRPr="00605E91">
              <w:rPr>
                <w:lang w:bidi="x-none"/>
              </w:rPr>
              <w:t>BH</w:t>
            </w:r>
          </w:p>
        </w:tc>
      </w:tr>
      <w:tr w:rsidR="006F331C" w:rsidRPr="00605E91" w14:paraId="5AA494EC"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28AF3"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93E09" w14:textId="77777777" w:rsidR="006F331C" w:rsidRPr="00605E91" w:rsidRDefault="006F331C" w:rsidP="00DC21DA">
            <w:pPr>
              <w:jc w:val="center"/>
              <w:rPr>
                <w:lang w:bidi="x-none"/>
              </w:rPr>
            </w:pPr>
            <w:r w:rsidRPr="00605E91">
              <w:rPr>
                <w:lang w:bidi="x-none"/>
              </w:rPr>
              <w:t>Other refrigerants (lbs.)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D83C2" w14:textId="77777777" w:rsidR="006F331C" w:rsidRPr="00605E91" w:rsidRDefault="006F331C" w:rsidP="00DC21DA">
            <w:pPr>
              <w:jc w:val="center"/>
              <w:rPr>
                <w:lang w:bidi="x-none"/>
              </w:rPr>
            </w:pPr>
            <w:r w:rsidRPr="00605E91">
              <w:rPr>
                <w:lang w:bidi="x-none"/>
              </w:rPr>
              <w:t>BK</w:t>
            </w:r>
          </w:p>
        </w:tc>
      </w:tr>
      <w:tr w:rsidR="006F331C" w:rsidRPr="00605E91" w14:paraId="11BECE8B"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20DB4"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4A8C7" w14:textId="77777777" w:rsidR="006F331C" w:rsidRPr="00605E91" w:rsidRDefault="006F331C" w:rsidP="00DC21DA">
            <w:pPr>
              <w:jc w:val="center"/>
              <w:rPr>
                <w:lang w:bidi="x-none"/>
              </w:rPr>
            </w:pPr>
            <w:r w:rsidRPr="00605E91">
              <w:rPr>
                <w:lang w:bidi="x-none"/>
              </w:rPr>
              <w:t>Synthetic fertilizer (lbs.)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BB3D5" w14:textId="77777777" w:rsidR="006F331C" w:rsidRPr="00605E91" w:rsidRDefault="006F331C" w:rsidP="00DC21DA">
            <w:pPr>
              <w:jc w:val="center"/>
              <w:rPr>
                <w:lang w:bidi="x-none"/>
              </w:rPr>
            </w:pPr>
            <w:r w:rsidRPr="00605E91">
              <w:rPr>
                <w:lang w:bidi="x-none"/>
              </w:rPr>
              <w:t>BL</w:t>
            </w:r>
          </w:p>
        </w:tc>
      </w:tr>
      <w:tr w:rsidR="006F331C" w:rsidRPr="00605E91" w14:paraId="11BDA4EF"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66E01"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70F73" w14:textId="77777777" w:rsidR="006F331C" w:rsidRPr="00605E91" w:rsidRDefault="006F331C" w:rsidP="00DC21DA">
            <w:pPr>
              <w:jc w:val="center"/>
              <w:rPr>
                <w:lang w:bidi="x-none"/>
              </w:rPr>
            </w:pPr>
            <w:r w:rsidRPr="00605E91">
              <w:rPr>
                <w:lang w:bidi="x-none"/>
              </w:rPr>
              <w:t>% Nitrogen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8AEFC" w14:textId="77777777" w:rsidR="006F331C" w:rsidRPr="00605E91" w:rsidRDefault="006F331C" w:rsidP="00DC21DA">
            <w:pPr>
              <w:jc w:val="center"/>
              <w:rPr>
                <w:lang w:bidi="x-none"/>
              </w:rPr>
            </w:pPr>
            <w:r w:rsidRPr="00605E91">
              <w:rPr>
                <w:lang w:bidi="x-none"/>
              </w:rPr>
              <w:t>BM</w:t>
            </w:r>
          </w:p>
        </w:tc>
      </w:tr>
      <w:tr w:rsidR="006F331C" w:rsidRPr="00605E91" w14:paraId="54B11EBE"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D1ED2"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42864" w14:textId="77777777" w:rsidR="006F331C" w:rsidRPr="00605E91" w:rsidRDefault="006F331C" w:rsidP="00DC21DA">
            <w:pPr>
              <w:jc w:val="center"/>
              <w:rPr>
                <w:lang w:bidi="x-none"/>
              </w:rPr>
            </w:pPr>
            <w:r w:rsidRPr="00605E91">
              <w:rPr>
                <w:lang w:bidi="x-none"/>
              </w:rPr>
              <w:t>Purchased electricity (kWh)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E76D1" w14:textId="77777777" w:rsidR="006F331C" w:rsidRPr="00605E91" w:rsidRDefault="006F331C" w:rsidP="00DC21DA">
            <w:pPr>
              <w:jc w:val="center"/>
              <w:rPr>
                <w:lang w:bidi="x-none"/>
              </w:rPr>
            </w:pPr>
            <w:r w:rsidRPr="00605E91">
              <w:rPr>
                <w:lang w:bidi="x-none"/>
              </w:rPr>
              <w:t>BX</w:t>
            </w:r>
          </w:p>
        </w:tc>
      </w:tr>
      <w:tr w:rsidR="006F331C" w:rsidRPr="00605E91" w14:paraId="3A36B308"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551AA"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ABD26" w14:textId="77777777" w:rsidR="006F331C" w:rsidRPr="00605E91" w:rsidRDefault="006F331C" w:rsidP="00DC21DA">
            <w:pPr>
              <w:jc w:val="center"/>
              <w:rPr>
                <w:lang w:bidi="x-none"/>
              </w:rPr>
            </w:pPr>
            <w:r w:rsidRPr="00605E91">
              <w:rPr>
                <w:lang w:bidi="x-none"/>
              </w:rPr>
              <w:t>Directly financed faculty/staff air miles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74534" w14:textId="77777777" w:rsidR="006F331C" w:rsidRPr="00605E91" w:rsidRDefault="006F331C" w:rsidP="00DC21DA">
            <w:pPr>
              <w:jc w:val="center"/>
              <w:rPr>
                <w:lang w:bidi="x-none"/>
              </w:rPr>
            </w:pPr>
            <w:r w:rsidRPr="00605E91">
              <w:rPr>
                <w:lang w:bidi="x-none"/>
              </w:rPr>
              <w:t>CK</w:t>
            </w:r>
          </w:p>
        </w:tc>
      </w:tr>
      <w:tr w:rsidR="006F331C" w:rsidRPr="00605E91" w14:paraId="585EA015"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F1D42"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267A3" w14:textId="77777777" w:rsidR="006F331C" w:rsidRPr="00605E91" w:rsidRDefault="006F331C" w:rsidP="00DC21DA">
            <w:pPr>
              <w:jc w:val="center"/>
              <w:rPr>
                <w:lang w:bidi="x-none"/>
              </w:rPr>
            </w:pPr>
            <w:r w:rsidRPr="00605E91">
              <w:rPr>
                <w:lang w:bidi="x-none"/>
              </w:rPr>
              <w:t>Directly financed student air miles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E98F4" w14:textId="77777777" w:rsidR="006F331C" w:rsidRPr="00605E91" w:rsidRDefault="006F331C" w:rsidP="00DC21DA">
            <w:pPr>
              <w:jc w:val="center"/>
              <w:rPr>
                <w:lang w:bidi="x-none"/>
              </w:rPr>
            </w:pPr>
            <w:r w:rsidRPr="00605E91">
              <w:rPr>
                <w:lang w:bidi="x-none"/>
              </w:rPr>
              <w:t>CL</w:t>
            </w:r>
          </w:p>
        </w:tc>
      </w:tr>
      <w:tr w:rsidR="006F331C" w:rsidRPr="00605E91" w14:paraId="19BB8650"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01E7E"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EB1F2" w14:textId="77777777" w:rsidR="006F331C" w:rsidRPr="00605E91" w:rsidRDefault="006F331C" w:rsidP="00DC21DA">
            <w:pPr>
              <w:jc w:val="center"/>
              <w:rPr>
                <w:lang w:bidi="x-none"/>
              </w:rPr>
            </w:pPr>
            <w:r w:rsidRPr="00605E91">
              <w:rPr>
                <w:lang w:bidi="x-none"/>
              </w:rPr>
              <w:t>Directly financed bus miles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D7984" w14:textId="77777777" w:rsidR="006F331C" w:rsidRPr="00605E91" w:rsidRDefault="006F331C" w:rsidP="00DC21DA">
            <w:pPr>
              <w:jc w:val="center"/>
              <w:rPr>
                <w:lang w:bidi="x-none"/>
              </w:rPr>
            </w:pPr>
            <w:r w:rsidRPr="00605E91">
              <w:rPr>
                <w:lang w:bidi="x-none"/>
              </w:rPr>
              <w:t>CO</w:t>
            </w:r>
          </w:p>
        </w:tc>
      </w:tr>
      <w:tr w:rsidR="006F331C" w:rsidRPr="00605E91" w14:paraId="30CD0240"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C57DF"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3D151" w14:textId="77777777" w:rsidR="006F331C" w:rsidRPr="00605E91" w:rsidRDefault="006F331C" w:rsidP="00DC21DA">
            <w:pPr>
              <w:jc w:val="center"/>
              <w:rPr>
                <w:lang w:bidi="x-none"/>
              </w:rPr>
            </w:pPr>
            <w:r w:rsidRPr="00605E91">
              <w:rPr>
                <w:lang w:bidi="x-none"/>
              </w:rPr>
              <w:t>Personal mileage reimbursement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1D8F4" w14:textId="77777777" w:rsidR="006F331C" w:rsidRPr="00605E91" w:rsidRDefault="006F331C" w:rsidP="00DC21DA">
            <w:pPr>
              <w:jc w:val="center"/>
              <w:rPr>
                <w:lang w:bidi="x-none"/>
              </w:rPr>
            </w:pPr>
            <w:r w:rsidRPr="00605E91">
              <w:rPr>
                <w:lang w:bidi="x-none"/>
              </w:rPr>
              <w:t>CQ</w:t>
            </w:r>
          </w:p>
        </w:tc>
      </w:tr>
      <w:tr w:rsidR="006F331C" w:rsidRPr="00605E91" w14:paraId="75FD6691"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C2385"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B9016" w14:textId="77777777" w:rsidR="006F331C" w:rsidRPr="00605E91" w:rsidRDefault="006F331C" w:rsidP="00DC21DA">
            <w:pPr>
              <w:jc w:val="center"/>
              <w:rPr>
                <w:lang w:bidi="x-none"/>
              </w:rPr>
            </w:pPr>
            <w:r w:rsidRPr="00605E91">
              <w:rPr>
                <w:lang w:bidi="x-none"/>
              </w:rPr>
              <w:t>Study abroad air miles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395FA" w14:textId="77777777" w:rsidR="006F331C" w:rsidRPr="00605E91" w:rsidRDefault="006F331C" w:rsidP="00DC21DA">
            <w:pPr>
              <w:jc w:val="center"/>
              <w:rPr>
                <w:lang w:bidi="x-none"/>
              </w:rPr>
            </w:pPr>
            <w:r w:rsidRPr="00605E91">
              <w:rPr>
                <w:lang w:bidi="x-none"/>
              </w:rPr>
              <w:t>CR</w:t>
            </w:r>
          </w:p>
        </w:tc>
      </w:tr>
      <w:tr w:rsidR="006F331C" w:rsidRPr="00605E91" w14:paraId="562969FD"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4C536"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E57E5" w14:textId="77777777" w:rsidR="006F331C" w:rsidRPr="00605E91" w:rsidRDefault="006F331C" w:rsidP="00DC21DA">
            <w:pPr>
              <w:jc w:val="center"/>
              <w:rPr>
                <w:lang w:bidi="x-none"/>
              </w:rPr>
            </w:pPr>
            <w:r w:rsidRPr="00605E91">
              <w:rPr>
                <w:lang w:bidi="x-none"/>
              </w:rPr>
              <w:t>Solid waste no CH4 recovery (short tons)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EDDA2" w14:textId="77777777" w:rsidR="006F331C" w:rsidRPr="00605E91" w:rsidRDefault="006F331C" w:rsidP="00DC21DA">
            <w:pPr>
              <w:jc w:val="center"/>
              <w:rPr>
                <w:lang w:bidi="x-none"/>
              </w:rPr>
            </w:pPr>
            <w:r w:rsidRPr="00605E91">
              <w:rPr>
                <w:lang w:bidi="x-none"/>
              </w:rPr>
              <w:t>CZ</w:t>
            </w:r>
          </w:p>
        </w:tc>
      </w:tr>
      <w:tr w:rsidR="006F331C" w:rsidRPr="00605E91" w14:paraId="62CD2CAD"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3FC75"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8DD69" w14:textId="77777777" w:rsidR="006F331C" w:rsidRPr="00605E91" w:rsidRDefault="006F331C" w:rsidP="00DC21DA">
            <w:pPr>
              <w:jc w:val="center"/>
              <w:rPr>
                <w:lang w:bidi="x-none"/>
              </w:rPr>
            </w:pPr>
            <w:r w:rsidRPr="00605E91">
              <w:rPr>
                <w:lang w:bidi="x-none"/>
              </w:rPr>
              <w:t>Wastewater aerobic (gallons)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2D4DE" w14:textId="77777777" w:rsidR="006F331C" w:rsidRPr="00605E91" w:rsidRDefault="006F331C" w:rsidP="00DC21DA">
            <w:pPr>
              <w:jc w:val="center"/>
              <w:rPr>
                <w:lang w:bidi="x-none"/>
              </w:rPr>
            </w:pPr>
            <w:r w:rsidRPr="00605E91">
              <w:rPr>
                <w:lang w:bidi="x-none"/>
              </w:rPr>
              <w:t>DD</w:t>
            </w:r>
          </w:p>
        </w:tc>
      </w:tr>
      <w:tr w:rsidR="006F331C" w:rsidRPr="00605E91" w14:paraId="1E430BCE"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7D57E"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62B27" w14:textId="77777777" w:rsidR="006F331C" w:rsidRPr="00605E91" w:rsidRDefault="006F331C" w:rsidP="00DC21DA">
            <w:pPr>
              <w:jc w:val="center"/>
              <w:rPr>
                <w:lang w:bidi="x-none"/>
              </w:rPr>
            </w:pPr>
            <w:r w:rsidRPr="00605E91">
              <w:rPr>
                <w:lang w:bidi="x-none"/>
              </w:rPr>
              <w:t>Paper 0% recycled (lbs.)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22BB2" w14:textId="77777777" w:rsidR="006F331C" w:rsidRPr="00605E91" w:rsidRDefault="006F331C" w:rsidP="00DC21DA">
            <w:pPr>
              <w:jc w:val="center"/>
              <w:rPr>
                <w:lang w:bidi="x-none"/>
              </w:rPr>
            </w:pPr>
            <w:r w:rsidRPr="00605E91">
              <w:rPr>
                <w:lang w:bidi="x-none"/>
              </w:rPr>
              <w:t>DG</w:t>
            </w:r>
          </w:p>
        </w:tc>
      </w:tr>
      <w:tr w:rsidR="006F331C" w:rsidRPr="00605E91" w14:paraId="005C4487"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8A3E6"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45BA9" w14:textId="77777777" w:rsidR="006F331C" w:rsidRPr="00605E91" w:rsidRDefault="006F331C" w:rsidP="00DC21DA">
            <w:pPr>
              <w:jc w:val="center"/>
              <w:rPr>
                <w:lang w:bidi="x-none"/>
              </w:rPr>
            </w:pPr>
            <w:r w:rsidRPr="00605E91">
              <w:rPr>
                <w:lang w:bidi="x-none"/>
              </w:rPr>
              <w:t>Paper 100% recycled (lbs.)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D4992" w14:textId="77777777" w:rsidR="006F331C" w:rsidRPr="00605E91" w:rsidRDefault="006F331C" w:rsidP="00DC21DA">
            <w:pPr>
              <w:jc w:val="center"/>
              <w:rPr>
                <w:lang w:bidi="x-none"/>
              </w:rPr>
            </w:pPr>
            <w:r w:rsidRPr="00605E91">
              <w:rPr>
                <w:lang w:bidi="x-none"/>
              </w:rPr>
              <w:t>DK</w:t>
            </w:r>
          </w:p>
        </w:tc>
      </w:tr>
      <w:tr w:rsidR="006F331C" w:rsidRPr="00605E91" w14:paraId="2E605CB7"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DA477" w14:textId="77777777" w:rsidR="006F331C" w:rsidRPr="00605E91" w:rsidRDefault="006F331C"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B56A0" w14:textId="77777777" w:rsidR="006F331C" w:rsidRPr="00605E91" w:rsidRDefault="007A38D4" w:rsidP="00DC21DA">
            <w:pPr>
              <w:jc w:val="center"/>
              <w:rPr>
                <w:lang w:bidi="x-none"/>
              </w:rPr>
            </w:pPr>
            <w:r w:rsidRPr="00605E91">
              <w:rPr>
                <w:lang w:bidi="x-none"/>
              </w:rPr>
              <w:t>Offsets (high end retail offsets with a</w:t>
            </w:r>
            <w:r w:rsidR="006F331C" w:rsidRPr="00605E91">
              <w:rPr>
                <w:lang w:bidi="x-none"/>
              </w:rPr>
              <w:t>dditionality)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727D8" w14:textId="77777777" w:rsidR="006F331C" w:rsidRPr="00605E91" w:rsidRDefault="006F331C" w:rsidP="00DC21DA">
            <w:pPr>
              <w:jc w:val="center"/>
              <w:rPr>
                <w:lang w:bidi="x-none"/>
              </w:rPr>
            </w:pPr>
            <w:r w:rsidRPr="00605E91">
              <w:rPr>
                <w:lang w:bidi="x-none"/>
              </w:rPr>
              <w:t>DN</w:t>
            </w:r>
          </w:p>
        </w:tc>
      </w:tr>
      <w:tr w:rsidR="007A38D4" w:rsidRPr="00605E91" w14:paraId="771022B8" w14:textId="77777777" w:rsidTr="00DC21DA">
        <w:trPr>
          <w:trHeight w:val="186"/>
          <w:jc w:val="center"/>
        </w:trPr>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1AAC0" w14:textId="77777777" w:rsidR="007A38D4" w:rsidRPr="00605E91" w:rsidRDefault="007A38D4" w:rsidP="00DC21DA">
            <w:pPr>
              <w:jc w:val="center"/>
              <w:rPr>
                <w:lang w:bidi="x-none"/>
              </w:rPr>
            </w:pP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07286" w14:textId="77777777" w:rsidR="007A38D4" w:rsidRPr="00605E91" w:rsidRDefault="007A38D4" w:rsidP="00DC21DA">
            <w:pPr>
              <w:jc w:val="center"/>
              <w:rPr>
                <w:lang w:bidi="x-none"/>
              </w:rPr>
            </w:pPr>
            <w:r w:rsidRPr="00605E91">
              <w:rPr>
                <w:lang w:bidi="x-none"/>
              </w:rPr>
              <w:t>Green power certificates (non-additional)</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6524C" w14:textId="77777777" w:rsidR="007A38D4" w:rsidRPr="00605E91" w:rsidRDefault="007A38D4" w:rsidP="00DC21DA">
            <w:pPr>
              <w:jc w:val="center"/>
              <w:rPr>
                <w:lang w:bidi="x-none"/>
              </w:rPr>
            </w:pPr>
            <w:r w:rsidRPr="00605E91">
              <w:rPr>
                <w:lang w:bidi="x-none"/>
              </w:rPr>
              <w:t>DQ</w:t>
            </w:r>
          </w:p>
        </w:tc>
      </w:tr>
    </w:tbl>
    <w:p w14:paraId="4110E973" w14:textId="77777777" w:rsidR="006F331C" w:rsidRPr="00197CD9" w:rsidRDefault="006F331C">
      <w:pPr>
        <w:rPr>
          <w:color w:val="0000FF"/>
        </w:rPr>
      </w:pPr>
    </w:p>
    <w:p w14:paraId="40D8BD50" w14:textId="77777777" w:rsidR="00424CEF" w:rsidRPr="00197CD9" w:rsidRDefault="00424CEF">
      <w:pPr>
        <w:rPr>
          <w:color w:val="0000FF"/>
        </w:rPr>
      </w:pPr>
    </w:p>
    <w:p w14:paraId="55E38C6A" w14:textId="77777777" w:rsidR="00464852" w:rsidRDefault="00464852"/>
    <w:p w14:paraId="158E9CFF" w14:textId="77777777" w:rsidR="0038055D" w:rsidRDefault="00F517BA">
      <w:r>
        <w:t xml:space="preserve"> </w:t>
      </w:r>
    </w:p>
    <w:sectPr w:rsidR="0038055D" w:rsidSect="00945668">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A0307" w14:textId="77777777" w:rsidR="00F81762" w:rsidRDefault="00F81762" w:rsidP="001D6287">
      <w:r>
        <w:separator/>
      </w:r>
    </w:p>
  </w:endnote>
  <w:endnote w:type="continuationSeparator" w:id="0">
    <w:p w14:paraId="50A68A58" w14:textId="77777777" w:rsidR="00F81762" w:rsidRDefault="00F81762" w:rsidP="001D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1ADEE" w14:textId="77777777" w:rsidR="00F81762" w:rsidRDefault="00F81762" w:rsidP="001D6287">
      <w:r>
        <w:separator/>
      </w:r>
    </w:p>
  </w:footnote>
  <w:footnote w:type="continuationSeparator" w:id="0">
    <w:p w14:paraId="66A8DB04" w14:textId="77777777" w:rsidR="00F81762" w:rsidRDefault="00F81762" w:rsidP="001D6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C7A43"/>
    <w:multiLevelType w:val="hybridMultilevel"/>
    <w:tmpl w:val="CE900D72"/>
    <w:lvl w:ilvl="0" w:tplc="1DEE8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4104B0"/>
    <w:multiLevelType w:val="hybridMultilevel"/>
    <w:tmpl w:val="F1E6834E"/>
    <w:lvl w:ilvl="0" w:tplc="E2B024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F13AAB"/>
    <w:multiLevelType w:val="hybridMultilevel"/>
    <w:tmpl w:val="7996E322"/>
    <w:lvl w:ilvl="0" w:tplc="2AC2A5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7C"/>
    <w:rsid w:val="00014153"/>
    <w:rsid w:val="00014BC6"/>
    <w:rsid w:val="000170D0"/>
    <w:rsid w:val="00053604"/>
    <w:rsid w:val="00060765"/>
    <w:rsid w:val="00066AA8"/>
    <w:rsid w:val="000673E4"/>
    <w:rsid w:val="0007556A"/>
    <w:rsid w:val="00076B8B"/>
    <w:rsid w:val="00084D0B"/>
    <w:rsid w:val="0008650C"/>
    <w:rsid w:val="000938C5"/>
    <w:rsid w:val="00094594"/>
    <w:rsid w:val="000A4B6E"/>
    <w:rsid w:val="000B1409"/>
    <w:rsid w:val="000B155F"/>
    <w:rsid w:val="000D5559"/>
    <w:rsid w:val="000D760C"/>
    <w:rsid w:val="000F7844"/>
    <w:rsid w:val="00103CFC"/>
    <w:rsid w:val="00127DE2"/>
    <w:rsid w:val="00135E15"/>
    <w:rsid w:val="00137057"/>
    <w:rsid w:val="00157CBC"/>
    <w:rsid w:val="00171F34"/>
    <w:rsid w:val="00172A25"/>
    <w:rsid w:val="001904FB"/>
    <w:rsid w:val="00197CD9"/>
    <w:rsid w:val="001A6A96"/>
    <w:rsid w:val="001B45E3"/>
    <w:rsid w:val="001B65E8"/>
    <w:rsid w:val="001D55A7"/>
    <w:rsid w:val="001D6287"/>
    <w:rsid w:val="0020035D"/>
    <w:rsid w:val="00204C0A"/>
    <w:rsid w:val="00211F23"/>
    <w:rsid w:val="00231BD3"/>
    <w:rsid w:val="00240761"/>
    <w:rsid w:val="00242BE6"/>
    <w:rsid w:val="00251D78"/>
    <w:rsid w:val="00251E1B"/>
    <w:rsid w:val="00267823"/>
    <w:rsid w:val="002734BB"/>
    <w:rsid w:val="00275D1C"/>
    <w:rsid w:val="00294068"/>
    <w:rsid w:val="002B1DDE"/>
    <w:rsid w:val="002B21A6"/>
    <w:rsid w:val="002C7590"/>
    <w:rsid w:val="002E226B"/>
    <w:rsid w:val="003009E4"/>
    <w:rsid w:val="00300ABD"/>
    <w:rsid w:val="00302C56"/>
    <w:rsid w:val="00306610"/>
    <w:rsid w:val="00321038"/>
    <w:rsid w:val="00322DBA"/>
    <w:rsid w:val="0033501D"/>
    <w:rsid w:val="00343877"/>
    <w:rsid w:val="0034686D"/>
    <w:rsid w:val="003473D0"/>
    <w:rsid w:val="003538F0"/>
    <w:rsid w:val="00357274"/>
    <w:rsid w:val="003676A6"/>
    <w:rsid w:val="00374A82"/>
    <w:rsid w:val="0038055D"/>
    <w:rsid w:val="003A24D7"/>
    <w:rsid w:val="003B05B0"/>
    <w:rsid w:val="003B5130"/>
    <w:rsid w:val="003B5AA1"/>
    <w:rsid w:val="003C2992"/>
    <w:rsid w:val="003E580C"/>
    <w:rsid w:val="003F111C"/>
    <w:rsid w:val="00407037"/>
    <w:rsid w:val="00424CEF"/>
    <w:rsid w:val="004331BD"/>
    <w:rsid w:val="00442E0E"/>
    <w:rsid w:val="004439A0"/>
    <w:rsid w:val="004447E2"/>
    <w:rsid w:val="00464852"/>
    <w:rsid w:val="00482DA9"/>
    <w:rsid w:val="00484966"/>
    <w:rsid w:val="004A4F8C"/>
    <w:rsid w:val="004B53CA"/>
    <w:rsid w:val="004D72A3"/>
    <w:rsid w:val="005034AC"/>
    <w:rsid w:val="00520D4F"/>
    <w:rsid w:val="0054295D"/>
    <w:rsid w:val="00543BE6"/>
    <w:rsid w:val="0055249B"/>
    <w:rsid w:val="005722B2"/>
    <w:rsid w:val="00573FA0"/>
    <w:rsid w:val="00587526"/>
    <w:rsid w:val="0059636D"/>
    <w:rsid w:val="005C087E"/>
    <w:rsid w:val="005C3319"/>
    <w:rsid w:val="005C624C"/>
    <w:rsid w:val="005C7876"/>
    <w:rsid w:val="005D5E5B"/>
    <w:rsid w:val="005F11C7"/>
    <w:rsid w:val="00605E91"/>
    <w:rsid w:val="00610F75"/>
    <w:rsid w:val="00610F8C"/>
    <w:rsid w:val="00611166"/>
    <w:rsid w:val="006158FC"/>
    <w:rsid w:val="00626839"/>
    <w:rsid w:val="0064528F"/>
    <w:rsid w:val="00653C2B"/>
    <w:rsid w:val="00676D18"/>
    <w:rsid w:val="006A00B2"/>
    <w:rsid w:val="006B0848"/>
    <w:rsid w:val="006B767C"/>
    <w:rsid w:val="006C1E73"/>
    <w:rsid w:val="006D131C"/>
    <w:rsid w:val="006E31DB"/>
    <w:rsid w:val="006E4FE5"/>
    <w:rsid w:val="006F0057"/>
    <w:rsid w:val="006F331C"/>
    <w:rsid w:val="006F538D"/>
    <w:rsid w:val="00733B4B"/>
    <w:rsid w:val="00736924"/>
    <w:rsid w:val="00736FAF"/>
    <w:rsid w:val="00760EB2"/>
    <w:rsid w:val="00761500"/>
    <w:rsid w:val="007731C5"/>
    <w:rsid w:val="00776D9E"/>
    <w:rsid w:val="007868D9"/>
    <w:rsid w:val="007A38D4"/>
    <w:rsid w:val="007C3B41"/>
    <w:rsid w:val="007D264C"/>
    <w:rsid w:val="007D4555"/>
    <w:rsid w:val="008003FC"/>
    <w:rsid w:val="00807C0D"/>
    <w:rsid w:val="008163D9"/>
    <w:rsid w:val="0082024C"/>
    <w:rsid w:val="00821292"/>
    <w:rsid w:val="00824511"/>
    <w:rsid w:val="0084400B"/>
    <w:rsid w:val="00844118"/>
    <w:rsid w:val="008528B3"/>
    <w:rsid w:val="00893082"/>
    <w:rsid w:val="00895A53"/>
    <w:rsid w:val="008A69AD"/>
    <w:rsid w:val="008C7FB8"/>
    <w:rsid w:val="008D6582"/>
    <w:rsid w:val="008E403D"/>
    <w:rsid w:val="00911326"/>
    <w:rsid w:val="00925249"/>
    <w:rsid w:val="009409DC"/>
    <w:rsid w:val="00945668"/>
    <w:rsid w:val="0097227C"/>
    <w:rsid w:val="009842E4"/>
    <w:rsid w:val="009A3728"/>
    <w:rsid w:val="009C7D97"/>
    <w:rsid w:val="009D2A29"/>
    <w:rsid w:val="009F15DF"/>
    <w:rsid w:val="009F18B8"/>
    <w:rsid w:val="009F2F72"/>
    <w:rsid w:val="009F78CC"/>
    <w:rsid w:val="00A02FD9"/>
    <w:rsid w:val="00A03A80"/>
    <w:rsid w:val="00A30576"/>
    <w:rsid w:val="00A3468C"/>
    <w:rsid w:val="00A37572"/>
    <w:rsid w:val="00A410AD"/>
    <w:rsid w:val="00A438F7"/>
    <w:rsid w:val="00A50097"/>
    <w:rsid w:val="00A53F4D"/>
    <w:rsid w:val="00A578C3"/>
    <w:rsid w:val="00A77E15"/>
    <w:rsid w:val="00A91A0B"/>
    <w:rsid w:val="00AA38CC"/>
    <w:rsid w:val="00AA5900"/>
    <w:rsid w:val="00AB125C"/>
    <w:rsid w:val="00AB2C3F"/>
    <w:rsid w:val="00AB6EC9"/>
    <w:rsid w:val="00AD591F"/>
    <w:rsid w:val="00B135E5"/>
    <w:rsid w:val="00B348B2"/>
    <w:rsid w:val="00B34E51"/>
    <w:rsid w:val="00B40D31"/>
    <w:rsid w:val="00B41491"/>
    <w:rsid w:val="00B51B15"/>
    <w:rsid w:val="00B81DA0"/>
    <w:rsid w:val="00B94F57"/>
    <w:rsid w:val="00BC2C93"/>
    <w:rsid w:val="00BC5738"/>
    <w:rsid w:val="00BC6D93"/>
    <w:rsid w:val="00BF2CF9"/>
    <w:rsid w:val="00C075E0"/>
    <w:rsid w:val="00C21801"/>
    <w:rsid w:val="00C30644"/>
    <w:rsid w:val="00C31561"/>
    <w:rsid w:val="00C6234A"/>
    <w:rsid w:val="00CA327B"/>
    <w:rsid w:val="00CC1CD8"/>
    <w:rsid w:val="00CC6CA5"/>
    <w:rsid w:val="00CD14B6"/>
    <w:rsid w:val="00CF28B2"/>
    <w:rsid w:val="00CF57AB"/>
    <w:rsid w:val="00D058C6"/>
    <w:rsid w:val="00D0723B"/>
    <w:rsid w:val="00D17462"/>
    <w:rsid w:val="00D33B88"/>
    <w:rsid w:val="00D66B6C"/>
    <w:rsid w:val="00D73D54"/>
    <w:rsid w:val="00D922AC"/>
    <w:rsid w:val="00D92377"/>
    <w:rsid w:val="00DA3582"/>
    <w:rsid w:val="00DA62BF"/>
    <w:rsid w:val="00DC21DA"/>
    <w:rsid w:val="00DD612A"/>
    <w:rsid w:val="00DE5633"/>
    <w:rsid w:val="00E05AED"/>
    <w:rsid w:val="00E121C1"/>
    <w:rsid w:val="00E1420B"/>
    <w:rsid w:val="00E35339"/>
    <w:rsid w:val="00E41C3C"/>
    <w:rsid w:val="00E70C2D"/>
    <w:rsid w:val="00E767BA"/>
    <w:rsid w:val="00E82AEC"/>
    <w:rsid w:val="00E91263"/>
    <w:rsid w:val="00EB5012"/>
    <w:rsid w:val="00ED341F"/>
    <w:rsid w:val="00ED615D"/>
    <w:rsid w:val="00ED6DD1"/>
    <w:rsid w:val="00EF7590"/>
    <w:rsid w:val="00EF7895"/>
    <w:rsid w:val="00F36875"/>
    <w:rsid w:val="00F517BA"/>
    <w:rsid w:val="00F73D85"/>
    <w:rsid w:val="00F81762"/>
    <w:rsid w:val="00FC3222"/>
    <w:rsid w:val="00FD48B1"/>
    <w:rsid w:val="00FD6846"/>
    <w:rsid w:val="00FE620E"/>
    <w:rsid w:val="00FE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E3B0F4"/>
  <w15:docId w15:val="{7D53A2E9-2A64-4951-A30C-4D584FD6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2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27C"/>
    <w:pPr>
      <w:ind w:left="720"/>
      <w:contextualSpacing/>
    </w:pPr>
  </w:style>
  <w:style w:type="character" w:styleId="Hyperlink">
    <w:name w:val="Hyperlink"/>
    <w:basedOn w:val="DefaultParagraphFont"/>
    <w:uiPriority w:val="99"/>
    <w:unhideWhenUsed/>
    <w:rsid w:val="00D17462"/>
    <w:rPr>
      <w:color w:val="0000FF" w:themeColor="hyperlink"/>
      <w:u w:val="single"/>
    </w:rPr>
  </w:style>
  <w:style w:type="table" w:styleId="TableGrid">
    <w:name w:val="Table Grid"/>
    <w:basedOn w:val="TableNormal"/>
    <w:uiPriority w:val="59"/>
    <w:rsid w:val="0044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41F"/>
    <w:rPr>
      <w:rFonts w:ascii="Tahoma" w:hAnsi="Tahoma" w:cs="Tahoma"/>
      <w:sz w:val="16"/>
      <w:szCs w:val="16"/>
    </w:rPr>
  </w:style>
  <w:style w:type="character" w:customStyle="1" w:styleId="BalloonTextChar">
    <w:name w:val="Balloon Text Char"/>
    <w:basedOn w:val="DefaultParagraphFont"/>
    <w:link w:val="BalloonText"/>
    <w:uiPriority w:val="99"/>
    <w:semiHidden/>
    <w:rsid w:val="00ED341F"/>
    <w:rPr>
      <w:rFonts w:ascii="Tahoma" w:eastAsia="Times New Roman" w:hAnsi="Tahoma" w:cs="Tahoma"/>
      <w:sz w:val="16"/>
      <w:szCs w:val="16"/>
    </w:rPr>
  </w:style>
  <w:style w:type="paragraph" w:styleId="Header">
    <w:name w:val="header"/>
    <w:basedOn w:val="Normal"/>
    <w:link w:val="HeaderChar"/>
    <w:uiPriority w:val="99"/>
    <w:unhideWhenUsed/>
    <w:rsid w:val="001D6287"/>
    <w:pPr>
      <w:tabs>
        <w:tab w:val="center" w:pos="4680"/>
        <w:tab w:val="right" w:pos="9360"/>
      </w:tabs>
    </w:pPr>
  </w:style>
  <w:style w:type="character" w:customStyle="1" w:styleId="HeaderChar">
    <w:name w:val="Header Char"/>
    <w:basedOn w:val="DefaultParagraphFont"/>
    <w:link w:val="Header"/>
    <w:uiPriority w:val="99"/>
    <w:rsid w:val="001D62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6287"/>
    <w:pPr>
      <w:tabs>
        <w:tab w:val="center" w:pos="4680"/>
        <w:tab w:val="right" w:pos="9360"/>
      </w:tabs>
    </w:pPr>
  </w:style>
  <w:style w:type="character" w:customStyle="1" w:styleId="FooterChar">
    <w:name w:val="Footer Char"/>
    <w:basedOn w:val="DefaultParagraphFont"/>
    <w:link w:val="Footer"/>
    <w:uiPriority w:val="99"/>
    <w:rsid w:val="001D628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D5559"/>
    <w:rPr>
      <w:sz w:val="18"/>
      <w:szCs w:val="18"/>
    </w:rPr>
  </w:style>
  <w:style w:type="paragraph" w:styleId="CommentText">
    <w:name w:val="annotation text"/>
    <w:basedOn w:val="Normal"/>
    <w:link w:val="CommentTextChar"/>
    <w:uiPriority w:val="99"/>
    <w:semiHidden/>
    <w:unhideWhenUsed/>
    <w:rsid w:val="000D5559"/>
  </w:style>
  <w:style w:type="character" w:customStyle="1" w:styleId="CommentTextChar">
    <w:name w:val="Comment Text Char"/>
    <w:basedOn w:val="DefaultParagraphFont"/>
    <w:link w:val="CommentText"/>
    <w:uiPriority w:val="99"/>
    <w:semiHidden/>
    <w:rsid w:val="000D55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D5559"/>
    <w:rPr>
      <w:b/>
      <w:bCs/>
      <w:sz w:val="20"/>
      <w:szCs w:val="20"/>
    </w:rPr>
  </w:style>
  <w:style w:type="character" w:customStyle="1" w:styleId="CommentSubjectChar">
    <w:name w:val="Comment Subject Char"/>
    <w:basedOn w:val="CommentTextChar"/>
    <w:link w:val="CommentSubject"/>
    <w:uiPriority w:val="99"/>
    <w:semiHidden/>
    <w:rsid w:val="000D5559"/>
    <w:rPr>
      <w:rFonts w:ascii="Times New Roman" w:eastAsia="Times New Roman" w:hAnsi="Times New Roman" w:cs="Times New Roman"/>
      <w:b/>
      <w:bCs/>
      <w:sz w:val="20"/>
      <w:szCs w:val="20"/>
    </w:rPr>
  </w:style>
  <w:style w:type="paragraph" w:styleId="Revision">
    <w:name w:val="Revision"/>
    <w:hidden/>
    <w:uiPriority w:val="99"/>
    <w:semiHidden/>
    <w:rsid w:val="005C331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452">
      <w:bodyDiv w:val="1"/>
      <w:marLeft w:val="0"/>
      <w:marRight w:val="0"/>
      <w:marTop w:val="0"/>
      <w:marBottom w:val="0"/>
      <w:divBdr>
        <w:top w:val="none" w:sz="0" w:space="0" w:color="auto"/>
        <w:left w:val="none" w:sz="0" w:space="0" w:color="auto"/>
        <w:bottom w:val="none" w:sz="0" w:space="0" w:color="auto"/>
        <w:right w:val="none" w:sz="0" w:space="0" w:color="auto"/>
      </w:divBdr>
    </w:div>
    <w:div w:id="13699248">
      <w:bodyDiv w:val="1"/>
      <w:marLeft w:val="0"/>
      <w:marRight w:val="0"/>
      <w:marTop w:val="0"/>
      <w:marBottom w:val="0"/>
      <w:divBdr>
        <w:top w:val="none" w:sz="0" w:space="0" w:color="auto"/>
        <w:left w:val="none" w:sz="0" w:space="0" w:color="auto"/>
        <w:bottom w:val="none" w:sz="0" w:space="0" w:color="auto"/>
        <w:right w:val="none" w:sz="0" w:space="0" w:color="auto"/>
      </w:divBdr>
    </w:div>
    <w:div w:id="59377520">
      <w:bodyDiv w:val="1"/>
      <w:marLeft w:val="0"/>
      <w:marRight w:val="0"/>
      <w:marTop w:val="0"/>
      <w:marBottom w:val="0"/>
      <w:divBdr>
        <w:top w:val="none" w:sz="0" w:space="0" w:color="auto"/>
        <w:left w:val="none" w:sz="0" w:space="0" w:color="auto"/>
        <w:bottom w:val="none" w:sz="0" w:space="0" w:color="auto"/>
        <w:right w:val="none" w:sz="0" w:space="0" w:color="auto"/>
      </w:divBdr>
    </w:div>
    <w:div w:id="169639223">
      <w:bodyDiv w:val="1"/>
      <w:marLeft w:val="0"/>
      <w:marRight w:val="0"/>
      <w:marTop w:val="0"/>
      <w:marBottom w:val="0"/>
      <w:divBdr>
        <w:top w:val="none" w:sz="0" w:space="0" w:color="auto"/>
        <w:left w:val="none" w:sz="0" w:space="0" w:color="auto"/>
        <w:bottom w:val="none" w:sz="0" w:space="0" w:color="auto"/>
        <w:right w:val="none" w:sz="0" w:space="0" w:color="auto"/>
      </w:divBdr>
    </w:div>
    <w:div w:id="170074023">
      <w:bodyDiv w:val="1"/>
      <w:marLeft w:val="0"/>
      <w:marRight w:val="0"/>
      <w:marTop w:val="0"/>
      <w:marBottom w:val="0"/>
      <w:divBdr>
        <w:top w:val="none" w:sz="0" w:space="0" w:color="auto"/>
        <w:left w:val="none" w:sz="0" w:space="0" w:color="auto"/>
        <w:bottom w:val="none" w:sz="0" w:space="0" w:color="auto"/>
        <w:right w:val="none" w:sz="0" w:space="0" w:color="auto"/>
      </w:divBdr>
    </w:div>
    <w:div w:id="315106563">
      <w:bodyDiv w:val="1"/>
      <w:marLeft w:val="0"/>
      <w:marRight w:val="0"/>
      <w:marTop w:val="0"/>
      <w:marBottom w:val="0"/>
      <w:divBdr>
        <w:top w:val="none" w:sz="0" w:space="0" w:color="auto"/>
        <w:left w:val="none" w:sz="0" w:space="0" w:color="auto"/>
        <w:bottom w:val="none" w:sz="0" w:space="0" w:color="auto"/>
        <w:right w:val="none" w:sz="0" w:space="0" w:color="auto"/>
      </w:divBdr>
      <w:divsChild>
        <w:div w:id="454450846">
          <w:marLeft w:val="0"/>
          <w:marRight w:val="0"/>
          <w:marTop w:val="0"/>
          <w:marBottom w:val="0"/>
          <w:divBdr>
            <w:top w:val="none" w:sz="0" w:space="0" w:color="auto"/>
            <w:left w:val="none" w:sz="0" w:space="0" w:color="auto"/>
            <w:bottom w:val="none" w:sz="0" w:space="0" w:color="auto"/>
            <w:right w:val="none" w:sz="0" w:space="0" w:color="auto"/>
          </w:divBdr>
        </w:div>
      </w:divsChild>
    </w:div>
    <w:div w:id="331184143">
      <w:bodyDiv w:val="1"/>
      <w:marLeft w:val="0"/>
      <w:marRight w:val="0"/>
      <w:marTop w:val="0"/>
      <w:marBottom w:val="0"/>
      <w:divBdr>
        <w:top w:val="none" w:sz="0" w:space="0" w:color="auto"/>
        <w:left w:val="none" w:sz="0" w:space="0" w:color="auto"/>
        <w:bottom w:val="none" w:sz="0" w:space="0" w:color="auto"/>
        <w:right w:val="none" w:sz="0" w:space="0" w:color="auto"/>
      </w:divBdr>
    </w:div>
    <w:div w:id="423502394">
      <w:bodyDiv w:val="1"/>
      <w:marLeft w:val="0"/>
      <w:marRight w:val="0"/>
      <w:marTop w:val="0"/>
      <w:marBottom w:val="0"/>
      <w:divBdr>
        <w:top w:val="none" w:sz="0" w:space="0" w:color="auto"/>
        <w:left w:val="none" w:sz="0" w:space="0" w:color="auto"/>
        <w:bottom w:val="none" w:sz="0" w:space="0" w:color="auto"/>
        <w:right w:val="none" w:sz="0" w:space="0" w:color="auto"/>
      </w:divBdr>
    </w:div>
    <w:div w:id="681318858">
      <w:bodyDiv w:val="1"/>
      <w:marLeft w:val="0"/>
      <w:marRight w:val="0"/>
      <w:marTop w:val="0"/>
      <w:marBottom w:val="0"/>
      <w:divBdr>
        <w:top w:val="none" w:sz="0" w:space="0" w:color="auto"/>
        <w:left w:val="none" w:sz="0" w:space="0" w:color="auto"/>
        <w:bottom w:val="none" w:sz="0" w:space="0" w:color="auto"/>
        <w:right w:val="none" w:sz="0" w:space="0" w:color="auto"/>
      </w:divBdr>
    </w:div>
    <w:div w:id="688138933">
      <w:bodyDiv w:val="1"/>
      <w:marLeft w:val="0"/>
      <w:marRight w:val="0"/>
      <w:marTop w:val="0"/>
      <w:marBottom w:val="0"/>
      <w:divBdr>
        <w:top w:val="none" w:sz="0" w:space="0" w:color="auto"/>
        <w:left w:val="none" w:sz="0" w:space="0" w:color="auto"/>
        <w:bottom w:val="none" w:sz="0" w:space="0" w:color="auto"/>
        <w:right w:val="none" w:sz="0" w:space="0" w:color="auto"/>
      </w:divBdr>
    </w:div>
    <w:div w:id="777801207">
      <w:bodyDiv w:val="1"/>
      <w:marLeft w:val="0"/>
      <w:marRight w:val="0"/>
      <w:marTop w:val="0"/>
      <w:marBottom w:val="0"/>
      <w:divBdr>
        <w:top w:val="none" w:sz="0" w:space="0" w:color="auto"/>
        <w:left w:val="none" w:sz="0" w:space="0" w:color="auto"/>
        <w:bottom w:val="none" w:sz="0" w:space="0" w:color="auto"/>
        <w:right w:val="none" w:sz="0" w:space="0" w:color="auto"/>
      </w:divBdr>
    </w:div>
    <w:div w:id="832913390">
      <w:bodyDiv w:val="1"/>
      <w:marLeft w:val="0"/>
      <w:marRight w:val="0"/>
      <w:marTop w:val="0"/>
      <w:marBottom w:val="0"/>
      <w:divBdr>
        <w:top w:val="none" w:sz="0" w:space="0" w:color="auto"/>
        <w:left w:val="none" w:sz="0" w:space="0" w:color="auto"/>
        <w:bottom w:val="none" w:sz="0" w:space="0" w:color="auto"/>
        <w:right w:val="none" w:sz="0" w:space="0" w:color="auto"/>
      </w:divBdr>
    </w:div>
    <w:div w:id="1102266088">
      <w:bodyDiv w:val="1"/>
      <w:marLeft w:val="0"/>
      <w:marRight w:val="0"/>
      <w:marTop w:val="0"/>
      <w:marBottom w:val="0"/>
      <w:divBdr>
        <w:top w:val="none" w:sz="0" w:space="0" w:color="auto"/>
        <w:left w:val="none" w:sz="0" w:space="0" w:color="auto"/>
        <w:bottom w:val="none" w:sz="0" w:space="0" w:color="auto"/>
        <w:right w:val="none" w:sz="0" w:space="0" w:color="auto"/>
      </w:divBdr>
      <w:divsChild>
        <w:div w:id="504825491">
          <w:marLeft w:val="0"/>
          <w:marRight w:val="0"/>
          <w:marTop w:val="0"/>
          <w:marBottom w:val="0"/>
          <w:divBdr>
            <w:top w:val="none" w:sz="0" w:space="0" w:color="auto"/>
            <w:left w:val="none" w:sz="0" w:space="0" w:color="auto"/>
            <w:bottom w:val="none" w:sz="0" w:space="0" w:color="auto"/>
            <w:right w:val="none" w:sz="0" w:space="0" w:color="auto"/>
          </w:divBdr>
        </w:div>
      </w:divsChild>
    </w:div>
    <w:div w:id="1127433051">
      <w:bodyDiv w:val="1"/>
      <w:marLeft w:val="0"/>
      <w:marRight w:val="0"/>
      <w:marTop w:val="0"/>
      <w:marBottom w:val="0"/>
      <w:divBdr>
        <w:top w:val="none" w:sz="0" w:space="0" w:color="auto"/>
        <w:left w:val="none" w:sz="0" w:space="0" w:color="auto"/>
        <w:bottom w:val="none" w:sz="0" w:space="0" w:color="auto"/>
        <w:right w:val="none" w:sz="0" w:space="0" w:color="auto"/>
      </w:divBdr>
    </w:div>
    <w:div w:id="1305507180">
      <w:bodyDiv w:val="1"/>
      <w:marLeft w:val="0"/>
      <w:marRight w:val="0"/>
      <w:marTop w:val="0"/>
      <w:marBottom w:val="0"/>
      <w:divBdr>
        <w:top w:val="none" w:sz="0" w:space="0" w:color="auto"/>
        <w:left w:val="none" w:sz="0" w:space="0" w:color="auto"/>
        <w:bottom w:val="none" w:sz="0" w:space="0" w:color="auto"/>
        <w:right w:val="none" w:sz="0" w:space="0" w:color="auto"/>
      </w:divBdr>
    </w:div>
    <w:div w:id="1348872199">
      <w:bodyDiv w:val="1"/>
      <w:marLeft w:val="0"/>
      <w:marRight w:val="0"/>
      <w:marTop w:val="0"/>
      <w:marBottom w:val="0"/>
      <w:divBdr>
        <w:top w:val="none" w:sz="0" w:space="0" w:color="auto"/>
        <w:left w:val="none" w:sz="0" w:space="0" w:color="auto"/>
        <w:bottom w:val="none" w:sz="0" w:space="0" w:color="auto"/>
        <w:right w:val="none" w:sz="0" w:space="0" w:color="auto"/>
      </w:divBdr>
    </w:div>
    <w:div w:id="1363743514">
      <w:bodyDiv w:val="1"/>
      <w:marLeft w:val="0"/>
      <w:marRight w:val="0"/>
      <w:marTop w:val="0"/>
      <w:marBottom w:val="0"/>
      <w:divBdr>
        <w:top w:val="none" w:sz="0" w:space="0" w:color="auto"/>
        <w:left w:val="none" w:sz="0" w:space="0" w:color="auto"/>
        <w:bottom w:val="none" w:sz="0" w:space="0" w:color="auto"/>
        <w:right w:val="none" w:sz="0" w:space="0" w:color="auto"/>
      </w:divBdr>
    </w:div>
    <w:div w:id="1367944771">
      <w:bodyDiv w:val="1"/>
      <w:marLeft w:val="0"/>
      <w:marRight w:val="0"/>
      <w:marTop w:val="0"/>
      <w:marBottom w:val="0"/>
      <w:divBdr>
        <w:top w:val="none" w:sz="0" w:space="0" w:color="auto"/>
        <w:left w:val="none" w:sz="0" w:space="0" w:color="auto"/>
        <w:bottom w:val="none" w:sz="0" w:space="0" w:color="auto"/>
        <w:right w:val="none" w:sz="0" w:space="0" w:color="auto"/>
      </w:divBdr>
    </w:div>
    <w:div w:id="1561134121">
      <w:bodyDiv w:val="1"/>
      <w:marLeft w:val="0"/>
      <w:marRight w:val="0"/>
      <w:marTop w:val="0"/>
      <w:marBottom w:val="0"/>
      <w:divBdr>
        <w:top w:val="none" w:sz="0" w:space="0" w:color="auto"/>
        <w:left w:val="none" w:sz="0" w:space="0" w:color="auto"/>
        <w:bottom w:val="none" w:sz="0" w:space="0" w:color="auto"/>
        <w:right w:val="none" w:sz="0" w:space="0" w:color="auto"/>
      </w:divBdr>
    </w:div>
    <w:div w:id="1584952124">
      <w:bodyDiv w:val="1"/>
      <w:marLeft w:val="0"/>
      <w:marRight w:val="0"/>
      <w:marTop w:val="0"/>
      <w:marBottom w:val="0"/>
      <w:divBdr>
        <w:top w:val="none" w:sz="0" w:space="0" w:color="auto"/>
        <w:left w:val="none" w:sz="0" w:space="0" w:color="auto"/>
        <w:bottom w:val="none" w:sz="0" w:space="0" w:color="auto"/>
        <w:right w:val="none" w:sz="0" w:space="0" w:color="auto"/>
      </w:divBdr>
    </w:div>
    <w:div w:id="1591574181">
      <w:bodyDiv w:val="1"/>
      <w:marLeft w:val="0"/>
      <w:marRight w:val="0"/>
      <w:marTop w:val="0"/>
      <w:marBottom w:val="0"/>
      <w:divBdr>
        <w:top w:val="none" w:sz="0" w:space="0" w:color="auto"/>
        <w:left w:val="none" w:sz="0" w:space="0" w:color="auto"/>
        <w:bottom w:val="none" w:sz="0" w:space="0" w:color="auto"/>
        <w:right w:val="none" w:sz="0" w:space="0" w:color="auto"/>
      </w:divBdr>
    </w:div>
    <w:div w:id="1595045314">
      <w:bodyDiv w:val="1"/>
      <w:marLeft w:val="0"/>
      <w:marRight w:val="0"/>
      <w:marTop w:val="0"/>
      <w:marBottom w:val="0"/>
      <w:divBdr>
        <w:top w:val="none" w:sz="0" w:space="0" w:color="auto"/>
        <w:left w:val="none" w:sz="0" w:space="0" w:color="auto"/>
        <w:bottom w:val="none" w:sz="0" w:space="0" w:color="auto"/>
        <w:right w:val="none" w:sz="0" w:space="0" w:color="auto"/>
      </w:divBdr>
    </w:div>
    <w:div w:id="1626617194">
      <w:bodyDiv w:val="1"/>
      <w:marLeft w:val="0"/>
      <w:marRight w:val="0"/>
      <w:marTop w:val="0"/>
      <w:marBottom w:val="0"/>
      <w:divBdr>
        <w:top w:val="none" w:sz="0" w:space="0" w:color="auto"/>
        <w:left w:val="none" w:sz="0" w:space="0" w:color="auto"/>
        <w:bottom w:val="none" w:sz="0" w:space="0" w:color="auto"/>
        <w:right w:val="none" w:sz="0" w:space="0" w:color="auto"/>
      </w:divBdr>
    </w:div>
    <w:div w:id="1721783547">
      <w:bodyDiv w:val="1"/>
      <w:marLeft w:val="0"/>
      <w:marRight w:val="0"/>
      <w:marTop w:val="0"/>
      <w:marBottom w:val="0"/>
      <w:divBdr>
        <w:top w:val="none" w:sz="0" w:space="0" w:color="auto"/>
        <w:left w:val="none" w:sz="0" w:space="0" w:color="auto"/>
        <w:bottom w:val="none" w:sz="0" w:space="0" w:color="auto"/>
        <w:right w:val="none" w:sz="0" w:space="0" w:color="auto"/>
      </w:divBdr>
    </w:div>
    <w:div w:id="1775713550">
      <w:bodyDiv w:val="1"/>
      <w:marLeft w:val="0"/>
      <w:marRight w:val="0"/>
      <w:marTop w:val="0"/>
      <w:marBottom w:val="0"/>
      <w:divBdr>
        <w:top w:val="none" w:sz="0" w:space="0" w:color="auto"/>
        <w:left w:val="none" w:sz="0" w:space="0" w:color="auto"/>
        <w:bottom w:val="none" w:sz="0" w:space="0" w:color="auto"/>
        <w:right w:val="none" w:sz="0" w:space="0" w:color="auto"/>
      </w:divBdr>
    </w:div>
    <w:div w:id="1931037419">
      <w:bodyDiv w:val="1"/>
      <w:marLeft w:val="0"/>
      <w:marRight w:val="0"/>
      <w:marTop w:val="0"/>
      <w:marBottom w:val="0"/>
      <w:divBdr>
        <w:top w:val="none" w:sz="0" w:space="0" w:color="auto"/>
        <w:left w:val="none" w:sz="0" w:space="0" w:color="auto"/>
        <w:bottom w:val="none" w:sz="0" w:space="0" w:color="auto"/>
        <w:right w:val="none" w:sz="0" w:space="0" w:color="auto"/>
      </w:divBdr>
    </w:div>
    <w:div w:id="1963413069">
      <w:bodyDiv w:val="1"/>
      <w:marLeft w:val="0"/>
      <w:marRight w:val="0"/>
      <w:marTop w:val="0"/>
      <w:marBottom w:val="0"/>
      <w:divBdr>
        <w:top w:val="none" w:sz="0" w:space="0" w:color="auto"/>
        <w:left w:val="none" w:sz="0" w:space="0" w:color="auto"/>
        <w:bottom w:val="none" w:sz="0" w:space="0" w:color="auto"/>
        <w:right w:val="none" w:sz="0" w:space="0" w:color="auto"/>
      </w:divBdr>
    </w:div>
    <w:div w:id="211891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canas@austin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B7FD1-2950-4985-9284-EA06610E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6533</Words>
  <Characters>34497</Characters>
  <Application>Microsoft Office Word</Application>
  <DocSecurity>4</DocSecurity>
  <Lines>1518</Lines>
  <Paragraphs>757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Ocanas</dc:creator>
  <cp:lastModifiedBy>Alex Ocanas</cp:lastModifiedBy>
  <cp:revision>2</cp:revision>
  <cp:lastPrinted>2014-01-13T19:01:00Z</cp:lastPrinted>
  <dcterms:created xsi:type="dcterms:W3CDTF">2017-05-30T19:04:00Z</dcterms:created>
  <dcterms:modified xsi:type="dcterms:W3CDTF">2017-05-30T19:04:00Z</dcterms:modified>
</cp:coreProperties>
</file>