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3AC" w:rsidRPr="00E41264" w:rsidRDefault="00E243AC" w:rsidP="00E243AC">
      <w:pPr>
        <w:spacing w:after="0"/>
        <w:ind w:left="39"/>
        <w:jc w:val="center"/>
        <w:rPr>
          <w:rFonts w:cs="Times New Roman"/>
        </w:rPr>
      </w:pPr>
      <w:r w:rsidRPr="00E41264">
        <w:rPr>
          <w:rFonts w:eastAsia="Times New Roman" w:cs="Times New Roman"/>
          <w:noProof/>
        </w:rPr>
        <w:drawing>
          <wp:inline distT="0" distB="0" distL="0" distR="0" wp14:anchorId="5B04E0AA" wp14:editId="652BC4FA">
            <wp:extent cx="4452938" cy="29146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_stack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61369" cy="2920168"/>
                    </a:xfrm>
                    <a:prstGeom prst="rect">
                      <a:avLst/>
                    </a:prstGeom>
                  </pic:spPr>
                </pic:pic>
              </a:graphicData>
            </a:graphic>
          </wp:inline>
        </w:drawing>
      </w:r>
      <w:r w:rsidRPr="00E41264">
        <w:rPr>
          <w:rFonts w:eastAsia="Times New Roman" w:cs="Times New Roman"/>
        </w:rPr>
        <w:t xml:space="preserve">    </w:t>
      </w:r>
      <w:r w:rsidRPr="00E41264">
        <w:rPr>
          <w:rFonts w:eastAsia="Times New Roman" w:cs="Times New Roman"/>
          <w:b/>
          <w:color w:val="FF0000"/>
          <w:sz w:val="32"/>
        </w:rPr>
        <w:t xml:space="preserve"> </w:t>
      </w:r>
    </w:p>
    <w:p w:rsidR="00E243AC" w:rsidRPr="00E41264" w:rsidRDefault="00E243AC" w:rsidP="00E243AC">
      <w:pPr>
        <w:spacing w:after="0"/>
        <w:ind w:left="77"/>
        <w:jc w:val="center"/>
        <w:rPr>
          <w:rFonts w:cs="Times New Roman"/>
        </w:rPr>
      </w:pPr>
      <w:r w:rsidRPr="00E41264">
        <w:rPr>
          <w:rFonts w:eastAsia="Times New Roman" w:cs="Times New Roman"/>
          <w:b/>
          <w:sz w:val="32"/>
        </w:rPr>
        <w:t xml:space="preserve"> </w:t>
      </w:r>
    </w:p>
    <w:p w:rsidR="00E243AC" w:rsidRPr="00E41264" w:rsidRDefault="00E243AC" w:rsidP="00E243AC">
      <w:pPr>
        <w:spacing w:after="0"/>
        <w:ind w:left="77"/>
        <w:jc w:val="center"/>
        <w:rPr>
          <w:rFonts w:cs="Times New Roman"/>
        </w:rPr>
      </w:pPr>
    </w:p>
    <w:p w:rsidR="00E243AC" w:rsidRPr="00E41264" w:rsidRDefault="004A745F" w:rsidP="00E243AC">
      <w:pPr>
        <w:spacing w:after="0"/>
        <w:ind w:left="10" w:right="8" w:hanging="10"/>
        <w:jc w:val="center"/>
        <w:rPr>
          <w:rFonts w:cs="Times New Roman"/>
          <w:color w:val="C00000"/>
          <w:u w:val="single"/>
        </w:rPr>
      </w:pPr>
      <w:r w:rsidRPr="00E41264">
        <w:rPr>
          <w:rFonts w:eastAsia="Times New Roman" w:cs="Times New Roman"/>
          <w:b/>
          <w:color w:val="C00000"/>
          <w:sz w:val="32"/>
          <w:u w:val="single"/>
        </w:rPr>
        <w:t>DRAFT REPORT</w:t>
      </w:r>
    </w:p>
    <w:p w:rsidR="00E243AC" w:rsidRPr="00E41264" w:rsidRDefault="00E243AC" w:rsidP="00E243AC">
      <w:pPr>
        <w:spacing w:after="0"/>
        <w:ind w:left="77"/>
        <w:jc w:val="center"/>
        <w:rPr>
          <w:rFonts w:cs="Times New Roman"/>
        </w:rPr>
      </w:pPr>
      <w:r w:rsidRPr="00E41264">
        <w:rPr>
          <w:rFonts w:eastAsia="Times New Roman" w:cs="Times New Roman"/>
          <w:b/>
          <w:sz w:val="32"/>
        </w:rPr>
        <w:t xml:space="preserve"> </w:t>
      </w:r>
    </w:p>
    <w:p w:rsidR="00E243AC" w:rsidRPr="00E41264" w:rsidRDefault="00E243AC" w:rsidP="00E243AC">
      <w:pPr>
        <w:spacing w:after="0"/>
        <w:ind w:left="1"/>
        <w:rPr>
          <w:rFonts w:eastAsia="Times New Roman" w:cs="Times New Roman"/>
          <w:b/>
          <w:sz w:val="32"/>
        </w:rPr>
      </w:pPr>
    </w:p>
    <w:p w:rsidR="00E243AC" w:rsidRPr="00E41264" w:rsidRDefault="004A745F" w:rsidP="00E243AC">
      <w:pPr>
        <w:spacing w:after="0"/>
        <w:ind w:left="1"/>
        <w:jc w:val="center"/>
        <w:rPr>
          <w:rFonts w:cs="Times New Roman"/>
        </w:rPr>
      </w:pPr>
      <w:r w:rsidRPr="00E41264">
        <w:rPr>
          <w:rFonts w:eastAsia="Times New Roman" w:cs="Times New Roman"/>
          <w:b/>
          <w:sz w:val="32"/>
        </w:rPr>
        <w:t>FLORIDA TECH FY-2019 GHG REPORT</w:t>
      </w:r>
    </w:p>
    <w:p w:rsidR="00E243AC" w:rsidRPr="00E41264" w:rsidRDefault="00E243AC" w:rsidP="00E243AC">
      <w:pPr>
        <w:spacing w:after="0"/>
        <w:ind w:left="1"/>
        <w:rPr>
          <w:rFonts w:cs="Times New Roman"/>
        </w:rPr>
      </w:pPr>
      <w:r w:rsidRPr="00E41264">
        <w:rPr>
          <w:rFonts w:eastAsia="Times New Roman" w:cs="Times New Roman"/>
        </w:rPr>
        <w:t xml:space="preserve"> </w:t>
      </w:r>
    </w:p>
    <w:p w:rsidR="00E243AC" w:rsidRPr="00E41264" w:rsidRDefault="00E243AC" w:rsidP="00E243AC">
      <w:pPr>
        <w:spacing w:after="55"/>
        <w:ind w:left="1"/>
        <w:rPr>
          <w:rFonts w:cs="Times New Roman"/>
        </w:rPr>
      </w:pPr>
      <w:r w:rsidRPr="00E41264">
        <w:rPr>
          <w:rFonts w:eastAsia="Times New Roman" w:cs="Times New Roman"/>
        </w:rPr>
        <w:t xml:space="preserve"> </w:t>
      </w:r>
    </w:p>
    <w:p w:rsidR="00E243AC" w:rsidRPr="00E41264" w:rsidRDefault="00E243AC" w:rsidP="00E243AC">
      <w:pPr>
        <w:spacing w:after="0"/>
        <w:ind w:left="77"/>
        <w:jc w:val="center"/>
        <w:rPr>
          <w:rFonts w:cs="Times New Roman"/>
        </w:rPr>
      </w:pPr>
      <w:r w:rsidRPr="00E41264">
        <w:rPr>
          <w:rFonts w:eastAsia="Times New Roman" w:cs="Times New Roman"/>
          <w:b/>
          <w:sz w:val="32"/>
        </w:rPr>
        <w:t xml:space="preserve"> </w:t>
      </w:r>
    </w:p>
    <w:p w:rsidR="00E243AC" w:rsidRPr="00E41264" w:rsidRDefault="00E243AC" w:rsidP="00E243AC">
      <w:pPr>
        <w:spacing w:after="0"/>
        <w:ind w:left="57"/>
        <w:jc w:val="center"/>
        <w:rPr>
          <w:rFonts w:cs="Times New Roman"/>
        </w:rPr>
      </w:pPr>
    </w:p>
    <w:p w:rsidR="00E243AC" w:rsidRPr="00E41264" w:rsidRDefault="004A745F" w:rsidP="00E243AC">
      <w:pPr>
        <w:spacing w:after="0" w:line="249" w:lineRule="auto"/>
        <w:ind w:left="10" w:right="6" w:hanging="10"/>
        <w:jc w:val="center"/>
        <w:rPr>
          <w:rFonts w:cs="Times New Roman"/>
        </w:rPr>
      </w:pPr>
      <w:r w:rsidRPr="00E41264">
        <w:rPr>
          <w:rFonts w:eastAsia="Times New Roman" w:cs="Times New Roman"/>
          <w:u w:val="single" w:color="000000"/>
        </w:rPr>
        <w:t>Principal Author:</w:t>
      </w:r>
    </w:p>
    <w:p w:rsidR="00DA044B" w:rsidRDefault="00E243AC" w:rsidP="00E243AC">
      <w:pPr>
        <w:spacing w:after="10" w:line="249" w:lineRule="auto"/>
        <w:ind w:left="2295" w:right="2290" w:hanging="10"/>
        <w:jc w:val="center"/>
        <w:rPr>
          <w:rFonts w:eastAsia="Times New Roman" w:cs="Times New Roman"/>
        </w:rPr>
      </w:pPr>
      <w:r w:rsidRPr="00E41264">
        <w:rPr>
          <w:rFonts w:eastAsia="Times New Roman" w:cs="Times New Roman"/>
        </w:rPr>
        <w:t xml:space="preserve">Quinn A. Duffy, </w:t>
      </w:r>
    </w:p>
    <w:p w:rsidR="00E243AC" w:rsidRPr="00E41264" w:rsidRDefault="00DA044B" w:rsidP="00E243AC">
      <w:pPr>
        <w:spacing w:after="10" w:line="249" w:lineRule="auto"/>
        <w:ind w:left="2295" w:right="2290" w:hanging="10"/>
        <w:jc w:val="center"/>
        <w:rPr>
          <w:rFonts w:cs="Times New Roman"/>
        </w:rPr>
      </w:pPr>
      <w:r>
        <w:rPr>
          <w:rFonts w:eastAsia="Times New Roman" w:cs="Times New Roman"/>
        </w:rPr>
        <w:t>Planning &amp; Sustainability Specialist</w:t>
      </w:r>
    </w:p>
    <w:p w:rsidR="00E243AC" w:rsidRPr="00E41264" w:rsidRDefault="00E243AC" w:rsidP="00E243AC">
      <w:pPr>
        <w:spacing w:after="0" w:line="249" w:lineRule="auto"/>
        <w:ind w:left="3298" w:right="3231"/>
        <w:jc w:val="center"/>
        <w:rPr>
          <w:rFonts w:eastAsia="Times New Roman" w:cs="Times New Roman"/>
        </w:rPr>
      </w:pPr>
      <w:r w:rsidRPr="00E41264">
        <w:rPr>
          <w:rFonts w:eastAsia="Times New Roman" w:cs="Times New Roman"/>
        </w:rPr>
        <w:t>(321) 674-7247</w:t>
      </w:r>
      <w:r w:rsidRPr="00E41264">
        <w:rPr>
          <w:rFonts w:eastAsia="Times New Roman" w:cs="Times New Roman"/>
        </w:rPr>
        <w:br/>
      </w:r>
      <w:hyperlink r:id="rId9" w:history="1">
        <w:r w:rsidRPr="00E41264">
          <w:rPr>
            <w:rStyle w:val="Hyperlink"/>
            <w:rFonts w:eastAsia="Times New Roman" w:cs="Times New Roman"/>
            <w:u w:color="000000"/>
          </w:rPr>
          <w:t>qduffy@fit.edu</w:t>
        </w:r>
      </w:hyperlink>
    </w:p>
    <w:p w:rsidR="00E243AC" w:rsidRPr="00E41264" w:rsidRDefault="00E243AC" w:rsidP="00E243AC">
      <w:pPr>
        <w:spacing w:after="0" w:line="249" w:lineRule="auto"/>
        <w:ind w:left="3298" w:right="3231"/>
        <w:jc w:val="center"/>
        <w:rPr>
          <w:rFonts w:eastAsia="Times New Roman" w:cs="Times New Roman"/>
        </w:rPr>
      </w:pPr>
    </w:p>
    <w:p w:rsidR="00E243AC" w:rsidRPr="00E41264" w:rsidRDefault="00E243AC" w:rsidP="00E243AC">
      <w:pPr>
        <w:spacing w:after="0"/>
        <w:ind w:left="57"/>
        <w:jc w:val="center"/>
        <w:rPr>
          <w:rFonts w:cs="Times New Roman"/>
        </w:rPr>
      </w:pPr>
      <w:r w:rsidRPr="00E41264">
        <w:rPr>
          <w:rFonts w:eastAsia="Times New Roman" w:cs="Times New Roman"/>
        </w:rPr>
        <w:t xml:space="preserve"> </w:t>
      </w:r>
    </w:p>
    <w:p w:rsidR="00E243AC" w:rsidRPr="00E41264" w:rsidRDefault="00E243AC" w:rsidP="00E243AC">
      <w:pPr>
        <w:spacing w:after="0"/>
        <w:ind w:left="57"/>
        <w:jc w:val="center"/>
        <w:rPr>
          <w:rFonts w:cs="Times New Roman"/>
        </w:rPr>
      </w:pPr>
      <w:r w:rsidRPr="00E41264">
        <w:rPr>
          <w:rFonts w:eastAsia="Times New Roman" w:cs="Times New Roman"/>
        </w:rPr>
        <w:t xml:space="preserve"> </w:t>
      </w:r>
    </w:p>
    <w:p w:rsidR="00E243AC" w:rsidRPr="00E41264" w:rsidRDefault="00E243AC" w:rsidP="00E243AC">
      <w:pPr>
        <w:spacing w:after="10" w:line="249" w:lineRule="auto"/>
        <w:ind w:left="2295" w:right="2287" w:hanging="10"/>
        <w:jc w:val="center"/>
        <w:rPr>
          <w:rFonts w:cs="Times New Roman"/>
        </w:rPr>
      </w:pPr>
    </w:p>
    <w:p w:rsidR="00E243AC" w:rsidRPr="00E41264" w:rsidRDefault="004A745F" w:rsidP="00E243AC">
      <w:pPr>
        <w:spacing w:after="0"/>
        <w:ind w:right="3"/>
        <w:jc w:val="center"/>
        <w:rPr>
          <w:rFonts w:cs="Times New Roman"/>
        </w:rPr>
      </w:pPr>
      <w:r w:rsidRPr="00E41264">
        <w:rPr>
          <w:rFonts w:eastAsia="Times New Roman" w:cs="Times New Roman"/>
          <w:color w:val="FF0000"/>
        </w:rPr>
        <w:t>Submission: XX/XX/XXXX</w:t>
      </w:r>
    </w:p>
    <w:p w:rsidR="00E243AC" w:rsidRPr="00E41264" w:rsidRDefault="00E243AC" w:rsidP="00E243AC">
      <w:pPr>
        <w:spacing w:after="0"/>
        <w:ind w:left="57"/>
        <w:jc w:val="center"/>
        <w:rPr>
          <w:rFonts w:cs="Times New Roman"/>
        </w:rPr>
      </w:pPr>
      <w:r w:rsidRPr="00E41264">
        <w:rPr>
          <w:rFonts w:eastAsia="Times New Roman" w:cs="Times New Roman"/>
        </w:rPr>
        <w:t xml:space="preserve"> </w:t>
      </w:r>
    </w:p>
    <w:p w:rsidR="00E243AC" w:rsidRPr="00E41264" w:rsidRDefault="004A745F" w:rsidP="00E243AC">
      <w:pPr>
        <w:spacing w:after="10" w:line="249" w:lineRule="auto"/>
        <w:ind w:left="2295" w:right="2290" w:hanging="10"/>
        <w:jc w:val="center"/>
        <w:rPr>
          <w:rFonts w:cs="Times New Roman"/>
        </w:rPr>
      </w:pPr>
      <w:r w:rsidRPr="00E41264">
        <w:rPr>
          <w:rFonts w:eastAsia="Times New Roman" w:cs="Times New Roman"/>
        </w:rPr>
        <w:t>Submitted to</w:t>
      </w:r>
      <w:r w:rsidR="00E243AC" w:rsidRPr="00E41264">
        <w:rPr>
          <w:rFonts w:eastAsia="Times New Roman" w:cs="Times New Roman"/>
        </w:rPr>
        <w:t xml:space="preserve">: </w:t>
      </w:r>
    </w:p>
    <w:p w:rsidR="004A745F" w:rsidRPr="00E41264" w:rsidRDefault="00C177E8" w:rsidP="004A745F">
      <w:pPr>
        <w:spacing w:after="10" w:line="249" w:lineRule="auto"/>
        <w:ind w:left="2295" w:right="2227" w:hanging="10"/>
        <w:jc w:val="center"/>
        <w:rPr>
          <w:rFonts w:eastAsia="Times New Roman" w:cs="Times New Roman"/>
        </w:rPr>
      </w:pPr>
      <w:r>
        <w:rPr>
          <w:rFonts w:eastAsia="Times New Roman" w:cs="Times New Roman"/>
        </w:rPr>
        <w:t>Mischka Maxwell</w:t>
      </w:r>
      <w:r w:rsidR="00EF241F" w:rsidRPr="00E41264">
        <w:rPr>
          <w:rFonts w:eastAsia="Times New Roman" w:cs="Times New Roman"/>
        </w:rPr>
        <w:t xml:space="preserve">, </w:t>
      </w:r>
      <w:r>
        <w:rPr>
          <w:rFonts w:eastAsia="Times New Roman" w:cs="Times New Roman"/>
        </w:rPr>
        <w:t>A</w:t>
      </w:r>
      <w:r w:rsidR="004A745F" w:rsidRPr="00E41264">
        <w:rPr>
          <w:rFonts w:eastAsia="Times New Roman" w:cs="Times New Roman"/>
        </w:rPr>
        <w:t>VP Operations</w:t>
      </w:r>
    </w:p>
    <w:p w:rsidR="00B374EC" w:rsidRPr="00E41264" w:rsidRDefault="004A745F" w:rsidP="004A745F">
      <w:pPr>
        <w:spacing w:after="10" w:line="249" w:lineRule="auto"/>
        <w:ind w:right="2227"/>
        <w:jc w:val="center"/>
        <w:rPr>
          <w:rFonts w:eastAsia="Times New Roman" w:cs="Times New Roman"/>
        </w:rPr>
      </w:pPr>
      <w:r w:rsidRPr="00E41264">
        <w:rPr>
          <w:rFonts w:eastAsia="Times New Roman" w:cs="Times New Roman"/>
        </w:rPr>
        <w:t xml:space="preserve">     </w:t>
      </w:r>
      <w:r w:rsidRPr="00E41264">
        <w:rPr>
          <w:rFonts w:eastAsia="Times New Roman" w:cs="Times New Roman"/>
        </w:rPr>
        <w:tab/>
      </w:r>
      <w:r w:rsidRPr="00E41264">
        <w:rPr>
          <w:rFonts w:eastAsia="Times New Roman" w:cs="Times New Roman"/>
        </w:rPr>
        <w:tab/>
      </w:r>
      <w:r w:rsidRPr="00E41264">
        <w:rPr>
          <w:rFonts w:eastAsia="Times New Roman" w:cs="Times New Roman"/>
        </w:rPr>
        <w:tab/>
        <w:t>Eric Kledzik, SVP Operations</w:t>
      </w:r>
    </w:p>
    <w:p w:rsidR="00B374EC" w:rsidRPr="00E41264" w:rsidRDefault="00B374EC" w:rsidP="00B374EC">
      <w:r w:rsidRPr="00E41264">
        <w:br w:type="page"/>
      </w:r>
    </w:p>
    <w:p w:rsidR="004A745F" w:rsidRPr="00E41264" w:rsidRDefault="00B374EC" w:rsidP="00217CB3">
      <w:pPr>
        <w:pStyle w:val="Heading2"/>
        <w:jc w:val="center"/>
        <w:rPr>
          <w:rFonts w:eastAsia="Times New Roman"/>
        </w:rPr>
      </w:pPr>
      <w:bookmarkStart w:id="0" w:name="_Toc35933038"/>
      <w:r w:rsidRPr="00E41264">
        <w:rPr>
          <w:rFonts w:eastAsia="Times New Roman"/>
        </w:rPr>
        <w:lastRenderedPageBreak/>
        <w:t>Special Acknowledgement</w:t>
      </w:r>
      <w:bookmarkEnd w:id="0"/>
    </w:p>
    <w:p w:rsidR="00B374EC" w:rsidRPr="00E41264" w:rsidRDefault="00B374EC" w:rsidP="00B374EC">
      <w:pPr>
        <w:spacing w:after="10" w:line="249" w:lineRule="auto"/>
        <w:jc w:val="center"/>
        <w:rPr>
          <w:rFonts w:eastAsia="Times New Roman" w:cs="Times New Roman"/>
        </w:rPr>
      </w:pPr>
    </w:p>
    <w:p w:rsidR="00B374EC" w:rsidRPr="00E41264" w:rsidRDefault="00B374EC" w:rsidP="00B374EC">
      <w:pPr>
        <w:jc w:val="center"/>
        <w:rPr>
          <w:rFonts w:eastAsia="Times New Roman" w:cs="Times New Roman"/>
          <w:szCs w:val="24"/>
        </w:rPr>
      </w:pPr>
      <w:r w:rsidRPr="00E41264">
        <w:rPr>
          <w:rFonts w:eastAsia="Times New Roman" w:cs="Times New Roman"/>
        </w:rPr>
        <w:t>Florida Tech would like to recognize students</w:t>
      </w:r>
      <w:r w:rsidRPr="00E41264">
        <w:rPr>
          <w:rFonts w:eastAsia="Times New Roman" w:cs="Times New Roman"/>
          <w:szCs w:val="24"/>
        </w:rPr>
        <w:t xml:space="preserve"> Hannah Vest, Iven Webb, and Joseph Luya for their dedication and efforts to perform the very first GHG Inventory for their 2019 Senior Design Capstone Project. The commitment that is shown by the students of the Institution to better their community, environment, and future is what separates them from their peers in the rest of the world. </w:t>
      </w:r>
      <w:r w:rsidR="00164FA1" w:rsidRPr="00E41264">
        <w:rPr>
          <w:rFonts w:eastAsia="Times New Roman" w:cs="Times New Roman"/>
          <w:szCs w:val="24"/>
        </w:rPr>
        <w:t xml:space="preserve">They have truly embodied the relentless pursuit of greatness we instill in our alumni. </w:t>
      </w:r>
    </w:p>
    <w:p w:rsidR="00B374EC" w:rsidRPr="00E41264" w:rsidRDefault="00B374EC" w:rsidP="00B374EC">
      <w:pPr>
        <w:spacing w:after="10" w:line="249" w:lineRule="auto"/>
        <w:jc w:val="center"/>
        <w:rPr>
          <w:rFonts w:eastAsia="Times New Roman" w:cs="Times New Roman"/>
        </w:rPr>
      </w:pPr>
      <w:r w:rsidRPr="00E41264">
        <w:rPr>
          <w:rFonts w:eastAsia="Times New Roman" w:cs="Times New Roman"/>
        </w:rPr>
        <w:t xml:space="preserve"> </w:t>
      </w:r>
    </w:p>
    <w:p w:rsidR="00217CB3" w:rsidRPr="00E41264" w:rsidRDefault="00217CB3" w:rsidP="00762778">
      <w:pPr>
        <w:spacing w:after="10" w:line="249" w:lineRule="auto"/>
        <w:rPr>
          <w:rFonts w:eastAsia="Times New Roman" w:cs="Times New Roman"/>
        </w:rPr>
      </w:pPr>
    </w:p>
    <w:p w:rsidR="00217CB3" w:rsidRPr="00E41264" w:rsidRDefault="00217CB3" w:rsidP="00B374EC">
      <w:pPr>
        <w:spacing w:after="10" w:line="249" w:lineRule="auto"/>
        <w:jc w:val="center"/>
        <w:rPr>
          <w:rFonts w:eastAsia="Times New Roman" w:cs="Times New Roman"/>
        </w:rPr>
      </w:pPr>
    </w:p>
    <w:p w:rsidR="00217CB3" w:rsidRPr="003F1543" w:rsidRDefault="00217CB3" w:rsidP="003F1543">
      <w:pPr>
        <w:pStyle w:val="Heading2"/>
        <w:jc w:val="center"/>
        <w:rPr>
          <w:rFonts w:eastAsia="Times New Roman"/>
        </w:rPr>
      </w:pPr>
      <w:bookmarkStart w:id="1" w:name="_Toc35933039"/>
      <w:r w:rsidRPr="00E41264">
        <w:rPr>
          <w:rFonts w:eastAsia="Times New Roman"/>
        </w:rPr>
        <w:t>About the Authors</w:t>
      </w:r>
      <w:r w:rsidR="003F1543">
        <w:rPr>
          <w:rFonts w:eastAsia="Times New Roman"/>
        </w:rPr>
        <w:t xml:space="preserve"> &amp; Contributors</w:t>
      </w:r>
      <w:bookmarkEnd w:id="1"/>
    </w:p>
    <w:p w:rsidR="00217CB3" w:rsidRPr="00E41264" w:rsidRDefault="00217CB3" w:rsidP="00B374EC">
      <w:pPr>
        <w:spacing w:after="10" w:line="249" w:lineRule="auto"/>
        <w:jc w:val="center"/>
        <w:rPr>
          <w:rFonts w:eastAsia="Times New Roman" w:cs="Times New Roman"/>
        </w:rPr>
      </w:pPr>
    </w:p>
    <w:p w:rsidR="00217CB3" w:rsidRPr="003F1543" w:rsidRDefault="00217CB3" w:rsidP="00B374EC">
      <w:pPr>
        <w:spacing w:after="10" w:line="249" w:lineRule="auto"/>
        <w:jc w:val="center"/>
        <w:rPr>
          <w:rFonts w:eastAsia="Times New Roman" w:cs="Times New Roman"/>
          <w:b/>
        </w:rPr>
      </w:pPr>
      <w:r w:rsidRPr="003F1543">
        <w:rPr>
          <w:rFonts w:eastAsia="Times New Roman" w:cs="Times New Roman"/>
          <w:b/>
        </w:rPr>
        <w:t>Quinn Duffy</w:t>
      </w:r>
      <w:r w:rsidR="00A0596F" w:rsidRPr="003F1543">
        <w:rPr>
          <w:rFonts w:eastAsia="Times New Roman" w:cs="Times New Roman"/>
          <w:b/>
        </w:rPr>
        <w:t xml:space="preserve">, </w:t>
      </w:r>
      <w:r w:rsidR="00DA044B">
        <w:rPr>
          <w:rFonts w:eastAsia="Times New Roman" w:cs="Times New Roman"/>
          <w:b/>
        </w:rPr>
        <w:t>Planning &amp; Sustainability Specialist</w:t>
      </w:r>
    </w:p>
    <w:p w:rsidR="00A0596F" w:rsidRPr="00E41264" w:rsidRDefault="00A0596F" w:rsidP="00B374EC">
      <w:pPr>
        <w:spacing w:after="10" w:line="249" w:lineRule="auto"/>
        <w:jc w:val="center"/>
        <w:rPr>
          <w:rFonts w:eastAsia="Times New Roman" w:cs="Times New Roman"/>
        </w:rPr>
      </w:pPr>
    </w:p>
    <w:p w:rsidR="00504B49" w:rsidRPr="00E41264" w:rsidRDefault="00504B49" w:rsidP="00B374EC">
      <w:pPr>
        <w:spacing w:after="10" w:line="249" w:lineRule="auto"/>
        <w:jc w:val="center"/>
        <w:rPr>
          <w:rFonts w:eastAsia="Times New Roman" w:cs="Times New Roman"/>
        </w:rPr>
      </w:pPr>
      <w:r w:rsidRPr="00E41264">
        <w:rPr>
          <w:rFonts w:eastAsia="Times New Roman" w:cs="Times New Roman"/>
        </w:rPr>
        <w:t xml:space="preserve">Serves as </w:t>
      </w:r>
      <w:r w:rsidR="003F1543">
        <w:rPr>
          <w:rFonts w:eastAsia="Times New Roman" w:cs="Times New Roman"/>
        </w:rPr>
        <w:t>the Sustainability Coordinator</w:t>
      </w:r>
      <w:r w:rsidR="00221944">
        <w:rPr>
          <w:rFonts w:eastAsia="Times New Roman" w:cs="Times New Roman"/>
        </w:rPr>
        <w:t xml:space="preserve"> in the Facilities Operations d</w:t>
      </w:r>
      <w:r w:rsidRPr="00E41264">
        <w:rPr>
          <w:rFonts w:eastAsia="Times New Roman" w:cs="Times New Roman"/>
        </w:rPr>
        <w:t>epartment at Florida Tech</w:t>
      </w:r>
      <w:r w:rsidR="00A0596F" w:rsidRPr="00E41264">
        <w:rPr>
          <w:rFonts w:eastAsia="Times New Roman" w:cs="Times New Roman"/>
        </w:rPr>
        <w:t xml:space="preserve"> since 2019</w:t>
      </w:r>
      <w:r w:rsidRPr="00E41264">
        <w:rPr>
          <w:rFonts w:eastAsia="Times New Roman" w:cs="Times New Roman"/>
        </w:rPr>
        <w:t>. A recent graduate of Florida Tech with a B.S. in Civil Engineering and a minor in Sustainability who i</w:t>
      </w:r>
      <w:r w:rsidR="003F1543">
        <w:rPr>
          <w:rFonts w:eastAsia="Times New Roman" w:cs="Times New Roman"/>
        </w:rPr>
        <w:t>s continuing with his education at Florida Tech where he hopes to transform the campus environment and mindset</w:t>
      </w:r>
      <w:r w:rsidRPr="00E41264">
        <w:rPr>
          <w:rFonts w:eastAsia="Times New Roman" w:cs="Times New Roman"/>
        </w:rPr>
        <w:t xml:space="preserve">. </w:t>
      </w:r>
    </w:p>
    <w:p w:rsidR="00217CB3" w:rsidRPr="003F1543" w:rsidRDefault="00217CB3" w:rsidP="00A017F0">
      <w:pPr>
        <w:spacing w:after="10" w:line="249" w:lineRule="auto"/>
        <w:rPr>
          <w:rFonts w:eastAsia="Times New Roman" w:cs="Times New Roman"/>
          <w:b/>
        </w:rPr>
      </w:pPr>
    </w:p>
    <w:p w:rsidR="00217CB3" w:rsidRPr="003F1543" w:rsidRDefault="00221944" w:rsidP="00B374EC">
      <w:pPr>
        <w:spacing w:after="10" w:line="249" w:lineRule="auto"/>
        <w:jc w:val="center"/>
        <w:rPr>
          <w:rFonts w:eastAsia="Times New Roman" w:cs="Times New Roman"/>
          <w:b/>
        </w:rPr>
      </w:pPr>
      <w:r>
        <w:rPr>
          <w:rFonts w:eastAsia="Times New Roman" w:cs="Times New Roman"/>
          <w:b/>
        </w:rPr>
        <w:t>Ana Castañ</w:t>
      </w:r>
      <w:r w:rsidR="00217CB3" w:rsidRPr="003F1543">
        <w:rPr>
          <w:rFonts w:eastAsia="Times New Roman" w:cs="Times New Roman"/>
          <w:b/>
        </w:rPr>
        <w:t>eda</w:t>
      </w:r>
      <w:r w:rsidR="00A0596F" w:rsidRPr="003F1543">
        <w:rPr>
          <w:rFonts w:eastAsia="Times New Roman" w:cs="Times New Roman"/>
          <w:b/>
        </w:rPr>
        <w:t xml:space="preserve">, Student </w:t>
      </w:r>
    </w:p>
    <w:p w:rsidR="00217CB3" w:rsidRPr="00E41264" w:rsidRDefault="00217CB3" w:rsidP="00B374EC">
      <w:pPr>
        <w:spacing w:after="10" w:line="249" w:lineRule="auto"/>
        <w:jc w:val="center"/>
        <w:rPr>
          <w:rFonts w:eastAsia="Times New Roman" w:cs="Times New Roman"/>
        </w:rPr>
      </w:pPr>
    </w:p>
    <w:p w:rsidR="001E20FE" w:rsidRPr="00E41264" w:rsidRDefault="001D26E5" w:rsidP="00B374EC">
      <w:pPr>
        <w:spacing w:after="10" w:line="249" w:lineRule="auto"/>
        <w:jc w:val="center"/>
        <w:rPr>
          <w:rFonts w:eastAsia="Times New Roman" w:cs="Times New Roman"/>
        </w:rPr>
      </w:pPr>
      <w:r>
        <w:rPr>
          <w:rFonts w:eastAsia="Times New Roman" w:cs="Times New Roman"/>
        </w:rPr>
        <w:t>Ana Castañeda is a</w:t>
      </w:r>
      <w:r w:rsidR="00A017F0" w:rsidRPr="00E41264">
        <w:rPr>
          <w:rFonts w:eastAsia="Times New Roman" w:cs="Times New Roman"/>
        </w:rPr>
        <w:t xml:space="preserve"> student from Colombia studying sustainability, working as a Sustainability Technician for Facilities Operations, and serving in the Student Organization for Sustainable Action (SOSA). Ana is absolutely dedicated to sustainability and the pursuit of best practices, greater action, and thoughtful planning. </w:t>
      </w:r>
    </w:p>
    <w:p w:rsidR="00217CB3" w:rsidRPr="003F1543" w:rsidRDefault="00217CB3" w:rsidP="00B374EC">
      <w:pPr>
        <w:spacing w:after="10" w:line="249" w:lineRule="auto"/>
        <w:jc w:val="center"/>
        <w:rPr>
          <w:rFonts w:eastAsia="Times New Roman" w:cs="Times New Roman"/>
          <w:b/>
        </w:rPr>
      </w:pPr>
    </w:p>
    <w:p w:rsidR="00217CB3" w:rsidRPr="003F1543" w:rsidRDefault="00217CB3" w:rsidP="00B374EC">
      <w:pPr>
        <w:spacing w:after="10" w:line="249" w:lineRule="auto"/>
        <w:jc w:val="center"/>
        <w:rPr>
          <w:rFonts w:eastAsia="Times New Roman" w:cs="Times New Roman"/>
          <w:b/>
        </w:rPr>
      </w:pPr>
      <w:r w:rsidRPr="003F1543">
        <w:rPr>
          <w:rFonts w:eastAsia="Times New Roman" w:cs="Times New Roman"/>
          <w:b/>
        </w:rPr>
        <w:t>Suzy Daigle</w:t>
      </w:r>
      <w:r w:rsidR="001E20FE" w:rsidRPr="003F1543">
        <w:rPr>
          <w:rFonts w:eastAsia="Times New Roman" w:cs="Times New Roman"/>
          <w:b/>
        </w:rPr>
        <w:t>, Business Manager</w:t>
      </w:r>
    </w:p>
    <w:p w:rsidR="001E20FE" w:rsidRPr="00E41264" w:rsidRDefault="001E20FE" w:rsidP="00B374EC">
      <w:pPr>
        <w:spacing w:after="10" w:line="249" w:lineRule="auto"/>
        <w:jc w:val="center"/>
        <w:rPr>
          <w:rFonts w:eastAsia="Times New Roman" w:cs="Times New Roman"/>
        </w:rPr>
      </w:pPr>
    </w:p>
    <w:p w:rsidR="001E20FE" w:rsidRDefault="001E20FE" w:rsidP="00B374EC">
      <w:pPr>
        <w:spacing w:after="10" w:line="249" w:lineRule="auto"/>
        <w:jc w:val="center"/>
        <w:rPr>
          <w:rFonts w:eastAsia="Times New Roman" w:cs="Times New Roman"/>
        </w:rPr>
      </w:pPr>
      <w:r w:rsidRPr="00E41264">
        <w:rPr>
          <w:rFonts w:eastAsia="Times New Roman" w:cs="Times New Roman"/>
        </w:rPr>
        <w:t xml:space="preserve">Mrs. Daigle is a graduate of </w:t>
      </w:r>
      <w:r w:rsidR="003F1543">
        <w:rPr>
          <w:rFonts w:eastAsia="Times New Roman" w:cs="Times New Roman"/>
        </w:rPr>
        <w:t>the University of Louisiana at Lafayette</w:t>
      </w:r>
      <w:r w:rsidRPr="00E41264">
        <w:rPr>
          <w:rFonts w:eastAsia="Times New Roman" w:cs="Times New Roman"/>
        </w:rPr>
        <w:t xml:space="preserve"> with </w:t>
      </w:r>
      <w:r w:rsidR="003F1543" w:rsidRPr="003F1543">
        <w:rPr>
          <w:rFonts w:eastAsia="Times New Roman" w:cs="Times New Roman"/>
        </w:rPr>
        <w:t>B.S</w:t>
      </w:r>
      <w:r w:rsidR="003F1543">
        <w:rPr>
          <w:rFonts w:eastAsia="Times New Roman" w:cs="Times New Roman"/>
        </w:rPr>
        <w:t xml:space="preserve">. in General Studies and serves as the Secretary of the </w:t>
      </w:r>
      <w:r w:rsidRPr="00E41264">
        <w:rPr>
          <w:rFonts w:eastAsia="Times New Roman" w:cs="Times New Roman"/>
        </w:rPr>
        <w:t xml:space="preserve">University Sustainability Council.  Suzy is a huge supporter of sustainability and assists in the tracking, collection, and validation of the data collected for our certifications, programs, and award proposals. </w:t>
      </w:r>
    </w:p>
    <w:p w:rsidR="003F1543" w:rsidRDefault="003F1543" w:rsidP="00B374EC">
      <w:pPr>
        <w:spacing w:after="10" w:line="249" w:lineRule="auto"/>
        <w:jc w:val="center"/>
        <w:rPr>
          <w:rFonts w:eastAsia="Times New Roman" w:cs="Times New Roman"/>
        </w:rPr>
      </w:pPr>
    </w:p>
    <w:p w:rsidR="003F1543" w:rsidRDefault="003F1543" w:rsidP="00B374EC">
      <w:pPr>
        <w:spacing w:after="10" w:line="249" w:lineRule="auto"/>
        <w:jc w:val="center"/>
        <w:rPr>
          <w:rFonts w:eastAsia="Times New Roman" w:cs="Times New Roman"/>
          <w:b/>
        </w:rPr>
      </w:pPr>
      <w:r w:rsidRPr="003F1543">
        <w:rPr>
          <w:rFonts w:eastAsia="Times New Roman" w:cs="Times New Roman"/>
          <w:b/>
        </w:rPr>
        <w:t>Student Federal Work Study Technicians</w:t>
      </w:r>
    </w:p>
    <w:p w:rsidR="00071323" w:rsidRPr="003F1543" w:rsidRDefault="00071323" w:rsidP="00B374EC">
      <w:pPr>
        <w:spacing w:after="10" w:line="249" w:lineRule="auto"/>
        <w:jc w:val="center"/>
        <w:rPr>
          <w:rFonts w:eastAsia="Times New Roman" w:cs="Times New Roman"/>
          <w:b/>
        </w:rPr>
      </w:pPr>
    </w:p>
    <w:p w:rsidR="003F1543" w:rsidRDefault="003F1543" w:rsidP="00B374EC">
      <w:pPr>
        <w:spacing w:after="10" w:line="249" w:lineRule="auto"/>
        <w:jc w:val="center"/>
        <w:rPr>
          <w:rFonts w:eastAsia="Times New Roman" w:cs="Times New Roman"/>
        </w:rPr>
      </w:pPr>
      <w:r>
        <w:rPr>
          <w:rFonts w:eastAsia="Times New Roman" w:cs="Times New Roman"/>
        </w:rPr>
        <w:t>Vina</w:t>
      </w:r>
      <w:r w:rsidR="00221944">
        <w:rPr>
          <w:rFonts w:eastAsia="Times New Roman" w:cs="Times New Roman"/>
        </w:rPr>
        <w:t>i Balroop, Dylan Hall, Vicky Peñ</w:t>
      </w:r>
      <w:r>
        <w:rPr>
          <w:rFonts w:eastAsia="Times New Roman" w:cs="Times New Roman"/>
        </w:rPr>
        <w:t>a, Caroline Morales</w:t>
      </w:r>
    </w:p>
    <w:p w:rsidR="003F1543" w:rsidRPr="003F1543" w:rsidRDefault="003F1543" w:rsidP="00B374EC">
      <w:pPr>
        <w:spacing w:after="10" w:line="249" w:lineRule="auto"/>
        <w:jc w:val="center"/>
        <w:rPr>
          <w:rFonts w:eastAsia="Times New Roman" w:cs="Times New Roman"/>
          <w:b/>
        </w:rPr>
      </w:pPr>
    </w:p>
    <w:p w:rsidR="003F1543" w:rsidRDefault="003F1543" w:rsidP="00B374EC">
      <w:pPr>
        <w:spacing w:after="10" w:line="249" w:lineRule="auto"/>
        <w:jc w:val="center"/>
        <w:rPr>
          <w:rFonts w:eastAsia="Times New Roman" w:cs="Times New Roman"/>
          <w:b/>
        </w:rPr>
      </w:pPr>
      <w:r w:rsidRPr="003F1543">
        <w:rPr>
          <w:rFonts w:eastAsia="Times New Roman" w:cs="Times New Roman"/>
          <w:b/>
        </w:rPr>
        <w:t>Florida Tech Faculty, Staff, and Contributors</w:t>
      </w:r>
    </w:p>
    <w:p w:rsidR="00071323" w:rsidRPr="003F1543" w:rsidRDefault="00071323" w:rsidP="00B374EC">
      <w:pPr>
        <w:spacing w:after="10" w:line="249" w:lineRule="auto"/>
        <w:jc w:val="center"/>
        <w:rPr>
          <w:rFonts w:eastAsia="Times New Roman" w:cs="Times New Roman"/>
          <w:b/>
        </w:rPr>
      </w:pPr>
    </w:p>
    <w:p w:rsidR="003F1543" w:rsidRPr="00E41264" w:rsidRDefault="003F1543" w:rsidP="00B374EC">
      <w:pPr>
        <w:spacing w:after="10" w:line="249" w:lineRule="auto"/>
        <w:jc w:val="center"/>
        <w:rPr>
          <w:rFonts w:eastAsia="Times New Roman" w:cs="Times New Roman"/>
        </w:rPr>
        <w:sectPr w:rsidR="003F1543" w:rsidRPr="00E41264" w:rsidSect="006A62D5">
          <w:footerReference w:type="default" r:id="rId10"/>
          <w:pgSz w:w="12240" w:h="15840"/>
          <w:pgMar w:top="1440" w:right="1440" w:bottom="1440" w:left="1440" w:header="720" w:footer="720" w:gutter="0"/>
          <w:cols w:space="720"/>
          <w:titlePg/>
          <w:docGrid w:linePitch="360"/>
        </w:sectPr>
      </w:pPr>
      <w:r>
        <w:rPr>
          <w:rFonts w:eastAsia="Times New Roman" w:cs="Times New Roman"/>
        </w:rPr>
        <w:t>Dr. K. Lindeman, Student Organization for Student Action, Taylor Greene, Lee Martucci, Damon Hart, Jeff Sherman, Steve Czagas, Dr. G. Dewey Yeatts, Chad Shoultz, Cheryl LeBlanc, Carlos Rivera, Chrystal Hillary, and many more.</w:t>
      </w:r>
    </w:p>
    <w:sdt>
      <w:sdtPr>
        <w:rPr>
          <w:rFonts w:ascii="Times New Roman" w:eastAsia="Calibri" w:hAnsi="Times New Roman" w:cs="Times New Roman"/>
          <w:b/>
          <w:color w:val="C00000"/>
          <w:sz w:val="24"/>
          <w:szCs w:val="22"/>
        </w:rPr>
        <w:id w:val="2050959260"/>
        <w:docPartObj>
          <w:docPartGallery w:val="Table of Contents"/>
          <w:docPartUnique/>
        </w:docPartObj>
      </w:sdtPr>
      <w:sdtEndPr>
        <w:rPr>
          <w:rFonts w:cs="Calibri"/>
          <w:bCs/>
          <w:noProof/>
          <w:color w:val="000000"/>
        </w:rPr>
      </w:sdtEndPr>
      <w:sdtContent>
        <w:p w:rsidR="00775A04" w:rsidRDefault="00775A04">
          <w:pPr>
            <w:pStyle w:val="TOCHeading"/>
            <w:rPr>
              <w:rFonts w:ascii="Times New Roman" w:hAnsi="Times New Roman" w:cs="Times New Roman"/>
              <w:b/>
              <w:color w:val="C00000"/>
            </w:rPr>
          </w:pPr>
          <w:r w:rsidRPr="00E41264">
            <w:rPr>
              <w:rFonts w:ascii="Times New Roman" w:hAnsi="Times New Roman" w:cs="Times New Roman"/>
              <w:b/>
              <w:color w:val="C00000"/>
            </w:rPr>
            <w:t>Table of Contents</w:t>
          </w:r>
        </w:p>
        <w:p w:rsidR="009A582A" w:rsidRPr="009A582A" w:rsidRDefault="009A582A" w:rsidP="009A582A"/>
        <w:p w:rsidR="000514E3" w:rsidRDefault="00775A04">
          <w:pPr>
            <w:pStyle w:val="TOC2"/>
            <w:tabs>
              <w:tab w:val="right" w:leader="dot" w:pos="9350"/>
            </w:tabs>
            <w:rPr>
              <w:rFonts w:asciiTheme="minorHAnsi" w:eastAsiaTheme="minorEastAsia" w:hAnsiTheme="minorHAnsi" w:cstheme="minorBidi"/>
              <w:noProof/>
              <w:color w:val="auto"/>
              <w:sz w:val="22"/>
            </w:rPr>
          </w:pPr>
          <w:r w:rsidRPr="00E41264">
            <w:fldChar w:fldCharType="begin"/>
          </w:r>
          <w:r w:rsidRPr="00E41264">
            <w:instrText xml:space="preserve"> TOC \o "1-3" \h \z \u </w:instrText>
          </w:r>
          <w:r w:rsidRPr="00E41264">
            <w:fldChar w:fldCharType="separate"/>
          </w:r>
          <w:hyperlink w:anchor="_Toc35933038" w:history="1">
            <w:r w:rsidR="000514E3" w:rsidRPr="009921A0">
              <w:rPr>
                <w:rStyle w:val="Hyperlink"/>
                <w:rFonts w:eastAsia="Times New Roman"/>
                <w:noProof/>
              </w:rPr>
              <w:t>Special Acknowledgement</w:t>
            </w:r>
            <w:r w:rsidR="000514E3">
              <w:rPr>
                <w:noProof/>
                <w:webHidden/>
              </w:rPr>
              <w:tab/>
            </w:r>
            <w:r w:rsidR="000514E3">
              <w:rPr>
                <w:noProof/>
                <w:webHidden/>
              </w:rPr>
              <w:fldChar w:fldCharType="begin"/>
            </w:r>
            <w:r w:rsidR="000514E3">
              <w:rPr>
                <w:noProof/>
                <w:webHidden/>
              </w:rPr>
              <w:instrText xml:space="preserve"> PAGEREF _Toc35933038 \h </w:instrText>
            </w:r>
            <w:r w:rsidR="000514E3">
              <w:rPr>
                <w:noProof/>
                <w:webHidden/>
              </w:rPr>
            </w:r>
            <w:r w:rsidR="000514E3">
              <w:rPr>
                <w:noProof/>
                <w:webHidden/>
              </w:rPr>
              <w:fldChar w:fldCharType="separate"/>
            </w:r>
            <w:r w:rsidR="000514E3">
              <w:rPr>
                <w:noProof/>
                <w:webHidden/>
              </w:rPr>
              <w:t>2</w:t>
            </w:r>
            <w:r w:rsidR="000514E3">
              <w:rPr>
                <w:noProof/>
                <w:webHidden/>
              </w:rPr>
              <w:fldChar w:fldCharType="end"/>
            </w:r>
          </w:hyperlink>
        </w:p>
        <w:p w:rsidR="000514E3" w:rsidRDefault="000514E3">
          <w:pPr>
            <w:pStyle w:val="TOC2"/>
            <w:tabs>
              <w:tab w:val="right" w:leader="dot" w:pos="9350"/>
            </w:tabs>
            <w:rPr>
              <w:rFonts w:asciiTheme="minorHAnsi" w:eastAsiaTheme="minorEastAsia" w:hAnsiTheme="minorHAnsi" w:cstheme="minorBidi"/>
              <w:noProof/>
              <w:color w:val="auto"/>
              <w:sz w:val="22"/>
            </w:rPr>
          </w:pPr>
          <w:hyperlink w:anchor="_Toc35933039" w:history="1">
            <w:r w:rsidRPr="009921A0">
              <w:rPr>
                <w:rStyle w:val="Hyperlink"/>
                <w:rFonts w:eastAsia="Times New Roman"/>
                <w:noProof/>
              </w:rPr>
              <w:t>About the Authors &amp; Contributors</w:t>
            </w:r>
            <w:r>
              <w:rPr>
                <w:noProof/>
                <w:webHidden/>
              </w:rPr>
              <w:tab/>
            </w:r>
            <w:r>
              <w:rPr>
                <w:noProof/>
                <w:webHidden/>
              </w:rPr>
              <w:fldChar w:fldCharType="begin"/>
            </w:r>
            <w:r>
              <w:rPr>
                <w:noProof/>
                <w:webHidden/>
              </w:rPr>
              <w:instrText xml:space="preserve"> PAGEREF _Toc35933039 \h </w:instrText>
            </w:r>
            <w:r>
              <w:rPr>
                <w:noProof/>
                <w:webHidden/>
              </w:rPr>
            </w:r>
            <w:r>
              <w:rPr>
                <w:noProof/>
                <w:webHidden/>
              </w:rPr>
              <w:fldChar w:fldCharType="separate"/>
            </w:r>
            <w:r>
              <w:rPr>
                <w:noProof/>
                <w:webHidden/>
              </w:rPr>
              <w:t>2</w:t>
            </w:r>
            <w:r>
              <w:rPr>
                <w:noProof/>
                <w:webHidden/>
              </w:rPr>
              <w:fldChar w:fldCharType="end"/>
            </w:r>
          </w:hyperlink>
        </w:p>
        <w:p w:rsidR="000514E3" w:rsidRDefault="000514E3">
          <w:pPr>
            <w:pStyle w:val="TOC1"/>
            <w:tabs>
              <w:tab w:val="right" w:leader="dot" w:pos="9350"/>
            </w:tabs>
            <w:rPr>
              <w:rFonts w:asciiTheme="minorHAnsi" w:eastAsiaTheme="minorEastAsia" w:hAnsiTheme="minorHAnsi" w:cstheme="minorBidi"/>
              <w:noProof/>
              <w:color w:val="auto"/>
              <w:sz w:val="22"/>
            </w:rPr>
          </w:pPr>
          <w:hyperlink w:anchor="_Toc35933040" w:history="1">
            <w:r w:rsidRPr="009921A0">
              <w:rPr>
                <w:rStyle w:val="Hyperlink"/>
                <w:noProof/>
              </w:rPr>
              <w:t>Executive Summary</w:t>
            </w:r>
            <w:r>
              <w:rPr>
                <w:noProof/>
                <w:webHidden/>
              </w:rPr>
              <w:tab/>
            </w:r>
            <w:r>
              <w:rPr>
                <w:noProof/>
                <w:webHidden/>
              </w:rPr>
              <w:fldChar w:fldCharType="begin"/>
            </w:r>
            <w:r>
              <w:rPr>
                <w:noProof/>
                <w:webHidden/>
              </w:rPr>
              <w:instrText xml:space="preserve"> PAGEREF _Toc35933040 \h </w:instrText>
            </w:r>
            <w:r>
              <w:rPr>
                <w:noProof/>
                <w:webHidden/>
              </w:rPr>
            </w:r>
            <w:r>
              <w:rPr>
                <w:noProof/>
                <w:webHidden/>
              </w:rPr>
              <w:fldChar w:fldCharType="separate"/>
            </w:r>
            <w:r>
              <w:rPr>
                <w:noProof/>
                <w:webHidden/>
              </w:rPr>
              <w:t>4</w:t>
            </w:r>
            <w:r>
              <w:rPr>
                <w:noProof/>
                <w:webHidden/>
              </w:rPr>
              <w:fldChar w:fldCharType="end"/>
            </w:r>
          </w:hyperlink>
        </w:p>
        <w:p w:rsidR="000514E3" w:rsidRDefault="000514E3">
          <w:pPr>
            <w:pStyle w:val="TOC1"/>
            <w:tabs>
              <w:tab w:val="right" w:leader="dot" w:pos="9350"/>
            </w:tabs>
            <w:rPr>
              <w:rFonts w:asciiTheme="minorHAnsi" w:eastAsiaTheme="minorEastAsia" w:hAnsiTheme="minorHAnsi" w:cstheme="minorBidi"/>
              <w:noProof/>
              <w:color w:val="auto"/>
              <w:sz w:val="22"/>
            </w:rPr>
          </w:pPr>
          <w:hyperlink w:anchor="_Toc35933041" w:history="1">
            <w:r w:rsidRPr="009921A0">
              <w:rPr>
                <w:rStyle w:val="Hyperlink"/>
                <w:noProof/>
              </w:rPr>
              <w:t>Inventory Parameters &amp; Boundaries</w:t>
            </w:r>
            <w:r>
              <w:rPr>
                <w:noProof/>
                <w:webHidden/>
              </w:rPr>
              <w:tab/>
            </w:r>
            <w:r>
              <w:rPr>
                <w:noProof/>
                <w:webHidden/>
              </w:rPr>
              <w:fldChar w:fldCharType="begin"/>
            </w:r>
            <w:r>
              <w:rPr>
                <w:noProof/>
                <w:webHidden/>
              </w:rPr>
              <w:instrText xml:space="preserve"> PAGEREF _Toc35933041 \h </w:instrText>
            </w:r>
            <w:r>
              <w:rPr>
                <w:noProof/>
                <w:webHidden/>
              </w:rPr>
            </w:r>
            <w:r>
              <w:rPr>
                <w:noProof/>
                <w:webHidden/>
              </w:rPr>
              <w:fldChar w:fldCharType="separate"/>
            </w:r>
            <w:r>
              <w:rPr>
                <w:noProof/>
                <w:webHidden/>
              </w:rPr>
              <w:t>5</w:t>
            </w:r>
            <w:r>
              <w:rPr>
                <w:noProof/>
                <w:webHidden/>
              </w:rPr>
              <w:fldChar w:fldCharType="end"/>
            </w:r>
          </w:hyperlink>
        </w:p>
        <w:p w:rsidR="000514E3" w:rsidRDefault="000514E3">
          <w:pPr>
            <w:pStyle w:val="TOC2"/>
            <w:tabs>
              <w:tab w:val="right" w:leader="dot" w:pos="9350"/>
            </w:tabs>
            <w:rPr>
              <w:rFonts w:asciiTheme="minorHAnsi" w:eastAsiaTheme="minorEastAsia" w:hAnsiTheme="minorHAnsi" w:cstheme="minorBidi"/>
              <w:noProof/>
              <w:color w:val="auto"/>
              <w:sz w:val="22"/>
            </w:rPr>
          </w:pPr>
          <w:hyperlink w:anchor="_Toc35933042" w:history="1">
            <w:r w:rsidRPr="009921A0">
              <w:rPr>
                <w:rStyle w:val="Hyperlink"/>
                <w:rFonts w:eastAsia="Times New Roman"/>
                <w:noProof/>
              </w:rPr>
              <w:t>Methods</w:t>
            </w:r>
            <w:r>
              <w:rPr>
                <w:noProof/>
                <w:webHidden/>
              </w:rPr>
              <w:tab/>
            </w:r>
            <w:r>
              <w:rPr>
                <w:noProof/>
                <w:webHidden/>
              </w:rPr>
              <w:fldChar w:fldCharType="begin"/>
            </w:r>
            <w:r>
              <w:rPr>
                <w:noProof/>
                <w:webHidden/>
              </w:rPr>
              <w:instrText xml:space="preserve"> PAGEREF _Toc35933042 \h </w:instrText>
            </w:r>
            <w:r>
              <w:rPr>
                <w:noProof/>
                <w:webHidden/>
              </w:rPr>
            </w:r>
            <w:r>
              <w:rPr>
                <w:noProof/>
                <w:webHidden/>
              </w:rPr>
              <w:fldChar w:fldCharType="separate"/>
            </w:r>
            <w:r>
              <w:rPr>
                <w:noProof/>
                <w:webHidden/>
              </w:rPr>
              <w:t>5</w:t>
            </w:r>
            <w:r>
              <w:rPr>
                <w:noProof/>
                <w:webHidden/>
              </w:rPr>
              <w:fldChar w:fldCharType="end"/>
            </w:r>
          </w:hyperlink>
        </w:p>
        <w:p w:rsidR="000514E3" w:rsidRDefault="000514E3">
          <w:pPr>
            <w:pStyle w:val="TOC2"/>
            <w:tabs>
              <w:tab w:val="right" w:leader="dot" w:pos="9350"/>
            </w:tabs>
            <w:rPr>
              <w:rFonts w:asciiTheme="minorHAnsi" w:eastAsiaTheme="minorEastAsia" w:hAnsiTheme="minorHAnsi" w:cstheme="minorBidi"/>
              <w:noProof/>
              <w:color w:val="auto"/>
              <w:sz w:val="22"/>
            </w:rPr>
          </w:pPr>
          <w:hyperlink w:anchor="_Toc35933043" w:history="1">
            <w:r w:rsidRPr="009921A0">
              <w:rPr>
                <w:rStyle w:val="Hyperlink"/>
                <w:noProof/>
              </w:rPr>
              <w:t>Institutional Parameters</w:t>
            </w:r>
            <w:r>
              <w:rPr>
                <w:noProof/>
                <w:webHidden/>
              </w:rPr>
              <w:tab/>
            </w:r>
            <w:r>
              <w:rPr>
                <w:noProof/>
                <w:webHidden/>
              </w:rPr>
              <w:fldChar w:fldCharType="begin"/>
            </w:r>
            <w:r>
              <w:rPr>
                <w:noProof/>
                <w:webHidden/>
              </w:rPr>
              <w:instrText xml:space="preserve"> PAGEREF _Toc35933043 \h </w:instrText>
            </w:r>
            <w:r>
              <w:rPr>
                <w:noProof/>
                <w:webHidden/>
              </w:rPr>
            </w:r>
            <w:r>
              <w:rPr>
                <w:noProof/>
                <w:webHidden/>
              </w:rPr>
              <w:fldChar w:fldCharType="separate"/>
            </w:r>
            <w:r>
              <w:rPr>
                <w:noProof/>
                <w:webHidden/>
              </w:rPr>
              <w:t>6</w:t>
            </w:r>
            <w:r>
              <w:rPr>
                <w:noProof/>
                <w:webHidden/>
              </w:rPr>
              <w:fldChar w:fldCharType="end"/>
            </w:r>
          </w:hyperlink>
        </w:p>
        <w:p w:rsidR="000514E3" w:rsidRDefault="000514E3">
          <w:pPr>
            <w:pStyle w:val="TOC1"/>
            <w:tabs>
              <w:tab w:val="right" w:leader="dot" w:pos="9350"/>
            </w:tabs>
            <w:rPr>
              <w:rFonts w:asciiTheme="minorHAnsi" w:eastAsiaTheme="minorEastAsia" w:hAnsiTheme="minorHAnsi" w:cstheme="minorBidi"/>
              <w:noProof/>
              <w:color w:val="auto"/>
              <w:sz w:val="22"/>
            </w:rPr>
          </w:pPr>
          <w:hyperlink w:anchor="_Toc35933044" w:history="1">
            <w:r w:rsidRPr="009921A0">
              <w:rPr>
                <w:rStyle w:val="Hyperlink"/>
                <w:noProof/>
              </w:rPr>
              <w:t>Scope 1 Emissions Inventory</w:t>
            </w:r>
            <w:r>
              <w:rPr>
                <w:noProof/>
                <w:webHidden/>
              </w:rPr>
              <w:tab/>
            </w:r>
            <w:r>
              <w:rPr>
                <w:noProof/>
                <w:webHidden/>
              </w:rPr>
              <w:fldChar w:fldCharType="begin"/>
            </w:r>
            <w:r>
              <w:rPr>
                <w:noProof/>
                <w:webHidden/>
              </w:rPr>
              <w:instrText xml:space="preserve"> PAGEREF _Toc35933044 \h </w:instrText>
            </w:r>
            <w:r>
              <w:rPr>
                <w:noProof/>
                <w:webHidden/>
              </w:rPr>
            </w:r>
            <w:r>
              <w:rPr>
                <w:noProof/>
                <w:webHidden/>
              </w:rPr>
              <w:fldChar w:fldCharType="separate"/>
            </w:r>
            <w:r>
              <w:rPr>
                <w:noProof/>
                <w:webHidden/>
              </w:rPr>
              <w:t>7</w:t>
            </w:r>
            <w:r>
              <w:rPr>
                <w:noProof/>
                <w:webHidden/>
              </w:rPr>
              <w:fldChar w:fldCharType="end"/>
            </w:r>
          </w:hyperlink>
        </w:p>
        <w:p w:rsidR="000514E3" w:rsidRDefault="000514E3">
          <w:pPr>
            <w:pStyle w:val="TOC1"/>
            <w:tabs>
              <w:tab w:val="right" w:leader="dot" w:pos="9350"/>
            </w:tabs>
            <w:rPr>
              <w:rFonts w:asciiTheme="minorHAnsi" w:eastAsiaTheme="minorEastAsia" w:hAnsiTheme="minorHAnsi" w:cstheme="minorBidi"/>
              <w:noProof/>
              <w:color w:val="auto"/>
              <w:sz w:val="22"/>
            </w:rPr>
          </w:pPr>
          <w:hyperlink w:anchor="_Toc35933045" w:history="1">
            <w:r w:rsidRPr="009921A0">
              <w:rPr>
                <w:rStyle w:val="Hyperlink"/>
                <w:noProof/>
              </w:rPr>
              <w:t>Scope 2 Emissions Inventory</w:t>
            </w:r>
            <w:r>
              <w:rPr>
                <w:noProof/>
                <w:webHidden/>
              </w:rPr>
              <w:tab/>
            </w:r>
            <w:r>
              <w:rPr>
                <w:noProof/>
                <w:webHidden/>
              </w:rPr>
              <w:fldChar w:fldCharType="begin"/>
            </w:r>
            <w:r>
              <w:rPr>
                <w:noProof/>
                <w:webHidden/>
              </w:rPr>
              <w:instrText xml:space="preserve"> PAGEREF _Toc35933045 \h </w:instrText>
            </w:r>
            <w:r>
              <w:rPr>
                <w:noProof/>
                <w:webHidden/>
              </w:rPr>
            </w:r>
            <w:r>
              <w:rPr>
                <w:noProof/>
                <w:webHidden/>
              </w:rPr>
              <w:fldChar w:fldCharType="separate"/>
            </w:r>
            <w:r>
              <w:rPr>
                <w:noProof/>
                <w:webHidden/>
              </w:rPr>
              <w:t>11</w:t>
            </w:r>
            <w:r>
              <w:rPr>
                <w:noProof/>
                <w:webHidden/>
              </w:rPr>
              <w:fldChar w:fldCharType="end"/>
            </w:r>
          </w:hyperlink>
        </w:p>
        <w:p w:rsidR="000514E3" w:rsidRDefault="000514E3">
          <w:pPr>
            <w:pStyle w:val="TOC1"/>
            <w:tabs>
              <w:tab w:val="right" w:leader="dot" w:pos="9350"/>
            </w:tabs>
            <w:rPr>
              <w:rFonts w:asciiTheme="minorHAnsi" w:eastAsiaTheme="minorEastAsia" w:hAnsiTheme="minorHAnsi" w:cstheme="minorBidi"/>
              <w:noProof/>
              <w:color w:val="auto"/>
              <w:sz w:val="22"/>
            </w:rPr>
          </w:pPr>
          <w:hyperlink w:anchor="_Toc35933046" w:history="1">
            <w:r w:rsidRPr="009921A0">
              <w:rPr>
                <w:rStyle w:val="Hyperlink"/>
                <w:noProof/>
              </w:rPr>
              <w:t>Scope 3 Emissions Inventory</w:t>
            </w:r>
            <w:r>
              <w:rPr>
                <w:noProof/>
                <w:webHidden/>
              </w:rPr>
              <w:tab/>
            </w:r>
            <w:r>
              <w:rPr>
                <w:noProof/>
                <w:webHidden/>
              </w:rPr>
              <w:fldChar w:fldCharType="begin"/>
            </w:r>
            <w:r>
              <w:rPr>
                <w:noProof/>
                <w:webHidden/>
              </w:rPr>
              <w:instrText xml:space="preserve"> PAGEREF _Toc35933046 \h </w:instrText>
            </w:r>
            <w:r>
              <w:rPr>
                <w:noProof/>
                <w:webHidden/>
              </w:rPr>
            </w:r>
            <w:r>
              <w:rPr>
                <w:noProof/>
                <w:webHidden/>
              </w:rPr>
              <w:fldChar w:fldCharType="separate"/>
            </w:r>
            <w:r>
              <w:rPr>
                <w:noProof/>
                <w:webHidden/>
              </w:rPr>
              <w:t>12</w:t>
            </w:r>
            <w:r>
              <w:rPr>
                <w:noProof/>
                <w:webHidden/>
              </w:rPr>
              <w:fldChar w:fldCharType="end"/>
            </w:r>
          </w:hyperlink>
        </w:p>
        <w:p w:rsidR="000514E3" w:rsidRDefault="000514E3">
          <w:pPr>
            <w:pStyle w:val="TOC1"/>
            <w:tabs>
              <w:tab w:val="right" w:leader="dot" w:pos="9350"/>
            </w:tabs>
            <w:rPr>
              <w:rFonts w:asciiTheme="minorHAnsi" w:eastAsiaTheme="minorEastAsia" w:hAnsiTheme="minorHAnsi" w:cstheme="minorBidi"/>
              <w:noProof/>
              <w:color w:val="auto"/>
              <w:sz w:val="22"/>
            </w:rPr>
          </w:pPr>
          <w:hyperlink w:anchor="_Toc35933047" w:history="1">
            <w:r w:rsidRPr="009921A0">
              <w:rPr>
                <w:rStyle w:val="Hyperlink"/>
                <w:noProof/>
              </w:rPr>
              <w:t>Carbon Sinks &amp; Sequestration</w:t>
            </w:r>
            <w:r>
              <w:rPr>
                <w:noProof/>
                <w:webHidden/>
              </w:rPr>
              <w:tab/>
            </w:r>
            <w:r>
              <w:rPr>
                <w:noProof/>
                <w:webHidden/>
              </w:rPr>
              <w:fldChar w:fldCharType="begin"/>
            </w:r>
            <w:r>
              <w:rPr>
                <w:noProof/>
                <w:webHidden/>
              </w:rPr>
              <w:instrText xml:space="preserve"> PAGEREF _Toc35933047 \h </w:instrText>
            </w:r>
            <w:r>
              <w:rPr>
                <w:noProof/>
                <w:webHidden/>
              </w:rPr>
            </w:r>
            <w:r>
              <w:rPr>
                <w:noProof/>
                <w:webHidden/>
              </w:rPr>
              <w:fldChar w:fldCharType="separate"/>
            </w:r>
            <w:r>
              <w:rPr>
                <w:noProof/>
                <w:webHidden/>
              </w:rPr>
              <w:t>18</w:t>
            </w:r>
            <w:r>
              <w:rPr>
                <w:noProof/>
                <w:webHidden/>
              </w:rPr>
              <w:fldChar w:fldCharType="end"/>
            </w:r>
          </w:hyperlink>
        </w:p>
        <w:p w:rsidR="000514E3" w:rsidRDefault="000514E3">
          <w:pPr>
            <w:pStyle w:val="TOC1"/>
            <w:tabs>
              <w:tab w:val="right" w:leader="dot" w:pos="9350"/>
            </w:tabs>
            <w:rPr>
              <w:rFonts w:asciiTheme="minorHAnsi" w:eastAsiaTheme="minorEastAsia" w:hAnsiTheme="minorHAnsi" w:cstheme="minorBidi"/>
              <w:noProof/>
              <w:color w:val="auto"/>
              <w:sz w:val="22"/>
            </w:rPr>
          </w:pPr>
          <w:hyperlink w:anchor="_Toc35933048" w:history="1">
            <w:r w:rsidRPr="009921A0">
              <w:rPr>
                <w:rStyle w:val="Hyperlink"/>
                <w:noProof/>
              </w:rPr>
              <w:t>Summary</w:t>
            </w:r>
            <w:r>
              <w:rPr>
                <w:noProof/>
                <w:webHidden/>
              </w:rPr>
              <w:tab/>
            </w:r>
            <w:r>
              <w:rPr>
                <w:noProof/>
                <w:webHidden/>
              </w:rPr>
              <w:fldChar w:fldCharType="begin"/>
            </w:r>
            <w:r>
              <w:rPr>
                <w:noProof/>
                <w:webHidden/>
              </w:rPr>
              <w:instrText xml:space="preserve"> PAGEREF _Toc35933048 \h </w:instrText>
            </w:r>
            <w:r>
              <w:rPr>
                <w:noProof/>
                <w:webHidden/>
              </w:rPr>
            </w:r>
            <w:r>
              <w:rPr>
                <w:noProof/>
                <w:webHidden/>
              </w:rPr>
              <w:fldChar w:fldCharType="separate"/>
            </w:r>
            <w:r>
              <w:rPr>
                <w:noProof/>
                <w:webHidden/>
              </w:rPr>
              <w:t>19</w:t>
            </w:r>
            <w:r>
              <w:rPr>
                <w:noProof/>
                <w:webHidden/>
              </w:rPr>
              <w:fldChar w:fldCharType="end"/>
            </w:r>
          </w:hyperlink>
        </w:p>
        <w:p w:rsidR="000514E3" w:rsidRDefault="000514E3">
          <w:pPr>
            <w:pStyle w:val="TOC1"/>
            <w:tabs>
              <w:tab w:val="right" w:leader="dot" w:pos="9350"/>
            </w:tabs>
            <w:rPr>
              <w:rFonts w:asciiTheme="minorHAnsi" w:eastAsiaTheme="minorEastAsia" w:hAnsiTheme="minorHAnsi" w:cstheme="minorBidi"/>
              <w:noProof/>
              <w:color w:val="auto"/>
              <w:sz w:val="22"/>
            </w:rPr>
          </w:pPr>
          <w:hyperlink w:anchor="_Toc35933049" w:history="1">
            <w:r w:rsidRPr="009921A0">
              <w:rPr>
                <w:rStyle w:val="Hyperlink"/>
                <w:noProof/>
              </w:rPr>
              <w:t>References</w:t>
            </w:r>
            <w:r>
              <w:rPr>
                <w:noProof/>
                <w:webHidden/>
              </w:rPr>
              <w:tab/>
            </w:r>
            <w:r>
              <w:rPr>
                <w:noProof/>
                <w:webHidden/>
              </w:rPr>
              <w:fldChar w:fldCharType="begin"/>
            </w:r>
            <w:r>
              <w:rPr>
                <w:noProof/>
                <w:webHidden/>
              </w:rPr>
              <w:instrText xml:space="preserve"> PAGEREF _Toc35933049 \h </w:instrText>
            </w:r>
            <w:r>
              <w:rPr>
                <w:noProof/>
                <w:webHidden/>
              </w:rPr>
            </w:r>
            <w:r>
              <w:rPr>
                <w:noProof/>
                <w:webHidden/>
              </w:rPr>
              <w:fldChar w:fldCharType="separate"/>
            </w:r>
            <w:r>
              <w:rPr>
                <w:noProof/>
                <w:webHidden/>
              </w:rPr>
              <w:t>20</w:t>
            </w:r>
            <w:r>
              <w:rPr>
                <w:noProof/>
                <w:webHidden/>
              </w:rPr>
              <w:fldChar w:fldCharType="end"/>
            </w:r>
          </w:hyperlink>
        </w:p>
        <w:p w:rsidR="000514E3" w:rsidRDefault="000514E3">
          <w:pPr>
            <w:pStyle w:val="TOC1"/>
            <w:tabs>
              <w:tab w:val="right" w:leader="dot" w:pos="9350"/>
            </w:tabs>
            <w:rPr>
              <w:rFonts w:asciiTheme="minorHAnsi" w:eastAsiaTheme="minorEastAsia" w:hAnsiTheme="minorHAnsi" w:cstheme="minorBidi"/>
              <w:noProof/>
              <w:color w:val="auto"/>
              <w:sz w:val="22"/>
            </w:rPr>
          </w:pPr>
          <w:hyperlink w:anchor="_Toc35933050" w:history="1">
            <w:r w:rsidRPr="009921A0">
              <w:rPr>
                <w:rStyle w:val="Hyperlink"/>
                <w:noProof/>
              </w:rPr>
              <w:t>Appendix</w:t>
            </w:r>
            <w:r>
              <w:rPr>
                <w:noProof/>
                <w:webHidden/>
              </w:rPr>
              <w:tab/>
            </w:r>
            <w:r>
              <w:rPr>
                <w:noProof/>
                <w:webHidden/>
              </w:rPr>
              <w:fldChar w:fldCharType="begin"/>
            </w:r>
            <w:r>
              <w:rPr>
                <w:noProof/>
                <w:webHidden/>
              </w:rPr>
              <w:instrText xml:space="preserve"> PAGEREF _Toc35933050 \h </w:instrText>
            </w:r>
            <w:r>
              <w:rPr>
                <w:noProof/>
                <w:webHidden/>
              </w:rPr>
            </w:r>
            <w:r>
              <w:rPr>
                <w:noProof/>
                <w:webHidden/>
              </w:rPr>
              <w:fldChar w:fldCharType="separate"/>
            </w:r>
            <w:r>
              <w:rPr>
                <w:noProof/>
                <w:webHidden/>
              </w:rPr>
              <w:t>21</w:t>
            </w:r>
            <w:r>
              <w:rPr>
                <w:noProof/>
                <w:webHidden/>
              </w:rPr>
              <w:fldChar w:fldCharType="end"/>
            </w:r>
          </w:hyperlink>
        </w:p>
        <w:p w:rsidR="00775A04" w:rsidRPr="00E41264" w:rsidRDefault="00775A04">
          <w:r w:rsidRPr="00E41264">
            <w:rPr>
              <w:b/>
              <w:bCs/>
              <w:noProof/>
            </w:rPr>
            <w:fldChar w:fldCharType="end"/>
          </w:r>
        </w:p>
      </w:sdtContent>
    </w:sdt>
    <w:p w:rsidR="000514E3" w:rsidRDefault="000514E3">
      <w:pPr>
        <w:pStyle w:val="TableofFigures"/>
        <w:tabs>
          <w:tab w:val="right" w:leader="dot" w:pos="9350"/>
        </w:tabs>
        <w:rPr>
          <w:noProof/>
        </w:rPr>
      </w:pPr>
      <w:r>
        <w:rPr>
          <w:rFonts w:eastAsia="Arial" w:cs="Times New Roman"/>
          <w:b/>
          <w:sz w:val="20"/>
        </w:rPr>
        <w:fldChar w:fldCharType="begin"/>
      </w:r>
      <w:r>
        <w:rPr>
          <w:rFonts w:eastAsia="Arial" w:cs="Times New Roman"/>
          <w:b/>
          <w:sz w:val="20"/>
        </w:rPr>
        <w:instrText xml:space="preserve"> TOC \h \z \c "Figure" </w:instrText>
      </w:r>
      <w:r>
        <w:rPr>
          <w:rFonts w:eastAsia="Arial" w:cs="Times New Roman"/>
          <w:b/>
          <w:sz w:val="20"/>
        </w:rPr>
        <w:fldChar w:fldCharType="separate"/>
      </w:r>
      <w:hyperlink w:anchor="_Toc35933063" w:history="1">
        <w:r w:rsidRPr="00EB57FF">
          <w:rPr>
            <w:rStyle w:val="Hyperlink"/>
            <w:noProof/>
          </w:rPr>
          <w:t>Figure 1: FY-2019 Food Weight Breakdown</w:t>
        </w:r>
        <w:r>
          <w:rPr>
            <w:noProof/>
            <w:webHidden/>
          </w:rPr>
          <w:tab/>
        </w:r>
        <w:r>
          <w:rPr>
            <w:noProof/>
            <w:webHidden/>
          </w:rPr>
          <w:fldChar w:fldCharType="begin"/>
        </w:r>
        <w:r>
          <w:rPr>
            <w:noProof/>
            <w:webHidden/>
          </w:rPr>
          <w:instrText xml:space="preserve"> PAGEREF _Toc35933063 \h </w:instrText>
        </w:r>
        <w:r>
          <w:rPr>
            <w:noProof/>
            <w:webHidden/>
          </w:rPr>
        </w:r>
        <w:r>
          <w:rPr>
            <w:noProof/>
            <w:webHidden/>
          </w:rPr>
          <w:fldChar w:fldCharType="separate"/>
        </w:r>
        <w:r>
          <w:rPr>
            <w:noProof/>
            <w:webHidden/>
          </w:rPr>
          <w:t>15</w:t>
        </w:r>
        <w:r>
          <w:rPr>
            <w:noProof/>
            <w:webHidden/>
          </w:rPr>
          <w:fldChar w:fldCharType="end"/>
        </w:r>
      </w:hyperlink>
    </w:p>
    <w:p w:rsidR="000514E3" w:rsidRDefault="000514E3">
      <w:pPr>
        <w:pStyle w:val="TableofFigures"/>
        <w:tabs>
          <w:tab w:val="right" w:leader="dot" w:pos="9350"/>
        </w:tabs>
        <w:rPr>
          <w:noProof/>
        </w:rPr>
      </w:pPr>
      <w:hyperlink w:anchor="_Toc35933064" w:history="1">
        <w:r w:rsidRPr="00EB57FF">
          <w:rPr>
            <w:rStyle w:val="Hyperlink"/>
            <w:noProof/>
          </w:rPr>
          <w:t>Figure 2: FY-2019 Food Carbon Emissions Breakdown</w:t>
        </w:r>
        <w:r>
          <w:rPr>
            <w:noProof/>
            <w:webHidden/>
          </w:rPr>
          <w:tab/>
        </w:r>
        <w:r>
          <w:rPr>
            <w:noProof/>
            <w:webHidden/>
          </w:rPr>
          <w:fldChar w:fldCharType="begin"/>
        </w:r>
        <w:r>
          <w:rPr>
            <w:noProof/>
            <w:webHidden/>
          </w:rPr>
          <w:instrText xml:space="preserve"> PAGEREF _Toc35933064 \h </w:instrText>
        </w:r>
        <w:r>
          <w:rPr>
            <w:noProof/>
            <w:webHidden/>
          </w:rPr>
        </w:r>
        <w:r>
          <w:rPr>
            <w:noProof/>
            <w:webHidden/>
          </w:rPr>
          <w:fldChar w:fldCharType="separate"/>
        </w:r>
        <w:r>
          <w:rPr>
            <w:noProof/>
            <w:webHidden/>
          </w:rPr>
          <w:t>16</w:t>
        </w:r>
        <w:r>
          <w:rPr>
            <w:noProof/>
            <w:webHidden/>
          </w:rPr>
          <w:fldChar w:fldCharType="end"/>
        </w:r>
      </w:hyperlink>
    </w:p>
    <w:p w:rsidR="000514E3" w:rsidRDefault="000514E3">
      <w:pPr>
        <w:pStyle w:val="TableofFigures"/>
        <w:tabs>
          <w:tab w:val="right" w:leader="dot" w:pos="9350"/>
        </w:tabs>
        <w:rPr>
          <w:noProof/>
        </w:rPr>
      </w:pPr>
      <w:hyperlink w:anchor="_Toc35933065" w:history="1">
        <w:r w:rsidRPr="00EB57FF">
          <w:rPr>
            <w:rStyle w:val="Hyperlink"/>
            <w:noProof/>
          </w:rPr>
          <w:t>Figure 3: Total FY-2019 Carbon Emissions Breakdown</w:t>
        </w:r>
        <w:r>
          <w:rPr>
            <w:noProof/>
            <w:webHidden/>
          </w:rPr>
          <w:tab/>
        </w:r>
        <w:r>
          <w:rPr>
            <w:noProof/>
            <w:webHidden/>
          </w:rPr>
          <w:fldChar w:fldCharType="begin"/>
        </w:r>
        <w:r>
          <w:rPr>
            <w:noProof/>
            <w:webHidden/>
          </w:rPr>
          <w:instrText xml:space="preserve"> PAGEREF _Toc35933065 \h </w:instrText>
        </w:r>
        <w:r>
          <w:rPr>
            <w:noProof/>
            <w:webHidden/>
          </w:rPr>
        </w:r>
        <w:r>
          <w:rPr>
            <w:noProof/>
            <w:webHidden/>
          </w:rPr>
          <w:fldChar w:fldCharType="separate"/>
        </w:r>
        <w:r>
          <w:rPr>
            <w:noProof/>
            <w:webHidden/>
          </w:rPr>
          <w:t>19</w:t>
        </w:r>
        <w:r>
          <w:rPr>
            <w:noProof/>
            <w:webHidden/>
          </w:rPr>
          <w:fldChar w:fldCharType="end"/>
        </w:r>
      </w:hyperlink>
    </w:p>
    <w:p w:rsidR="000514E3" w:rsidRDefault="000514E3">
      <w:pPr>
        <w:pStyle w:val="TableofFigures"/>
        <w:tabs>
          <w:tab w:val="right" w:leader="dot" w:pos="9350"/>
        </w:tabs>
        <w:rPr>
          <w:noProof/>
        </w:rPr>
      </w:pPr>
      <w:hyperlink w:anchor="_Toc35933066" w:history="1">
        <w:r w:rsidRPr="00EB57FF">
          <w:rPr>
            <w:rStyle w:val="Hyperlink"/>
            <w:noProof/>
          </w:rPr>
          <w:t>Figure 4: Total FY-2019 Carbon Emissions by Category</w:t>
        </w:r>
        <w:r>
          <w:rPr>
            <w:noProof/>
            <w:webHidden/>
          </w:rPr>
          <w:tab/>
        </w:r>
        <w:r>
          <w:rPr>
            <w:noProof/>
            <w:webHidden/>
          </w:rPr>
          <w:fldChar w:fldCharType="begin"/>
        </w:r>
        <w:r>
          <w:rPr>
            <w:noProof/>
            <w:webHidden/>
          </w:rPr>
          <w:instrText xml:space="preserve"> PAGEREF _Toc35933066 \h </w:instrText>
        </w:r>
        <w:r>
          <w:rPr>
            <w:noProof/>
            <w:webHidden/>
          </w:rPr>
        </w:r>
        <w:r>
          <w:rPr>
            <w:noProof/>
            <w:webHidden/>
          </w:rPr>
          <w:fldChar w:fldCharType="separate"/>
        </w:r>
        <w:r>
          <w:rPr>
            <w:noProof/>
            <w:webHidden/>
          </w:rPr>
          <w:t>21</w:t>
        </w:r>
        <w:r>
          <w:rPr>
            <w:noProof/>
            <w:webHidden/>
          </w:rPr>
          <w:fldChar w:fldCharType="end"/>
        </w:r>
      </w:hyperlink>
    </w:p>
    <w:p w:rsidR="000514E3" w:rsidRDefault="000514E3">
      <w:pPr>
        <w:pStyle w:val="TableofFigures"/>
        <w:tabs>
          <w:tab w:val="right" w:leader="dot" w:pos="9350"/>
        </w:tabs>
        <w:rPr>
          <w:noProof/>
        </w:rPr>
      </w:pPr>
      <w:hyperlink w:anchor="_Toc35933067" w:history="1">
        <w:r w:rsidRPr="00EB57FF">
          <w:rPr>
            <w:rStyle w:val="Hyperlink"/>
            <w:noProof/>
          </w:rPr>
          <w:t>Figure 5: total FY-2019 Carbon Emissions by Gas</w:t>
        </w:r>
        <w:r>
          <w:rPr>
            <w:noProof/>
            <w:webHidden/>
          </w:rPr>
          <w:tab/>
        </w:r>
        <w:r>
          <w:rPr>
            <w:noProof/>
            <w:webHidden/>
          </w:rPr>
          <w:fldChar w:fldCharType="begin"/>
        </w:r>
        <w:r>
          <w:rPr>
            <w:noProof/>
            <w:webHidden/>
          </w:rPr>
          <w:instrText xml:space="preserve"> PAGEREF _Toc35933067 \h </w:instrText>
        </w:r>
        <w:r>
          <w:rPr>
            <w:noProof/>
            <w:webHidden/>
          </w:rPr>
        </w:r>
        <w:r>
          <w:rPr>
            <w:noProof/>
            <w:webHidden/>
          </w:rPr>
          <w:fldChar w:fldCharType="separate"/>
        </w:r>
        <w:r>
          <w:rPr>
            <w:noProof/>
            <w:webHidden/>
          </w:rPr>
          <w:t>22</w:t>
        </w:r>
        <w:r>
          <w:rPr>
            <w:noProof/>
            <w:webHidden/>
          </w:rPr>
          <w:fldChar w:fldCharType="end"/>
        </w:r>
      </w:hyperlink>
    </w:p>
    <w:p w:rsidR="000514E3" w:rsidRDefault="000514E3">
      <w:pPr>
        <w:rPr>
          <w:rFonts w:eastAsia="Arial" w:cs="Times New Roman"/>
          <w:b/>
          <w:sz w:val="20"/>
        </w:rPr>
      </w:pPr>
      <w:r>
        <w:rPr>
          <w:rFonts w:eastAsia="Arial" w:cs="Times New Roman"/>
          <w:b/>
          <w:sz w:val="20"/>
        </w:rPr>
        <w:fldChar w:fldCharType="end"/>
      </w:r>
    </w:p>
    <w:p w:rsidR="000514E3" w:rsidRDefault="000514E3">
      <w:pPr>
        <w:pStyle w:val="TableofFigures"/>
        <w:tabs>
          <w:tab w:val="right" w:leader="dot" w:pos="9350"/>
        </w:tabs>
        <w:rPr>
          <w:rFonts w:asciiTheme="minorHAnsi" w:eastAsiaTheme="minorEastAsia" w:hAnsiTheme="minorHAnsi" w:cstheme="minorBidi"/>
          <w:noProof/>
          <w:color w:val="auto"/>
          <w:sz w:val="22"/>
        </w:rPr>
      </w:pPr>
      <w:r>
        <w:rPr>
          <w:rFonts w:eastAsia="Arial" w:cs="Times New Roman"/>
          <w:b/>
          <w:sz w:val="20"/>
        </w:rPr>
        <w:fldChar w:fldCharType="begin"/>
      </w:r>
      <w:r>
        <w:rPr>
          <w:rFonts w:eastAsia="Arial" w:cs="Times New Roman"/>
          <w:b/>
          <w:sz w:val="20"/>
        </w:rPr>
        <w:instrText xml:space="preserve"> TOC \h \z \c "Table" </w:instrText>
      </w:r>
      <w:r>
        <w:rPr>
          <w:rFonts w:eastAsia="Arial" w:cs="Times New Roman"/>
          <w:b/>
          <w:sz w:val="20"/>
        </w:rPr>
        <w:fldChar w:fldCharType="separate"/>
      </w:r>
      <w:hyperlink w:anchor="_Toc35933085" w:history="1">
        <w:r w:rsidRPr="00406CE4">
          <w:rPr>
            <w:rStyle w:val="Hyperlink"/>
            <w:noProof/>
          </w:rPr>
          <w:t>Table 1: Executive Summary of Emissions</w:t>
        </w:r>
        <w:r>
          <w:rPr>
            <w:noProof/>
            <w:webHidden/>
          </w:rPr>
          <w:tab/>
        </w:r>
        <w:r>
          <w:rPr>
            <w:noProof/>
            <w:webHidden/>
          </w:rPr>
          <w:fldChar w:fldCharType="begin"/>
        </w:r>
        <w:r>
          <w:rPr>
            <w:noProof/>
            <w:webHidden/>
          </w:rPr>
          <w:instrText xml:space="preserve"> PAGEREF _Toc35933085 \h </w:instrText>
        </w:r>
        <w:r>
          <w:rPr>
            <w:noProof/>
            <w:webHidden/>
          </w:rPr>
        </w:r>
        <w:r>
          <w:rPr>
            <w:noProof/>
            <w:webHidden/>
          </w:rPr>
          <w:fldChar w:fldCharType="separate"/>
        </w:r>
        <w:r>
          <w:rPr>
            <w:noProof/>
            <w:webHidden/>
          </w:rPr>
          <w:t>4</w:t>
        </w:r>
        <w:r>
          <w:rPr>
            <w:noProof/>
            <w:webHidden/>
          </w:rPr>
          <w:fldChar w:fldCharType="end"/>
        </w:r>
      </w:hyperlink>
    </w:p>
    <w:p w:rsidR="000514E3" w:rsidRDefault="000514E3">
      <w:pPr>
        <w:pStyle w:val="TableofFigures"/>
        <w:tabs>
          <w:tab w:val="right" w:leader="dot" w:pos="9350"/>
        </w:tabs>
        <w:rPr>
          <w:rFonts w:asciiTheme="minorHAnsi" w:eastAsiaTheme="minorEastAsia" w:hAnsiTheme="minorHAnsi" w:cstheme="minorBidi"/>
          <w:noProof/>
          <w:color w:val="auto"/>
          <w:sz w:val="22"/>
        </w:rPr>
      </w:pPr>
      <w:hyperlink w:anchor="_Toc35933086" w:history="1">
        <w:r w:rsidRPr="00406CE4">
          <w:rPr>
            <w:rStyle w:val="Hyperlink"/>
            <w:noProof/>
          </w:rPr>
          <w:t>Table 2: FY-2019 Raw Data</w:t>
        </w:r>
        <w:r>
          <w:rPr>
            <w:noProof/>
            <w:webHidden/>
          </w:rPr>
          <w:tab/>
        </w:r>
        <w:r>
          <w:rPr>
            <w:noProof/>
            <w:webHidden/>
          </w:rPr>
          <w:fldChar w:fldCharType="begin"/>
        </w:r>
        <w:r>
          <w:rPr>
            <w:noProof/>
            <w:webHidden/>
          </w:rPr>
          <w:instrText xml:space="preserve"> PAGEREF _Toc35933086 \h </w:instrText>
        </w:r>
        <w:r>
          <w:rPr>
            <w:noProof/>
            <w:webHidden/>
          </w:rPr>
        </w:r>
        <w:r>
          <w:rPr>
            <w:noProof/>
            <w:webHidden/>
          </w:rPr>
          <w:fldChar w:fldCharType="separate"/>
        </w:r>
        <w:r>
          <w:rPr>
            <w:noProof/>
            <w:webHidden/>
          </w:rPr>
          <w:t>23</w:t>
        </w:r>
        <w:r>
          <w:rPr>
            <w:noProof/>
            <w:webHidden/>
          </w:rPr>
          <w:fldChar w:fldCharType="end"/>
        </w:r>
      </w:hyperlink>
    </w:p>
    <w:p w:rsidR="000514E3" w:rsidRDefault="000514E3">
      <w:pPr>
        <w:pStyle w:val="TableofFigures"/>
        <w:tabs>
          <w:tab w:val="right" w:leader="dot" w:pos="9350"/>
        </w:tabs>
        <w:rPr>
          <w:rFonts w:asciiTheme="minorHAnsi" w:eastAsiaTheme="minorEastAsia" w:hAnsiTheme="minorHAnsi" w:cstheme="minorBidi"/>
          <w:noProof/>
          <w:color w:val="auto"/>
          <w:sz w:val="22"/>
        </w:rPr>
      </w:pPr>
      <w:hyperlink w:anchor="_Toc35933087" w:history="1">
        <w:r w:rsidRPr="00406CE4">
          <w:rPr>
            <w:rStyle w:val="Hyperlink"/>
            <w:noProof/>
          </w:rPr>
          <w:t>Table 3: FY-2019 Emissions Per Scope</w:t>
        </w:r>
        <w:r>
          <w:rPr>
            <w:noProof/>
            <w:webHidden/>
          </w:rPr>
          <w:tab/>
        </w:r>
        <w:r>
          <w:rPr>
            <w:noProof/>
            <w:webHidden/>
          </w:rPr>
          <w:fldChar w:fldCharType="begin"/>
        </w:r>
        <w:r>
          <w:rPr>
            <w:noProof/>
            <w:webHidden/>
          </w:rPr>
          <w:instrText xml:space="preserve"> PAGEREF _Toc35933087 \h </w:instrText>
        </w:r>
        <w:r>
          <w:rPr>
            <w:noProof/>
            <w:webHidden/>
          </w:rPr>
        </w:r>
        <w:r>
          <w:rPr>
            <w:noProof/>
            <w:webHidden/>
          </w:rPr>
          <w:fldChar w:fldCharType="separate"/>
        </w:r>
        <w:r>
          <w:rPr>
            <w:noProof/>
            <w:webHidden/>
          </w:rPr>
          <w:t>23</w:t>
        </w:r>
        <w:r>
          <w:rPr>
            <w:noProof/>
            <w:webHidden/>
          </w:rPr>
          <w:fldChar w:fldCharType="end"/>
        </w:r>
      </w:hyperlink>
    </w:p>
    <w:p w:rsidR="000514E3" w:rsidRDefault="000514E3">
      <w:pPr>
        <w:pStyle w:val="TableofFigures"/>
        <w:tabs>
          <w:tab w:val="right" w:leader="dot" w:pos="9350"/>
        </w:tabs>
        <w:rPr>
          <w:rFonts w:asciiTheme="minorHAnsi" w:eastAsiaTheme="minorEastAsia" w:hAnsiTheme="minorHAnsi" w:cstheme="minorBidi"/>
          <w:noProof/>
          <w:color w:val="auto"/>
          <w:sz w:val="22"/>
        </w:rPr>
      </w:pPr>
      <w:hyperlink w:anchor="_Toc35933088" w:history="1">
        <w:r w:rsidRPr="00406CE4">
          <w:rPr>
            <w:rStyle w:val="Hyperlink"/>
            <w:noProof/>
          </w:rPr>
          <w:t>Table 4: FY-2019 Total Emissions &amp; Net Emissions</w:t>
        </w:r>
        <w:r>
          <w:rPr>
            <w:noProof/>
            <w:webHidden/>
          </w:rPr>
          <w:tab/>
        </w:r>
        <w:r>
          <w:rPr>
            <w:noProof/>
            <w:webHidden/>
          </w:rPr>
          <w:fldChar w:fldCharType="begin"/>
        </w:r>
        <w:r>
          <w:rPr>
            <w:noProof/>
            <w:webHidden/>
          </w:rPr>
          <w:instrText xml:space="preserve"> PAGEREF _Toc35933088 \h </w:instrText>
        </w:r>
        <w:r>
          <w:rPr>
            <w:noProof/>
            <w:webHidden/>
          </w:rPr>
        </w:r>
        <w:r>
          <w:rPr>
            <w:noProof/>
            <w:webHidden/>
          </w:rPr>
          <w:fldChar w:fldCharType="separate"/>
        </w:r>
        <w:r>
          <w:rPr>
            <w:noProof/>
            <w:webHidden/>
          </w:rPr>
          <w:t>23</w:t>
        </w:r>
        <w:r>
          <w:rPr>
            <w:noProof/>
            <w:webHidden/>
          </w:rPr>
          <w:fldChar w:fldCharType="end"/>
        </w:r>
      </w:hyperlink>
    </w:p>
    <w:p w:rsidR="00775A04" w:rsidRPr="00E41264" w:rsidRDefault="000514E3">
      <w:pPr>
        <w:rPr>
          <w:rFonts w:eastAsia="Arial" w:cs="Times New Roman"/>
          <w:b/>
          <w:sz w:val="20"/>
        </w:rPr>
      </w:pPr>
      <w:r>
        <w:rPr>
          <w:rFonts w:eastAsia="Arial" w:cs="Times New Roman"/>
          <w:b/>
          <w:sz w:val="20"/>
        </w:rPr>
        <w:fldChar w:fldCharType="end"/>
      </w:r>
      <w:bookmarkStart w:id="2" w:name="_GoBack"/>
      <w:bookmarkEnd w:id="2"/>
      <w:r w:rsidR="00775A04" w:rsidRPr="00E41264">
        <w:rPr>
          <w:rFonts w:eastAsia="Arial" w:cs="Times New Roman"/>
          <w:b/>
          <w:sz w:val="20"/>
        </w:rPr>
        <w:br w:type="page"/>
      </w:r>
    </w:p>
    <w:p w:rsidR="00775A04" w:rsidRPr="00E41264" w:rsidRDefault="001E20FE" w:rsidP="00775A04">
      <w:pPr>
        <w:pStyle w:val="Heading1"/>
      </w:pPr>
      <w:bookmarkStart w:id="3" w:name="_Toc35933040"/>
      <w:r w:rsidRPr="00E41264">
        <w:lastRenderedPageBreak/>
        <w:t>Executive Summary</w:t>
      </w:r>
      <w:bookmarkEnd w:id="3"/>
    </w:p>
    <w:p w:rsidR="004A745F" w:rsidRPr="00E41264" w:rsidRDefault="004A745F" w:rsidP="00136234">
      <w:pPr>
        <w:spacing w:after="0"/>
        <w:ind w:right="5"/>
        <w:rPr>
          <w:rFonts w:cs="Times New Roman"/>
          <w:sz w:val="22"/>
        </w:rPr>
      </w:pPr>
    </w:p>
    <w:p w:rsidR="00E243AC" w:rsidRPr="00E41264" w:rsidRDefault="004A745F" w:rsidP="00E243AC">
      <w:pPr>
        <w:spacing w:after="0"/>
        <w:ind w:left="52"/>
        <w:jc w:val="center"/>
        <w:rPr>
          <w:rFonts w:cs="Times New Roman"/>
          <w:b/>
          <w:color w:val="C00000"/>
        </w:rPr>
      </w:pPr>
      <w:r w:rsidRPr="00E41264">
        <w:rPr>
          <w:rFonts w:cs="Times New Roman"/>
          <w:b/>
          <w:color w:val="C00000"/>
        </w:rPr>
        <w:t>Florida Tech FY-2019 Greenhouse Gas Emission Report</w:t>
      </w:r>
    </w:p>
    <w:p w:rsidR="00E243AC" w:rsidRPr="00E41264" w:rsidRDefault="00E243AC" w:rsidP="004A745F">
      <w:pPr>
        <w:spacing w:after="0"/>
        <w:ind w:left="52"/>
        <w:rPr>
          <w:rFonts w:cs="Times New Roman"/>
        </w:rPr>
      </w:pPr>
    </w:p>
    <w:p w:rsidR="000251F5" w:rsidRPr="00E41264" w:rsidRDefault="000251F5" w:rsidP="004A745F">
      <w:pPr>
        <w:spacing w:after="0"/>
        <w:ind w:left="52"/>
        <w:rPr>
          <w:rFonts w:cs="Times New Roman"/>
        </w:rPr>
      </w:pPr>
    </w:p>
    <w:p w:rsidR="000251F5" w:rsidRPr="00E41264" w:rsidRDefault="000251F5" w:rsidP="004A745F">
      <w:pPr>
        <w:spacing w:after="0"/>
        <w:ind w:left="52"/>
        <w:rPr>
          <w:rFonts w:cs="Times New Roman"/>
        </w:rPr>
      </w:pPr>
      <w:r w:rsidRPr="00E41264">
        <w:rPr>
          <w:rFonts w:cs="Times New Roman"/>
        </w:rPr>
        <w:t>The Florida Institute of Technology remains committed to the relentless pursuit of greatness through our sustainability initiatives. In order to provide some sort of quantitative benchmark for our success to be measured against and operate within best practices, the University has performed its first official Greenhouse Gas Inventory (GHG) for the 2019 Fiscal Year (May 1</w:t>
      </w:r>
      <w:r w:rsidRPr="00E41264">
        <w:rPr>
          <w:rFonts w:cs="Times New Roman"/>
          <w:vertAlign w:val="superscript"/>
        </w:rPr>
        <w:t>st</w:t>
      </w:r>
      <w:r w:rsidRPr="00E41264">
        <w:rPr>
          <w:rFonts w:cs="Times New Roman"/>
        </w:rPr>
        <w:t>, 2018 to April 30</w:t>
      </w:r>
      <w:r w:rsidRPr="00E41264">
        <w:rPr>
          <w:rFonts w:cs="Times New Roman"/>
          <w:vertAlign w:val="superscript"/>
        </w:rPr>
        <w:t>th</w:t>
      </w:r>
      <w:r w:rsidRPr="00E41264">
        <w:rPr>
          <w:rFonts w:cs="Times New Roman"/>
        </w:rPr>
        <w:t>, 2019). The following report will outline and define the values collected from our Campus Operations and recorded in the University of New Hampshire Sustainability Indicator Management &amp; Analysis Program (SIMAP). This allows the University to have our data verified by a 3</w:t>
      </w:r>
      <w:r w:rsidRPr="00E41264">
        <w:rPr>
          <w:rFonts w:cs="Times New Roman"/>
          <w:vertAlign w:val="superscript"/>
        </w:rPr>
        <w:t>rd</w:t>
      </w:r>
      <w:r w:rsidRPr="00E41264">
        <w:rPr>
          <w:rFonts w:cs="Times New Roman"/>
        </w:rPr>
        <w:t xml:space="preserve"> party in order to utilize it as a published report for the Association for Advancement of Sustainability in Higher Education (AASHE) Sustainability Tracking Assessment &amp; Reporting System (STARS). </w:t>
      </w:r>
    </w:p>
    <w:p w:rsidR="000251F5" w:rsidRPr="00E41264" w:rsidRDefault="000251F5" w:rsidP="004A745F">
      <w:pPr>
        <w:spacing w:after="0"/>
        <w:ind w:left="52"/>
        <w:rPr>
          <w:rFonts w:cs="Times New Roman"/>
        </w:rPr>
      </w:pPr>
    </w:p>
    <w:p w:rsidR="000251F5" w:rsidRPr="00E41264" w:rsidRDefault="000251F5" w:rsidP="00AD35E7">
      <w:pPr>
        <w:spacing w:after="0"/>
        <w:ind w:left="52"/>
        <w:rPr>
          <w:rFonts w:cs="Times New Roman"/>
        </w:rPr>
      </w:pPr>
      <w:r w:rsidRPr="00E41264">
        <w:rPr>
          <w:rFonts w:cs="Times New Roman"/>
        </w:rPr>
        <w:t xml:space="preserve">The University Produced </w:t>
      </w:r>
      <w:r w:rsidR="00DA044B">
        <w:rPr>
          <w:rFonts w:cs="Times New Roman"/>
        </w:rPr>
        <w:t>34,345</w:t>
      </w:r>
      <w:r w:rsidRPr="00E41264">
        <w:rPr>
          <w:rFonts w:cs="Times New Roman"/>
        </w:rPr>
        <w:t xml:space="preserve"> MTCO</w:t>
      </w:r>
      <w:r w:rsidRPr="00834DA3">
        <w:rPr>
          <w:rFonts w:cs="Times New Roman"/>
          <w:vertAlign w:val="subscript"/>
        </w:rPr>
        <w:t>2</w:t>
      </w:r>
      <w:r w:rsidRPr="00E41264">
        <w:rPr>
          <w:rFonts w:cs="Times New Roman"/>
        </w:rPr>
        <w:t xml:space="preserve"> during the reporting period, </w:t>
      </w:r>
      <w:r w:rsidR="00DA044B">
        <w:rPr>
          <w:rFonts w:cs="Times New Roman"/>
        </w:rPr>
        <w:t xml:space="preserve">and this period will serve as the baseline year until the previous year can be completed. </w:t>
      </w:r>
      <w:r w:rsidRPr="00E41264">
        <w:rPr>
          <w:rFonts w:cs="Times New Roman"/>
        </w:rPr>
        <w:t xml:space="preserve">According to the United States Environmental Protection Agency (EPA) Energy Utilization Index (EUI, Zone-6 Education) the university is </w:t>
      </w:r>
      <w:r w:rsidR="002A278E" w:rsidRPr="00E41264">
        <w:rPr>
          <w:rFonts w:cs="Times New Roman"/>
        </w:rPr>
        <w:t>about 40</w:t>
      </w:r>
      <w:r w:rsidRPr="00E41264">
        <w:rPr>
          <w:rFonts w:cs="Times New Roman"/>
        </w:rPr>
        <w:t>% below the mean index number. Table 1 outlines the overall summary of Scope 1, Scope</w:t>
      </w:r>
      <w:r w:rsidR="00AD35E7" w:rsidRPr="00E41264">
        <w:rPr>
          <w:rFonts w:cs="Times New Roman"/>
        </w:rPr>
        <w:t xml:space="preserve"> 2, and Scope 3 reported data. </w:t>
      </w:r>
    </w:p>
    <w:p w:rsidR="00AD35E7" w:rsidRPr="00E41264" w:rsidRDefault="00AD35E7" w:rsidP="00AD35E7">
      <w:pPr>
        <w:spacing w:after="0"/>
        <w:ind w:left="52"/>
        <w:rPr>
          <w:rFonts w:cs="Times New Roman"/>
        </w:rPr>
      </w:pPr>
    </w:p>
    <w:p w:rsidR="00136234" w:rsidRPr="00E41264" w:rsidRDefault="00136234" w:rsidP="00136234">
      <w:pPr>
        <w:pStyle w:val="Caption"/>
        <w:keepNext/>
      </w:pPr>
      <w:bookmarkStart w:id="4" w:name="_Toc35933085"/>
      <w:r w:rsidRPr="00E41264">
        <w:t xml:space="preserve">Table </w:t>
      </w:r>
      <w:fldSimple w:instr=" SEQ Table \* ARABIC ">
        <w:r w:rsidR="00B946B8">
          <w:rPr>
            <w:noProof/>
          </w:rPr>
          <w:t>1</w:t>
        </w:r>
      </w:fldSimple>
      <w:r w:rsidRPr="00E41264">
        <w:t>: Executive Summary of Emissions</w:t>
      </w:r>
      <w:bookmarkEnd w:id="4"/>
    </w:p>
    <w:tbl>
      <w:tblPr>
        <w:tblStyle w:val="TableGrid0"/>
        <w:tblW w:w="0" w:type="auto"/>
        <w:tblInd w:w="52" w:type="dxa"/>
        <w:tblLook w:val="04A0" w:firstRow="1" w:lastRow="0" w:firstColumn="1" w:lastColumn="0" w:noHBand="0" w:noVBand="1"/>
      </w:tblPr>
      <w:tblGrid>
        <w:gridCol w:w="4695"/>
        <w:gridCol w:w="1770"/>
        <w:gridCol w:w="2734"/>
      </w:tblGrid>
      <w:tr w:rsidR="00AD35E7" w:rsidRPr="00E41264" w:rsidTr="00AD35E7">
        <w:trPr>
          <w:trHeight w:val="285"/>
        </w:trPr>
        <w:tc>
          <w:tcPr>
            <w:tcW w:w="4695" w:type="dxa"/>
          </w:tcPr>
          <w:p w:rsidR="00AD35E7" w:rsidRPr="00E41264" w:rsidRDefault="00AD35E7" w:rsidP="00AD35E7">
            <w:pPr>
              <w:jc w:val="center"/>
              <w:rPr>
                <w:rFonts w:cs="Times New Roman"/>
              </w:rPr>
            </w:pPr>
            <w:r w:rsidRPr="00E41264">
              <w:rPr>
                <w:rFonts w:cs="Times New Roman"/>
              </w:rPr>
              <w:t>Source</w:t>
            </w:r>
          </w:p>
        </w:tc>
        <w:tc>
          <w:tcPr>
            <w:tcW w:w="1770" w:type="dxa"/>
          </w:tcPr>
          <w:p w:rsidR="00AD35E7" w:rsidRPr="00E41264" w:rsidRDefault="00AD35E7" w:rsidP="00AD35E7">
            <w:pPr>
              <w:jc w:val="center"/>
              <w:rPr>
                <w:rFonts w:cs="Times New Roman"/>
              </w:rPr>
            </w:pPr>
            <w:r w:rsidRPr="00E41264">
              <w:rPr>
                <w:rFonts w:cs="Times New Roman"/>
              </w:rPr>
              <w:t>Amount (Unit)</w:t>
            </w:r>
          </w:p>
        </w:tc>
        <w:tc>
          <w:tcPr>
            <w:tcW w:w="2734" w:type="dxa"/>
          </w:tcPr>
          <w:p w:rsidR="00AD35E7" w:rsidRPr="00E41264" w:rsidRDefault="008C76FC" w:rsidP="008C76FC">
            <w:pPr>
              <w:jc w:val="center"/>
              <w:rPr>
                <w:rFonts w:cs="Times New Roman"/>
              </w:rPr>
            </w:pPr>
            <w:r w:rsidRPr="00E41264">
              <w:rPr>
                <w:rFonts w:cs="Times New Roman"/>
              </w:rPr>
              <w:t>Emissions (MTCDE</w:t>
            </w:r>
            <w:r w:rsidR="00AD35E7" w:rsidRPr="00E41264">
              <w:rPr>
                <w:rFonts w:cs="Times New Roman"/>
              </w:rPr>
              <w:t>)</w:t>
            </w:r>
          </w:p>
        </w:tc>
      </w:tr>
      <w:tr w:rsidR="00AD36D8" w:rsidRPr="00E41264" w:rsidTr="00AD36D8">
        <w:trPr>
          <w:trHeight w:val="285"/>
        </w:trPr>
        <w:tc>
          <w:tcPr>
            <w:tcW w:w="9199" w:type="dxa"/>
            <w:gridSpan w:val="3"/>
            <w:vAlign w:val="bottom"/>
          </w:tcPr>
          <w:p w:rsidR="00AD36D8" w:rsidRPr="00E41264" w:rsidRDefault="00AD36D8" w:rsidP="00AD36D8">
            <w:pPr>
              <w:rPr>
                <w:rFonts w:cs="Times New Roman"/>
              </w:rPr>
            </w:pPr>
            <w:r w:rsidRPr="00E41264">
              <w:rPr>
                <w:rFonts w:cs="Times New Roman"/>
                <w:i/>
              </w:rPr>
              <w:t>Scope 1 (Total)</w:t>
            </w:r>
          </w:p>
        </w:tc>
      </w:tr>
      <w:tr w:rsidR="00AD35E7" w:rsidRPr="00E41264" w:rsidTr="00AD35E7">
        <w:trPr>
          <w:trHeight w:val="285"/>
        </w:trPr>
        <w:tc>
          <w:tcPr>
            <w:tcW w:w="4695" w:type="dxa"/>
          </w:tcPr>
          <w:p w:rsidR="00AD35E7" w:rsidRPr="00E41264" w:rsidRDefault="00AD35E7" w:rsidP="00AD35E7">
            <w:pPr>
              <w:jc w:val="right"/>
              <w:rPr>
                <w:rFonts w:cs="Times New Roman"/>
                <w:i/>
              </w:rPr>
            </w:pPr>
            <w:r w:rsidRPr="00E41264">
              <w:rPr>
                <w:rFonts w:cs="Times New Roman"/>
                <w:i/>
              </w:rPr>
              <w:t>Stationary Fuels</w:t>
            </w:r>
          </w:p>
        </w:tc>
        <w:tc>
          <w:tcPr>
            <w:tcW w:w="1770" w:type="dxa"/>
          </w:tcPr>
          <w:p w:rsidR="00AD35E7" w:rsidRPr="00E41264" w:rsidRDefault="009D3BF2" w:rsidP="00AD36D8">
            <w:pPr>
              <w:jc w:val="center"/>
              <w:rPr>
                <w:rFonts w:cs="Times New Roman"/>
              </w:rPr>
            </w:pPr>
            <w:r w:rsidRPr="00E41264">
              <w:rPr>
                <w:rFonts w:cs="Times New Roman"/>
              </w:rPr>
              <w:t>10,346 MMBtu</w:t>
            </w:r>
          </w:p>
        </w:tc>
        <w:tc>
          <w:tcPr>
            <w:tcW w:w="2734" w:type="dxa"/>
          </w:tcPr>
          <w:p w:rsidR="00AD35E7" w:rsidRPr="00E41264" w:rsidRDefault="008C76FC" w:rsidP="00AD36D8">
            <w:pPr>
              <w:jc w:val="center"/>
              <w:rPr>
                <w:rFonts w:cs="Times New Roman"/>
              </w:rPr>
            </w:pPr>
            <w:r w:rsidRPr="00E41264">
              <w:rPr>
                <w:rFonts w:cs="Times New Roman"/>
              </w:rPr>
              <w:t>550.36</w:t>
            </w:r>
          </w:p>
        </w:tc>
      </w:tr>
      <w:tr w:rsidR="00AD35E7" w:rsidRPr="00E41264" w:rsidTr="00AD35E7">
        <w:trPr>
          <w:trHeight w:val="285"/>
        </w:trPr>
        <w:tc>
          <w:tcPr>
            <w:tcW w:w="4695" w:type="dxa"/>
          </w:tcPr>
          <w:p w:rsidR="00AD35E7" w:rsidRPr="00E41264" w:rsidRDefault="00AD35E7" w:rsidP="00AD35E7">
            <w:pPr>
              <w:jc w:val="right"/>
              <w:rPr>
                <w:rFonts w:cs="Times New Roman"/>
                <w:i/>
              </w:rPr>
            </w:pPr>
            <w:r w:rsidRPr="00E41264">
              <w:rPr>
                <w:rFonts w:cs="Times New Roman"/>
                <w:i/>
              </w:rPr>
              <w:t>Transport Fuels</w:t>
            </w:r>
          </w:p>
        </w:tc>
        <w:tc>
          <w:tcPr>
            <w:tcW w:w="1770" w:type="dxa"/>
          </w:tcPr>
          <w:p w:rsidR="00AD35E7" w:rsidRPr="00E41264" w:rsidRDefault="00EF0531" w:rsidP="00AD36D8">
            <w:pPr>
              <w:jc w:val="center"/>
              <w:rPr>
                <w:rFonts w:cs="Times New Roman"/>
              </w:rPr>
            </w:pPr>
            <w:r w:rsidRPr="00E41264">
              <w:rPr>
                <w:rFonts w:cs="Times New Roman"/>
              </w:rPr>
              <w:t>Varies</w:t>
            </w:r>
          </w:p>
        </w:tc>
        <w:tc>
          <w:tcPr>
            <w:tcW w:w="2734" w:type="dxa"/>
          </w:tcPr>
          <w:p w:rsidR="00AD35E7" w:rsidRPr="00E41264" w:rsidRDefault="00DA044B" w:rsidP="00AD36D8">
            <w:pPr>
              <w:jc w:val="center"/>
              <w:rPr>
                <w:rFonts w:cs="Times New Roman"/>
              </w:rPr>
            </w:pPr>
            <w:r>
              <w:rPr>
                <w:rFonts w:cs="Times New Roman"/>
              </w:rPr>
              <w:t>87.12</w:t>
            </w:r>
          </w:p>
        </w:tc>
      </w:tr>
      <w:tr w:rsidR="00AD35E7" w:rsidRPr="00E41264" w:rsidTr="00AD35E7">
        <w:trPr>
          <w:trHeight w:val="285"/>
        </w:trPr>
        <w:tc>
          <w:tcPr>
            <w:tcW w:w="4695" w:type="dxa"/>
          </w:tcPr>
          <w:p w:rsidR="00AD35E7" w:rsidRPr="00E41264" w:rsidRDefault="00AD35E7" w:rsidP="00AD35E7">
            <w:pPr>
              <w:jc w:val="right"/>
              <w:rPr>
                <w:rFonts w:cs="Times New Roman"/>
                <w:i/>
              </w:rPr>
            </w:pPr>
            <w:r w:rsidRPr="00E41264">
              <w:rPr>
                <w:rFonts w:cs="Times New Roman"/>
                <w:i/>
              </w:rPr>
              <w:t>Fertilizer</w:t>
            </w:r>
          </w:p>
        </w:tc>
        <w:tc>
          <w:tcPr>
            <w:tcW w:w="1770" w:type="dxa"/>
          </w:tcPr>
          <w:p w:rsidR="00AD35E7" w:rsidRPr="00E41264" w:rsidRDefault="00AD36D8" w:rsidP="00AD36D8">
            <w:pPr>
              <w:jc w:val="center"/>
              <w:rPr>
                <w:rFonts w:cs="Times New Roman"/>
              </w:rPr>
            </w:pPr>
            <w:r w:rsidRPr="00E41264">
              <w:rPr>
                <w:rFonts w:cs="Times New Roman"/>
              </w:rPr>
              <w:t>5,250 lb</w:t>
            </w:r>
          </w:p>
        </w:tc>
        <w:tc>
          <w:tcPr>
            <w:tcW w:w="2734" w:type="dxa"/>
          </w:tcPr>
          <w:p w:rsidR="00AD35E7" w:rsidRPr="00E41264" w:rsidRDefault="00DA044B" w:rsidP="00AD36D8">
            <w:pPr>
              <w:jc w:val="center"/>
              <w:rPr>
                <w:rFonts w:cs="Times New Roman"/>
              </w:rPr>
            </w:pPr>
            <w:r>
              <w:rPr>
                <w:rFonts w:cs="Times New Roman"/>
              </w:rPr>
              <w:t>2.83</w:t>
            </w:r>
          </w:p>
        </w:tc>
      </w:tr>
      <w:tr w:rsidR="00AD35E7" w:rsidRPr="00E41264" w:rsidTr="00AD35E7">
        <w:trPr>
          <w:trHeight w:val="285"/>
        </w:trPr>
        <w:tc>
          <w:tcPr>
            <w:tcW w:w="4695" w:type="dxa"/>
          </w:tcPr>
          <w:p w:rsidR="00AD35E7" w:rsidRPr="00E41264" w:rsidRDefault="00AD35E7" w:rsidP="00AD35E7">
            <w:pPr>
              <w:jc w:val="right"/>
              <w:rPr>
                <w:rFonts w:cs="Times New Roman"/>
                <w:i/>
              </w:rPr>
            </w:pPr>
            <w:r w:rsidRPr="00E41264">
              <w:rPr>
                <w:rFonts w:cs="Times New Roman"/>
                <w:i/>
              </w:rPr>
              <w:t>Refrigerants &amp; Chemicals</w:t>
            </w:r>
          </w:p>
        </w:tc>
        <w:tc>
          <w:tcPr>
            <w:tcW w:w="1770" w:type="dxa"/>
          </w:tcPr>
          <w:p w:rsidR="00AD35E7" w:rsidRPr="00E41264" w:rsidRDefault="00EF0531" w:rsidP="00AD36D8">
            <w:pPr>
              <w:jc w:val="center"/>
              <w:rPr>
                <w:rFonts w:cs="Times New Roman"/>
              </w:rPr>
            </w:pPr>
            <w:r w:rsidRPr="00E41264">
              <w:rPr>
                <w:rFonts w:cs="Times New Roman"/>
              </w:rPr>
              <w:t>Varies</w:t>
            </w:r>
          </w:p>
        </w:tc>
        <w:tc>
          <w:tcPr>
            <w:tcW w:w="2734" w:type="dxa"/>
          </w:tcPr>
          <w:p w:rsidR="00AD35E7" w:rsidRPr="00E41264" w:rsidRDefault="00DA044B" w:rsidP="00AD36D8">
            <w:pPr>
              <w:jc w:val="center"/>
              <w:rPr>
                <w:rFonts w:cs="Times New Roman"/>
              </w:rPr>
            </w:pPr>
            <w:r>
              <w:rPr>
                <w:rFonts w:cs="Times New Roman"/>
              </w:rPr>
              <w:t>314.21</w:t>
            </w:r>
          </w:p>
        </w:tc>
      </w:tr>
      <w:tr w:rsidR="00AD36D8" w:rsidRPr="00E41264" w:rsidTr="00AD36D8">
        <w:trPr>
          <w:trHeight w:val="285"/>
        </w:trPr>
        <w:tc>
          <w:tcPr>
            <w:tcW w:w="9199" w:type="dxa"/>
            <w:gridSpan w:val="3"/>
          </w:tcPr>
          <w:p w:rsidR="00AD36D8" w:rsidRPr="00E41264" w:rsidRDefault="00AD36D8" w:rsidP="00AD36D8">
            <w:pPr>
              <w:rPr>
                <w:rFonts w:cs="Times New Roman"/>
                <w:i/>
              </w:rPr>
            </w:pPr>
            <w:r w:rsidRPr="00E41264">
              <w:rPr>
                <w:rFonts w:cs="Times New Roman"/>
                <w:i/>
              </w:rPr>
              <w:t>Scope 2 (Total)</w:t>
            </w:r>
          </w:p>
        </w:tc>
      </w:tr>
      <w:tr w:rsidR="00AD35E7" w:rsidRPr="00E41264" w:rsidTr="00AD35E7">
        <w:trPr>
          <w:trHeight w:val="285"/>
        </w:trPr>
        <w:tc>
          <w:tcPr>
            <w:tcW w:w="4695" w:type="dxa"/>
          </w:tcPr>
          <w:p w:rsidR="00AD35E7" w:rsidRPr="00E41264" w:rsidRDefault="00AD35E7" w:rsidP="00AD35E7">
            <w:pPr>
              <w:jc w:val="right"/>
              <w:rPr>
                <w:rFonts w:cs="Times New Roman"/>
                <w:i/>
              </w:rPr>
            </w:pPr>
            <w:r w:rsidRPr="00E41264">
              <w:rPr>
                <w:rFonts w:cs="Times New Roman"/>
                <w:i/>
              </w:rPr>
              <w:t>Utilities</w:t>
            </w:r>
          </w:p>
        </w:tc>
        <w:tc>
          <w:tcPr>
            <w:tcW w:w="1770" w:type="dxa"/>
          </w:tcPr>
          <w:p w:rsidR="00AD35E7" w:rsidRPr="00E41264" w:rsidRDefault="00671602" w:rsidP="00AD36D8">
            <w:pPr>
              <w:jc w:val="center"/>
              <w:rPr>
                <w:rFonts w:cs="Times New Roman"/>
              </w:rPr>
            </w:pPr>
            <w:r w:rsidRPr="00671602">
              <w:rPr>
                <w:rFonts w:cs="Times New Roman"/>
              </w:rPr>
              <w:t>28.0 G</w:t>
            </w:r>
            <w:r w:rsidR="00AD36D8" w:rsidRPr="00671602">
              <w:rPr>
                <w:rFonts w:cs="Times New Roman"/>
              </w:rPr>
              <w:t>W</w:t>
            </w:r>
            <w:r w:rsidRPr="00671602">
              <w:rPr>
                <w:rFonts w:cs="Times New Roman"/>
              </w:rPr>
              <w:t>h</w:t>
            </w:r>
          </w:p>
        </w:tc>
        <w:tc>
          <w:tcPr>
            <w:tcW w:w="2734" w:type="dxa"/>
          </w:tcPr>
          <w:p w:rsidR="00AD35E7" w:rsidRPr="00E41264" w:rsidRDefault="00DA044B" w:rsidP="008C76FC">
            <w:pPr>
              <w:jc w:val="center"/>
              <w:rPr>
                <w:rFonts w:cs="Times New Roman"/>
              </w:rPr>
            </w:pPr>
            <w:r>
              <w:rPr>
                <w:rFonts w:cs="Times New Roman"/>
              </w:rPr>
              <w:t>13,993.88</w:t>
            </w:r>
          </w:p>
        </w:tc>
      </w:tr>
      <w:tr w:rsidR="00AD35E7" w:rsidRPr="00E41264" w:rsidTr="00AD35E7">
        <w:trPr>
          <w:trHeight w:val="285"/>
        </w:trPr>
        <w:tc>
          <w:tcPr>
            <w:tcW w:w="4695" w:type="dxa"/>
          </w:tcPr>
          <w:p w:rsidR="00AD35E7" w:rsidRPr="00E41264" w:rsidRDefault="00AD35E7" w:rsidP="00AD35E7">
            <w:pPr>
              <w:jc w:val="right"/>
              <w:rPr>
                <w:rFonts w:cs="Times New Roman"/>
                <w:i/>
              </w:rPr>
            </w:pPr>
            <w:r w:rsidRPr="00E41264">
              <w:rPr>
                <w:rFonts w:cs="Times New Roman"/>
                <w:i/>
              </w:rPr>
              <w:t>Renewable Energy</w:t>
            </w:r>
          </w:p>
        </w:tc>
        <w:tc>
          <w:tcPr>
            <w:tcW w:w="1770" w:type="dxa"/>
          </w:tcPr>
          <w:p w:rsidR="00AD35E7" w:rsidRPr="00E41264" w:rsidRDefault="00671602" w:rsidP="00AD36D8">
            <w:pPr>
              <w:jc w:val="center"/>
              <w:rPr>
                <w:rFonts w:cs="Times New Roman"/>
              </w:rPr>
            </w:pPr>
            <w:r w:rsidRPr="00671602">
              <w:rPr>
                <w:rFonts w:cs="Times New Roman"/>
              </w:rPr>
              <w:t>-3</w:t>
            </w:r>
            <w:r w:rsidR="00C407C1" w:rsidRPr="00671602">
              <w:rPr>
                <w:rFonts w:cs="Times New Roman"/>
              </w:rPr>
              <w:t>1 MW</w:t>
            </w:r>
            <w:r w:rsidRPr="00671602">
              <w:rPr>
                <w:rFonts w:cs="Times New Roman"/>
              </w:rPr>
              <w:t>h</w:t>
            </w:r>
          </w:p>
        </w:tc>
        <w:tc>
          <w:tcPr>
            <w:tcW w:w="2734" w:type="dxa"/>
          </w:tcPr>
          <w:p w:rsidR="00AD35E7" w:rsidRPr="00E41264" w:rsidRDefault="00C407C1" w:rsidP="00AD36D8">
            <w:pPr>
              <w:jc w:val="center"/>
              <w:rPr>
                <w:rFonts w:cs="Times New Roman"/>
              </w:rPr>
            </w:pPr>
            <w:r w:rsidRPr="00F415B0">
              <w:rPr>
                <w:rFonts w:cs="Times New Roman"/>
              </w:rPr>
              <w:t>-17.36</w:t>
            </w:r>
          </w:p>
        </w:tc>
      </w:tr>
      <w:tr w:rsidR="00AD36D8" w:rsidRPr="00E41264" w:rsidTr="00AD36D8">
        <w:trPr>
          <w:trHeight w:val="285"/>
        </w:trPr>
        <w:tc>
          <w:tcPr>
            <w:tcW w:w="9199" w:type="dxa"/>
            <w:gridSpan w:val="3"/>
          </w:tcPr>
          <w:p w:rsidR="00AD36D8" w:rsidRPr="00E41264" w:rsidRDefault="00AD36D8" w:rsidP="00AD36D8">
            <w:pPr>
              <w:rPr>
                <w:rFonts w:cs="Times New Roman"/>
              </w:rPr>
            </w:pPr>
            <w:r w:rsidRPr="00E41264">
              <w:rPr>
                <w:rFonts w:cs="Times New Roman"/>
                <w:i/>
              </w:rPr>
              <w:t>Scope 3 (Total)</w:t>
            </w:r>
          </w:p>
        </w:tc>
      </w:tr>
      <w:tr w:rsidR="00AD35E7" w:rsidRPr="00E41264" w:rsidTr="00AD35E7">
        <w:trPr>
          <w:trHeight w:val="285"/>
        </w:trPr>
        <w:tc>
          <w:tcPr>
            <w:tcW w:w="4695" w:type="dxa"/>
          </w:tcPr>
          <w:p w:rsidR="00AD35E7" w:rsidRPr="00E41264" w:rsidRDefault="00AD35E7" w:rsidP="00AD35E7">
            <w:pPr>
              <w:jc w:val="right"/>
              <w:rPr>
                <w:rFonts w:cs="Times New Roman"/>
                <w:i/>
              </w:rPr>
            </w:pPr>
            <w:r w:rsidRPr="00E41264">
              <w:rPr>
                <w:rFonts w:cs="Times New Roman"/>
                <w:i/>
              </w:rPr>
              <w:t>Commuting</w:t>
            </w:r>
          </w:p>
        </w:tc>
        <w:tc>
          <w:tcPr>
            <w:tcW w:w="1770" w:type="dxa"/>
          </w:tcPr>
          <w:p w:rsidR="00AD35E7" w:rsidRPr="00E41264" w:rsidRDefault="00EF0531" w:rsidP="00AD36D8">
            <w:pPr>
              <w:jc w:val="center"/>
              <w:rPr>
                <w:rFonts w:cs="Times New Roman"/>
              </w:rPr>
            </w:pPr>
            <w:r w:rsidRPr="00E41264">
              <w:rPr>
                <w:rFonts w:cs="Times New Roman"/>
              </w:rPr>
              <w:t>Varies</w:t>
            </w:r>
          </w:p>
        </w:tc>
        <w:tc>
          <w:tcPr>
            <w:tcW w:w="2734" w:type="dxa"/>
          </w:tcPr>
          <w:p w:rsidR="00AD35E7" w:rsidRPr="00E41264" w:rsidRDefault="00DA044B" w:rsidP="00AD36D8">
            <w:pPr>
              <w:jc w:val="center"/>
              <w:rPr>
                <w:rFonts w:cs="Times New Roman"/>
              </w:rPr>
            </w:pPr>
            <w:r>
              <w:rPr>
                <w:rFonts w:cs="Times New Roman"/>
              </w:rPr>
              <w:t>15644.75</w:t>
            </w:r>
          </w:p>
        </w:tc>
      </w:tr>
      <w:tr w:rsidR="00AD35E7" w:rsidRPr="00E41264" w:rsidTr="00AD35E7">
        <w:trPr>
          <w:trHeight w:val="285"/>
        </w:trPr>
        <w:tc>
          <w:tcPr>
            <w:tcW w:w="4695" w:type="dxa"/>
          </w:tcPr>
          <w:p w:rsidR="00AD35E7" w:rsidRPr="00E41264" w:rsidRDefault="00AD35E7" w:rsidP="00AD35E7">
            <w:pPr>
              <w:jc w:val="right"/>
              <w:rPr>
                <w:rFonts w:cs="Times New Roman"/>
                <w:i/>
              </w:rPr>
            </w:pPr>
            <w:r w:rsidRPr="00E41264">
              <w:rPr>
                <w:rFonts w:cs="Times New Roman"/>
                <w:i/>
              </w:rPr>
              <w:t>Food</w:t>
            </w:r>
          </w:p>
        </w:tc>
        <w:tc>
          <w:tcPr>
            <w:tcW w:w="1770" w:type="dxa"/>
          </w:tcPr>
          <w:p w:rsidR="00AD35E7" w:rsidRPr="00E41264" w:rsidRDefault="00EF0531" w:rsidP="00AD36D8">
            <w:pPr>
              <w:jc w:val="center"/>
              <w:rPr>
                <w:rFonts w:cs="Times New Roman"/>
              </w:rPr>
            </w:pPr>
            <w:r w:rsidRPr="00E41264">
              <w:rPr>
                <w:rFonts w:cs="Times New Roman"/>
              </w:rPr>
              <w:t>1,068,707 lb</w:t>
            </w:r>
          </w:p>
        </w:tc>
        <w:tc>
          <w:tcPr>
            <w:tcW w:w="2734" w:type="dxa"/>
          </w:tcPr>
          <w:p w:rsidR="00AD35E7" w:rsidRPr="00E41264" w:rsidRDefault="00DA044B" w:rsidP="00AD36D8">
            <w:pPr>
              <w:jc w:val="center"/>
              <w:rPr>
                <w:rFonts w:cs="Times New Roman"/>
              </w:rPr>
            </w:pPr>
            <w:r>
              <w:rPr>
                <w:rFonts w:cs="Times New Roman"/>
              </w:rPr>
              <w:t>2548.42</w:t>
            </w:r>
          </w:p>
        </w:tc>
      </w:tr>
      <w:tr w:rsidR="00AD35E7" w:rsidRPr="00E41264" w:rsidTr="00AD35E7">
        <w:trPr>
          <w:trHeight w:val="285"/>
        </w:trPr>
        <w:tc>
          <w:tcPr>
            <w:tcW w:w="4695" w:type="dxa"/>
          </w:tcPr>
          <w:p w:rsidR="00AD35E7" w:rsidRPr="00E41264" w:rsidRDefault="00AD35E7" w:rsidP="00AD35E7">
            <w:pPr>
              <w:jc w:val="right"/>
              <w:rPr>
                <w:rFonts w:cs="Times New Roman"/>
                <w:i/>
              </w:rPr>
            </w:pPr>
            <w:r w:rsidRPr="00E41264">
              <w:rPr>
                <w:rFonts w:cs="Times New Roman"/>
                <w:i/>
              </w:rPr>
              <w:t>Paper</w:t>
            </w:r>
          </w:p>
        </w:tc>
        <w:tc>
          <w:tcPr>
            <w:tcW w:w="1770" w:type="dxa"/>
          </w:tcPr>
          <w:p w:rsidR="00AD35E7" w:rsidRPr="00E41264" w:rsidRDefault="00EF0531" w:rsidP="00AD36D8">
            <w:pPr>
              <w:jc w:val="center"/>
              <w:rPr>
                <w:rFonts w:cs="Times New Roman"/>
              </w:rPr>
            </w:pPr>
            <w:r w:rsidRPr="00E41264">
              <w:rPr>
                <w:rFonts w:cs="Times New Roman"/>
              </w:rPr>
              <w:t>5</w:t>
            </w:r>
            <w:r w:rsidR="00F415B0">
              <w:rPr>
                <w:rFonts w:cs="Times New Roman"/>
              </w:rPr>
              <w:t>,</w:t>
            </w:r>
            <w:r w:rsidRPr="00E41264">
              <w:rPr>
                <w:rFonts w:cs="Times New Roman"/>
              </w:rPr>
              <w:t>642 reams</w:t>
            </w:r>
          </w:p>
        </w:tc>
        <w:tc>
          <w:tcPr>
            <w:tcW w:w="2734" w:type="dxa"/>
          </w:tcPr>
          <w:p w:rsidR="00AD35E7" w:rsidRPr="00E41264" w:rsidRDefault="00EF0531" w:rsidP="00AD36D8">
            <w:pPr>
              <w:jc w:val="center"/>
              <w:rPr>
                <w:rFonts w:cs="Times New Roman"/>
              </w:rPr>
            </w:pPr>
            <w:r w:rsidRPr="00E41264">
              <w:rPr>
                <w:rFonts w:cs="Times New Roman"/>
              </w:rPr>
              <w:t>33.49</w:t>
            </w:r>
          </w:p>
        </w:tc>
      </w:tr>
      <w:tr w:rsidR="00AD35E7" w:rsidRPr="00E41264" w:rsidTr="00AD35E7">
        <w:trPr>
          <w:trHeight w:val="285"/>
        </w:trPr>
        <w:tc>
          <w:tcPr>
            <w:tcW w:w="4695" w:type="dxa"/>
          </w:tcPr>
          <w:p w:rsidR="00AD35E7" w:rsidRPr="00E41264" w:rsidRDefault="008C76FC" w:rsidP="00AD35E7">
            <w:pPr>
              <w:jc w:val="right"/>
              <w:rPr>
                <w:rFonts w:cs="Times New Roman"/>
                <w:i/>
              </w:rPr>
            </w:pPr>
            <w:r w:rsidRPr="00E41264">
              <w:rPr>
                <w:rFonts w:cs="Times New Roman"/>
                <w:i/>
              </w:rPr>
              <w:t>Waste</w:t>
            </w:r>
          </w:p>
        </w:tc>
        <w:tc>
          <w:tcPr>
            <w:tcW w:w="1770" w:type="dxa"/>
          </w:tcPr>
          <w:p w:rsidR="00AD35E7" w:rsidRPr="00E41264" w:rsidRDefault="008C76FC" w:rsidP="00AD36D8">
            <w:pPr>
              <w:jc w:val="center"/>
              <w:rPr>
                <w:rFonts w:cs="Times New Roman"/>
              </w:rPr>
            </w:pPr>
            <w:r w:rsidRPr="00E41264">
              <w:rPr>
                <w:rFonts w:cs="Times New Roman"/>
              </w:rPr>
              <w:t>2,486,400 lb</w:t>
            </w:r>
          </w:p>
        </w:tc>
        <w:tc>
          <w:tcPr>
            <w:tcW w:w="2734" w:type="dxa"/>
          </w:tcPr>
          <w:p w:rsidR="00AD35E7" w:rsidRPr="00E41264" w:rsidRDefault="00DA044B" w:rsidP="00AD36D8">
            <w:pPr>
              <w:jc w:val="center"/>
              <w:rPr>
                <w:rFonts w:cs="Times New Roman"/>
              </w:rPr>
            </w:pPr>
            <w:r>
              <w:rPr>
                <w:rFonts w:cs="Times New Roman"/>
              </w:rPr>
              <w:t>431.64</w:t>
            </w:r>
          </w:p>
        </w:tc>
      </w:tr>
      <w:tr w:rsidR="008C76FC" w:rsidRPr="00E41264" w:rsidTr="00AD35E7">
        <w:trPr>
          <w:trHeight w:val="285"/>
        </w:trPr>
        <w:tc>
          <w:tcPr>
            <w:tcW w:w="4695" w:type="dxa"/>
          </w:tcPr>
          <w:p w:rsidR="008C76FC" w:rsidRPr="00E41264" w:rsidRDefault="008C76FC" w:rsidP="00AD35E7">
            <w:pPr>
              <w:jc w:val="right"/>
              <w:rPr>
                <w:rFonts w:cs="Times New Roman"/>
                <w:i/>
              </w:rPr>
            </w:pPr>
            <w:r w:rsidRPr="00E41264">
              <w:rPr>
                <w:rFonts w:cs="Times New Roman"/>
                <w:i/>
              </w:rPr>
              <w:t>Wastewater</w:t>
            </w:r>
          </w:p>
        </w:tc>
        <w:tc>
          <w:tcPr>
            <w:tcW w:w="1770" w:type="dxa"/>
          </w:tcPr>
          <w:p w:rsidR="008C76FC" w:rsidRPr="00E41264" w:rsidRDefault="008C76FC" w:rsidP="00AD36D8">
            <w:pPr>
              <w:jc w:val="center"/>
              <w:rPr>
                <w:rFonts w:cs="Times New Roman"/>
              </w:rPr>
            </w:pPr>
            <w:r w:rsidRPr="00E41264">
              <w:rPr>
                <w:rFonts w:cs="Times New Roman"/>
              </w:rPr>
              <w:t>49,072,400 gal</w:t>
            </w:r>
          </w:p>
        </w:tc>
        <w:tc>
          <w:tcPr>
            <w:tcW w:w="2734" w:type="dxa"/>
          </w:tcPr>
          <w:p w:rsidR="008C76FC" w:rsidRPr="00E41264" w:rsidRDefault="008C76FC" w:rsidP="00AD36D8">
            <w:pPr>
              <w:jc w:val="center"/>
              <w:rPr>
                <w:rFonts w:cs="Times New Roman"/>
              </w:rPr>
            </w:pPr>
            <w:r w:rsidRPr="00E41264">
              <w:rPr>
                <w:rFonts w:cs="Times New Roman"/>
              </w:rPr>
              <w:t>21.20</w:t>
            </w:r>
          </w:p>
        </w:tc>
      </w:tr>
      <w:tr w:rsidR="00AD36D8" w:rsidRPr="00E41264" w:rsidTr="00AD36D8">
        <w:trPr>
          <w:trHeight w:val="285"/>
        </w:trPr>
        <w:tc>
          <w:tcPr>
            <w:tcW w:w="9199" w:type="dxa"/>
            <w:gridSpan w:val="3"/>
          </w:tcPr>
          <w:p w:rsidR="00AD36D8" w:rsidRPr="00E41264" w:rsidRDefault="00AD36D8" w:rsidP="00AD36D8">
            <w:pPr>
              <w:rPr>
                <w:rFonts w:cs="Times New Roman"/>
              </w:rPr>
            </w:pPr>
            <w:r w:rsidRPr="00E41264">
              <w:rPr>
                <w:rFonts w:cs="Times New Roman"/>
                <w:i/>
              </w:rPr>
              <w:t>Sinks (Total)</w:t>
            </w:r>
          </w:p>
        </w:tc>
      </w:tr>
      <w:tr w:rsidR="00AD35E7" w:rsidRPr="00E41264" w:rsidTr="00AD35E7">
        <w:trPr>
          <w:trHeight w:val="285"/>
        </w:trPr>
        <w:tc>
          <w:tcPr>
            <w:tcW w:w="4695" w:type="dxa"/>
          </w:tcPr>
          <w:p w:rsidR="00AD35E7" w:rsidRPr="00E41264" w:rsidRDefault="00AD35E7" w:rsidP="00AD35E7">
            <w:pPr>
              <w:jc w:val="right"/>
              <w:rPr>
                <w:rFonts w:cs="Times New Roman"/>
                <w:i/>
              </w:rPr>
            </w:pPr>
            <w:r w:rsidRPr="00E41264">
              <w:rPr>
                <w:rFonts w:cs="Times New Roman"/>
                <w:i/>
              </w:rPr>
              <w:t>Non-Additional Sequestration</w:t>
            </w:r>
          </w:p>
        </w:tc>
        <w:tc>
          <w:tcPr>
            <w:tcW w:w="1770" w:type="dxa"/>
          </w:tcPr>
          <w:p w:rsidR="00AD35E7" w:rsidRPr="00E41264" w:rsidRDefault="008C76FC" w:rsidP="00AD36D8">
            <w:pPr>
              <w:jc w:val="center"/>
              <w:rPr>
                <w:rFonts w:cs="Times New Roman"/>
              </w:rPr>
            </w:pPr>
            <w:r w:rsidRPr="00E41264">
              <w:rPr>
                <w:rFonts w:cs="Times New Roman"/>
              </w:rPr>
              <w:t>26.2 acres</w:t>
            </w:r>
          </w:p>
        </w:tc>
        <w:tc>
          <w:tcPr>
            <w:tcW w:w="2734" w:type="dxa"/>
          </w:tcPr>
          <w:p w:rsidR="00AD35E7" w:rsidRPr="00E41264" w:rsidRDefault="00AD36D8" w:rsidP="00AD36D8">
            <w:pPr>
              <w:jc w:val="center"/>
              <w:rPr>
                <w:rFonts w:cs="Times New Roman"/>
              </w:rPr>
            </w:pPr>
            <w:r w:rsidRPr="00E41264">
              <w:rPr>
                <w:rFonts w:cs="Times New Roman"/>
              </w:rPr>
              <w:t>3,864</w:t>
            </w:r>
          </w:p>
        </w:tc>
      </w:tr>
      <w:tr w:rsidR="00AD35E7" w:rsidRPr="00E41264" w:rsidTr="00AD35E7">
        <w:trPr>
          <w:trHeight w:val="458"/>
        </w:trPr>
        <w:tc>
          <w:tcPr>
            <w:tcW w:w="4695" w:type="dxa"/>
            <w:vAlign w:val="center"/>
          </w:tcPr>
          <w:p w:rsidR="00AD35E7" w:rsidRPr="00E41264" w:rsidRDefault="00AD35E7" w:rsidP="00AD35E7">
            <w:pPr>
              <w:jc w:val="center"/>
              <w:rPr>
                <w:rFonts w:cs="Times New Roman"/>
                <w:i/>
              </w:rPr>
            </w:pPr>
            <w:r w:rsidRPr="00E41264">
              <w:rPr>
                <w:rFonts w:cs="Times New Roman"/>
                <w:i/>
              </w:rPr>
              <w:t>Total Emissions</w:t>
            </w:r>
          </w:p>
        </w:tc>
        <w:tc>
          <w:tcPr>
            <w:tcW w:w="4504" w:type="dxa"/>
            <w:gridSpan w:val="2"/>
            <w:vAlign w:val="center"/>
          </w:tcPr>
          <w:p w:rsidR="00AD35E7" w:rsidRPr="00E41264" w:rsidRDefault="00DA044B" w:rsidP="00AD35E7">
            <w:pPr>
              <w:jc w:val="center"/>
              <w:rPr>
                <w:rFonts w:cs="Times New Roman"/>
              </w:rPr>
            </w:pPr>
            <w:r>
              <w:rPr>
                <w:rFonts w:cs="Times New Roman"/>
              </w:rPr>
              <w:t>34,345</w:t>
            </w:r>
          </w:p>
        </w:tc>
      </w:tr>
    </w:tbl>
    <w:p w:rsidR="00AD35E7" w:rsidRPr="00E41264" w:rsidRDefault="0068542C" w:rsidP="008C76FC">
      <w:pPr>
        <w:pStyle w:val="Heading1"/>
        <w:ind w:left="0" w:firstLine="0"/>
      </w:pPr>
      <w:bookmarkStart w:id="5" w:name="_Toc35933041"/>
      <w:r w:rsidRPr="00E41264">
        <w:lastRenderedPageBreak/>
        <w:t>Inventory Parameters &amp; Boundaries</w:t>
      </w:r>
      <w:bookmarkEnd w:id="5"/>
    </w:p>
    <w:p w:rsidR="0068542C" w:rsidRPr="00E41264" w:rsidRDefault="0068542C" w:rsidP="0068542C">
      <w:pPr>
        <w:spacing w:line="240" w:lineRule="auto"/>
        <w:rPr>
          <w:rFonts w:eastAsia="Times New Roman" w:cs="Times New Roman"/>
          <w:b/>
          <w:szCs w:val="24"/>
          <w:u w:val="single"/>
        </w:rPr>
      </w:pPr>
    </w:p>
    <w:p w:rsidR="0068542C" w:rsidRPr="00E41264" w:rsidRDefault="0068542C" w:rsidP="0068542C">
      <w:pPr>
        <w:pStyle w:val="Heading2"/>
        <w:rPr>
          <w:rFonts w:eastAsia="Times New Roman"/>
        </w:rPr>
      </w:pPr>
      <w:bookmarkStart w:id="6" w:name="_Toc35933042"/>
      <w:r w:rsidRPr="00E41264">
        <w:rPr>
          <w:rFonts w:eastAsia="Times New Roman"/>
        </w:rPr>
        <w:t>Methods</w:t>
      </w:r>
      <w:bookmarkEnd w:id="6"/>
    </w:p>
    <w:p w:rsidR="0068542C" w:rsidRPr="00E41264" w:rsidRDefault="0068542C" w:rsidP="0068542C"/>
    <w:p w:rsidR="0068542C" w:rsidRPr="00E41264" w:rsidRDefault="0068542C" w:rsidP="0068542C">
      <w:pPr>
        <w:spacing w:line="240" w:lineRule="auto"/>
        <w:rPr>
          <w:rFonts w:eastAsia="Times New Roman" w:cs="Times New Roman"/>
          <w:b/>
          <w:szCs w:val="24"/>
        </w:rPr>
      </w:pPr>
      <w:r w:rsidRPr="00E41264">
        <w:rPr>
          <w:rFonts w:eastAsia="Times New Roman" w:cs="Times New Roman"/>
          <w:b/>
          <w:szCs w:val="24"/>
        </w:rPr>
        <w:t>Boundaries</w:t>
      </w:r>
    </w:p>
    <w:p w:rsidR="0068542C" w:rsidRDefault="0068542C" w:rsidP="0068542C">
      <w:pPr>
        <w:spacing w:line="240" w:lineRule="auto"/>
        <w:rPr>
          <w:rFonts w:eastAsia="Times New Roman" w:cs="Times New Roman"/>
          <w:szCs w:val="24"/>
        </w:rPr>
      </w:pPr>
      <w:r w:rsidRPr="00E41264">
        <w:rPr>
          <w:rFonts w:eastAsia="Times New Roman" w:cs="Times New Roman"/>
          <w:szCs w:val="24"/>
        </w:rPr>
        <w:t xml:space="preserve">This inventory’s parameters were defined using The Greenhouse Gas Protocol </w:t>
      </w:r>
      <w:sdt>
        <w:sdtPr>
          <w:rPr>
            <w:rFonts w:eastAsia="Times New Roman" w:cs="Times New Roman"/>
            <w:szCs w:val="24"/>
          </w:rPr>
          <w:id w:val="1876802880"/>
          <w:citation/>
        </w:sdtPr>
        <w:sdtContent>
          <w:r w:rsidRPr="00E41264">
            <w:rPr>
              <w:rFonts w:eastAsia="Times New Roman" w:cs="Times New Roman"/>
              <w:szCs w:val="24"/>
            </w:rPr>
            <w:fldChar w:fldCharType="begin"/>
          </w:r>
          <w:r w:rsidRPr="00E41264">
            <w:rPr>
              <w:rFonts w:eastAsia="Times New Roman" w:cs="Times New Roman"/>
              <w:szCs w:val="24"/>
            </w:rPr>
            <w:instrText xml:space="preserve"> CITATION Wor04 \l 1033 </w:instrText>
          </w:r>
          <w:r w:rsidRPr="00E41264">
            <w:rPr>
              <w:rFonts w:eastAsia="Times New Roman" w:cs="Times New Roman"/>
              <w:szCs w:val="24"/>
            </w:rPr>
            <w:fldChar w:fldCharType="separate"/>
          </w:r>
          <w:r w:rsidR="002D6615" w:rsidRPr="002D6615">
            <w:rPr>
              <w:rFonts w:eastAsia="Times New Roman" w:cs="Times New Roman"/>
              <w:noProof/>
              <w:szCs w:val="24"/>
            </w:rPr>
            <w:t>(World Resources Institute, 2004)</w:t>
          </w:r>
          <w:r w:rsidRPr="00E41264">
            <w:rPr>
              <w:rFonts w:eastAsia="Times New Roman" w:cs="Times New Roman"/>
              <w:szCs w:val="24"/>
            </w:rPr>
            <w:fldChar w:fldCharType="end"/>
          </w:r>
        </w:sdtContent>
      </w:sdt>
      <w:r w:rsidRPr="00E41264">
        <w:rPr>
          <w:rFonts w:eastAsia="Times New Roman" w:cs="Times New Roman"/>
          <w:szCs w:val="24"/>
        </w:rPr>
        <w:t xml:space="preserve">. This report is centered around a financial control approach, meaning data was collected on items, entities, and operations that Florida Institute of Technology has financial control over, including FIT Aviation and FIT Museums. Some data was not able to be collected due to the </w:t>
      </w:r>
      <w:r w:rsidR="001D26E5">
        <w:rPr>
          <w:rFonts w:eastAsia="Times New Roman" w:cs="Times New Roman"/>
          <w:szCs w:val="24"/>
        </w:rPr>
        <w:t>lack of or inaccurately maintained records</w:t>
      </w:r>
      <w:r w:rsidR="00221944">
        <w:rPr>
          <w:rFonts w:eastAsia="Times New Roman" w:cs="Times New Roman"/>
          <w:szCs w:val="24"/>
        </w:rPr>
        <w:t>,</w:t>
      </w:r>
      <w:r w:rsidRPr="00E41264">
        <w:rPr>
          <w:rFonts w:eastAsia="Times New Roman" w:cs="Times New Roman"/>
          <w:szCs w:val="24"/>
        </w:rPr>
        <w:t xml:space="preserve"> le</w:t>
      </w:r>
      <w:r w:rsidR="00221944">
        <w:rPr>
          <w:rFonts w:eastAsia="Times New Roman" w:cs="Times New Roman"/>
          <w:szCs w:val="24"/>
        </w:rPr>
        <w:t>a</w:t>
      </w:r>
      <w:r w:rsidRPr="00E41264">
        <w:rPr>
          <w:rFonts w:eastAsia="Times New Roman" w:cs="Times New Roman"/>
          <w:szCs w:val="24"/>
        </w:rPr>
        <w:t>d</w:t>
      </w:r>
      <w:r w:rsidR="00221944">
        <w:rPr>
          <w:rFonts w:eastAsia="Times New Roman" w:cs="Times New Roman"/>
          <w:szCs w:val="24"/>
        </w:rPr>
        <w:t>ing</w:t>
      </w:r>
      <w:r w:rsidRPr="00E41264">
        <w:rPr>
          <w:rFonts w:eastAsia="Times New Roman" w:cs="Times New Roman"/>
          <w:szCs w:val="24"/>
        </w:rPr>
        <w:t xml:space="preserve"> to slightly deviated final results. </w:t>
      </w:r>
      <w:r w:rsidR="00B81018" w:rsidRPr="00E41264">
        <w:rPr>
          <w:rFonts w:eastAsia="Times New Roman" w:cs="Times New Roman"/>
          <w:szCs w:val="24"/>
        </w:rPr>
        <w:t xml:space="preserve">Efforts will be made to correct the reporting standards for the next reporting period. </w:t>
      </w:r>
    </w:p>
    <w:p w:rsidR="00224B72" w:rsidRPr="00E41264" w:rsidRDefault="00224B72" w:rsidP="0068542C">
      <w:pPr>
        <w:spacing w:line="240" w:lineRule="auto"/>
        <w:rPr>
          <w:rFonts w:eastAsia="Times New Roman" w:cs="Times New Roman"/>
          <w:szCs w:val="24"/>
        </w:rPr>
      </w:pPr>
    </w:p>
    <w:p w:rsidR="0068542C" w:rsidRPr="00E41264" w:rsidRDefault="0068542C" w:rsidP="0068542C">
      <w:pPr>
        <w:spacing w:line="240" w:lineRule="auto"/>
        <w:rPr>
          <w:rFonts w:eastAsia="Times New Roman" w:cs="Times New Roman"/>
          <w:b/>
          <w:szCs w:val="24"/>
        </w:rPr>
      </w:pPr>
      <w:r w:rsidRPr="00E41264">
        <w:rPr>
          <w:rFonts w:eastAsia="Times New Roman" w:cs="Times New Roman"/>
          <w:b/>
          <w:szCs w:val="24"/>
        </w:rPr>
        <w:t>Baseline year</w:t>
      </w:r>
    </w:p>
    <w:p w:rsidR="0068542C" w:rsidRDefault="0068542C" w:rsidP="0068542C">
      <w:pPr>
        <w:spacing w:line="240" w:lineRule="auto"/>
        <w:rPr>
          <w:rFonts w:eastAsia="Times New Roman" w:cs="Times New Roman"/>
          <w:szCs w:val="24"/>
        </w:rPr>
      </w:pPr>
      <w:r w:rsidRPr="00E41264">
        <w:rPr>
          <w:rFonts w:eastAsia="Times New Roman" w:cs="Times New Roman"/>
          <w:szCs w:val="24"/>
        </w:rPr>
        <w:t>The baseline year for this inventory is Fiscal Year 2019 (FY-19). The Fiscal Year at Florida Tech runs from May 1</w:t>
      </w:r>
      <w:r w:rsidRPr="00E41264">
        <w:rPr>
          <w:rFonts w:eastAsia="Times New Roman" w:cs="Times New Roman"/>
          <w:szCs w:val="24"/>
          <w:vertAlign w:val="superscript"/>
        </w:rPr>
        <w:t>st</w:t>
      </w:r>
      <w:r w:rsidRPr="00E41264">
        <w:rPr>
          <w:rFonts w:eastAsia="Times New Roman" w:cs="Times New Roman"/>
          <w:szCs w:val="24"/>
        </w:rPr>
        <w:t xml:space="preserve"> to April 31</w:t>
      </w:r>
      <w:r w:rsidRPr="00E41264">
        <w:rPr>
          <w:rFonts w:eastAsia="Times New Roman" w:cs="Times New Roman"/>
          <w:szCs w:val="24"/>
          <w:vertAlign w:val="superscript"/>
        </w:rPr>
        <w:t>st</w:t>
      </w:r>
      <w:r w:rsidRPr="00E41264">
        <w:rPr>
          <w:rFonts w:eastAsia="Times New Roman" w:cs="Times New Roman"/>
          <w:szCs w:val="24"/>
        </w:rPr>
        <w:t xml:space="preserve"> each year. FY19 was chosen because at the start of the initial data collection </w:t>
      </w:r>
      <w:r w:rsidR="00B81018" w:rsidRPr="00E41264">
        <w:rPr>
          <w:rFonts w:eastAsia="Times New Roman" w:cs="Times New Roman"/>
          <w:szCs w:val="24"/>
        </w:rPr>
        <w:t xml:space="preserve">it </w:t>
      </w:r>
      <w:r w:rsidRPr="00E41264">
        <w:rPr>
          <w:rFonts w:eastAsia="Times New Roman" w:cs="Times New Roman"/>
          <w:szCs w:val="24"/>
        </w:rPr>
        <w:t>was the only complete fiscal year with appropriate data. Historic data will be included when available to show trends over the long term.</w:t>
      </w:r>
    </w:p>
    <w:p w:rsidR="00224B72" w:rsidRPr="00E41264" w:rsidRDefault="00224B72" w:rsidP="0068542C">
      <w:pPr>
        <w:spacing w:line="240" w:lineRule="auto"/>
        <w:rPr>
          <w:rFonts w:eastAsia="Times New Roman" w:cs="Times New Roman"/>
          <w:szCs w:val="24"/>
        </w:rPr>
      </w:pPr>
    </w:p>
    <w:p w:rsidR="0068542C" w:rsidRPr="00E41264" w:rsidRDefault="0068542C" w:rsidP="0068542C">
      <w:pPr>
        <w:spacing w:line="240" w:lineRule="auto"/>
        <w:rPr>
          <w:rFonts w:eastAsia="Times New Roman" w:cs="Times New Roman"/>
          <w:b/>
          <w:szCs w:val="24"/>
        </w:rPr>
      </w:pPr>
      <w:r w:rsidRPr="00E41264">
        <w:rPr>
          <w:rFonts w:eastAsia="Times New Roman" w:cs="Times New Roman"/>
          <w:b/>
          <w:szCs w:val="24"/>
        </w:rPr>
        <w:t>Boundary Conditions and Limitations</w:t>
      </w:r>
    </w:p>
    <w:p w:rsidR="0068542C" w:rsidRDefault="00B81018" w:rsidP="0068542C">
      <w:pPr>
        <w:spacing w:line="240" w:lineRule="auto"/>
        <w:rPr>
          <w:rFonts w:eastAsia="Times New Roman" w:cs="Times New Roman"/>
          <w:szCs w:val="24"/>
        </w:rPr>
      </w:pPr>
      <w:r w:rsidRPr="00E41264">
        <w:rPr>
          <w:rFonts w:eastAsia="Times New Roman" w:cs="Times New Roman"/>
          <w:szCs w:val="24"/>
        </w:rPr>
        <w:t>This report w</w:t>
      </w:r>
      <w:r w:rsidR="0068542C" w:rsidRPr="00E41264">
        <w:rPr>
          <w:rFonts w:eastAsia="Times New Roman" w:cs="Times New Roman"/>
          <w:szCs w:val="24"/>
        </w:rPr>
        <w:t xml:space="preserve">ill take a financial control approach to the inventory. Under a financial control approach the inventory would include anything that Florida Tech “has the full authority to introduce and implement its operating policies at the operation”. </w:t>
      </w:r>
      <w:sdt>
        <w:sdtPr>
          <w:rPr>
            <w:rFonts w:eastAsia="Times New Roman" w:cs="Times New Roman"/>
            <w:szCs w:val="24"/>
          </w:rPr>
          <w:id w:val="1991745499"/>
          <w:citation/>
        </w:sdtPr>
        <w:sdtContent>
          <w:r w:rsidR="00E44F6A">
            <w:rPr>
              <w:rFonts w:eastAsia="Times New Roman" w:cs="Times New Roman"/>
              <w:szCs w:val="24"/>
            </w:rPr>
            <w:fldChar w:fldCharType="begin"/>
          </w:r>
          <w:r w:rsidR="00E44F6A">
            <w:rPr>
              <w:rFonts w:eastAsia="Times New Roman" w:cs="Times New Roman"/>
              <w:szCs w:val="24"/>
            </w:rPr>
            <w:instrText xml:space="preserve"> CITATION Wor04 \l 1033 </w:instrText>
          </w:r>
          <w:r w:rsidR="00E44F6A">
            <w:rPr>
              <w:rFonts w:eastAsia="Times New Roman" w:cs="Times New Roman"/>
              <w:szCs w:val="24"/>
            </w:rPr>
            <w:fldChar w:fldCharType="separate"/>
          </w:r>
          <w:r w:rsidR="002D6615" w:rsidRPr="002D6615">
            <w:rPr>
              <w:rFonts w:eastAsia="Times New Roman" w:cs="Times New Roman"/>
              <w:noProof/>
              <w:szCs w:val="24"/>
            </w:rPr>
            <w:t>(World Resources Institute, 2004)</w:t>
          </w:r>
          <w:r w:rsidR="00E44F6A">
            <w:rPr>
              <w:rFonts w:eastAsia="Times New Roman" w:cs="Times New Roman"/>
              <w:szCs w:val="24"/>
            </w:rPr>
            <w:fldChar w:fldCharType="end"/>
          </w:r>
        </w:sdtContent>
      </w:sdt>
    </w:p>
    <w:p w:rsidR="00224B72" w:rsidRPr="00E41264" w:rsidRDefault="00224B72" w:rsidP="0068542C">
      <w:pPr>
        <w:spacing w:line="240" w:lineRule="auto"/>
        <w:rPr>
          <w:rFonts w:eastAsia="Times New Roman" w:cs="Times New Roman"/>
          <w:szCs w:val="24"/>
        </w:rPr>
      </w:pPr>
    </w:p>
    <w:p w:rsidR="0068542C" w:rsidRPr="00E41264" w:rsidRDefault="0068542C" w:rsidP="0068542C">
      <w:pPr>
        <w:spacing w:line="240" w:lineRule="auto"/>
        <w:rPr>
          <w:rFonts w:eastAsia="Times New Roman" w:cs="Times New Roman"/>
          <w:b/>
          <w:szCs w:val="24"/>
        </w:rPr>
      </w:pPr>
      <w:r w:rsidRPr="00E41264">
        <w:rPr>
          <w:rFonts w:eastAsia="Times New Roman" w:cs="Times New Roman"/>
          <w:b/>
          <w:szCs w:val="24"/>
        </w:rPr>
        <w:t>Definition of Scopes</w:t>
      </w:r>
    </w:p>
    <w:p w:rsidR="0068542C" w:rsidRPr="00E41264" w:rsidRDefault="0068542C" w:rsidP="0068542C">
      <w:pPr>
        <w:spacing w:line="240" w:lineRule="auto"/>
        <w:rPr>
          <w:rFonts w:eastAsia="Times New Roman" w:cs="Times New Roman"/>
          <w:szCs w:val="24"/>
        </w:rPr>
      </w:pPr>
      <w:r w:rsidRPr="00E41264">
        <w:rPr>
          <w:rFonts w:eastAsia="Times New Roman" w:cs="Times New Roman"/>
          <w:szCs w:val="24"/>
        </w:rPr>
        <w:t>The categorization of various emission sources is outlined by The Greenhouse Gas protocol:</w:t>
      </w:r>
    </w:p>
    <w:p w:rsidR="0068542C" w:rsidRPr="00E41264" w:rsidRDefault="0068542C" w:rsidP="0068542C">
      <w:pPr>
        <w:spacing w:line="240" w:lineRule="auto"/>
        <w:rPr>
          <w:rFonts w:eastAsia="Times New Roman" w:cs="Times New Roman"/>
          <w:szCs w:val="24"/>
        </w:rPr>
      </w:pPr>
      <w:r w:rsidRPr="00E41264">
        <w:rPr>
          <w:rFonts w:eastAsia="Times New Roman" w:cs="Times New Roman"/>
          <w:szCs w:val="24"/>
        </w:rPr>
        <w:t>Scope 1</w:t>
      </w:r>
    </w:p>
    <w:p w:rsidR="0068542C" w:rsidRPr="00E41264" w:rsidRDefault="0068542C" w:rsidP="0068542C">
      <w:pPr>
        <w:numPr>
          <w:ilvl w:val="0"/>
          <w:numId w:val="9"/>
        </w:numPr>
        <w:spacing w:after="0" w:line="240" w:lineRule="auto"/>
        <w:rPr>
          <w:rFonts w:eastAsia="Times New Roman" w:cs="Times New Roman"/>
          <w:szCs w:val="24"/>
        </w:rPr>
      </w:pPr>
      <w:r w:rsidRPr="00E41264">
        <w:rPr>
          <w:rFonts w:eastAsia="Times New Roman" w:cs="Times New Roman"/>
          <w:szCs w:val="24"/>
        </w:rPr>
        <w:t>These are direct campus emissions that arise for on-site sources.</w:t>
      </w:r>
    </w:p>
    <w:p w:rsidR="0068542C" w:rsidRPr="00E41264" w:rsidRDefault="0068542C" w:rsidP="0068542C">
      <w:pPr>
        <w:numPr>
          <w:ilvl w:val="0"/>
          <w:numId w:val="9"/>
        </w:numPr>
        <w:spacing w:after="0" w:line="240" w:lineRule="auto"/>
        <w:rPr>
          <w:rFonts w:eastAsia="Times New Roman" w:cs="Times New Roman"/>
          <w:szCs w:val="24"/>
        </w:rPr>
      </w:pPr>
      <w:r w:rsidRPr="00E41264">
        <w:rPr>
          <w:rFonts w:eastAsia="Times New Roman" w:cs="Times New Roman"/>
          <w:szCs w:val="24"/>
        </w:rPr>
        <w:t>Includes items such as: fossil fuels, fertilizer, refrigerants, &amp; chemicals.</w:t>
      </w:r>
    </w:p>
    <w:p w:rsidR="0068542C" w:rsidRPr="00E41264" w:rsidRDefault="0068542C" w:rsidP="0068542C">
      <w:pPr>
        <w:spacing w:line="240" w:lineRule="auto"/>
        <w:rPr>
          <w:rFonts w:eastAsia="Times New Roman" w:cs="Times New Roman"/>
          <w:szCs w:val="24"/>
        </w:rPr>
      </w:pPr>
      <w:r w:rsidRPr="00E41264">
        <w:rPr>
          <w:rFonts w:eastAsia="Times New Roman" w:cs="Times New Roman"/>
          <w:szCs w:val="24"/>
        </w:rPr>
        <w:t>Scope 2</w:t>
      </w:r>
    </w:p>
    <w:p w:rsidR="0068542C" w:rsidRPr="00E41264" w:rsidRDefault="0068542C" w:rsidP="0068542C">
      <w:pPr>
        <w:numPr>
          <w:ilvl w:val="0"/>
          <w:numId w:val="10"/>
        </w:numPr>
        <w:spacing w:after="0" w:line="240" w:lineRule="auto"/>
        <w:rPr>
          <w:rFonts w:eastAsia="Times New Roman" w:cs="Times New Roman"/>
          <w:szCs w:val="24"/>
        </w:rPr>
      </w:pPr>
      <w:r w:rsidRPr="00E41264">
        <w:rPr>
          <w:rFonts w:eastAsia="Times New Roman" w:cs="Times New Roman"/>
          <w:szCs w:val="24"/>
        </w:rPr>
        <w:t>Purchased electricity &amp; Renewable Energy Credits (RECs) makes up the whole of this scope.</w:t>
      </w:r>
    </w:p>
    <w:p w:rsidR="0068542C" w:rsidRPr="00E41264" w:rsidRDefault="0068542C" w:rsidP="0068542C">
      <w:pPr>
        <w:spacing w:line="240" w:lineRule="auto"/>
        <w:rPr>
          <w:rFonts w:eastAsia="Times New Roman" w:cs="Times New Roman"/>
          <w:szCs w:val="24"/>
        </w:rPr>
      </w:pPr>
      <w:r w:rsidRPr="00E41264">
        <w:rPr>
          <w:rFonts w:eastAsia="Times New Roman" w:cs="Times New Roman"/>
          <w:szCs w:val="24"/>
        </w:rPr>
        <w:t>Scope 3</w:t>
      </w:r>
    </w:p>
    <w:p w:rsidR="0068542C" w:rsidRPr="00E41264" w:rsidRDefault="0068542C" w:rsidP="00E44F6A">
      <w:pPr>
        <w:numPr>
          <w:ilvl w:val="0"/>
          <w:numId w:val="9"/>
        </w:numPr>
        <w:spacing w:after="0" w:line="240" w:lineRule="auto"/>
        <w:rPr>
          <w:rFonts w:eastAsia="Times New Roman" w:cs="Times New Roman"/>
          <w:szCs w:val="24"/>
        </w:rPr>
      </w:pPr>
      <w:r w:rsidRPr="00E41264">
        <w:rPr>
          <w:rFonts w:eastAsia="Times New Roman" w:cs="Times New Roman"/>
          <w:szCs w:val="24"/>
        </w:rPr>
        <w:t>Indirect emissions from activities associated with travel, user experience, and day-to-day operations</w:t>
      </w:r>
    </w:p>
    <w:p w:rsidR="0068542C" w:rsidRPr="00E41264" w:rsidRDefault="0068542C" w:rsidP="00E44F6A">
      <w:pPr>
        <w:numPr>
          <w:ilvl w:val="0"/>
          <w:numId w:val="9"/>
        </w:numPr>
        <w:spacing w:after="0" w:line="240" w:lineRule="auto"/>
        <w:rPr>
          <w:rFonts w:eastAsia="Times New Roman" w:cs="Times New Roman"/>
          <w:szCs w:val="24"/>
        </w:rPr>
      </w:pPr>
      <w:r w:rsidRPr="00E41264">
        <w:rPr>
          <w:rFonts w:eastAsia="Times New Roman" w:cs="Times New Roman"/>
          <w:szCs w:val="24"/>
        </w:rPr>
        <w:t>Includes items such as: commuting, food, paper, etc.</w:t>
      </w:r>
    </w:p>
    <w:p w:rsidR="0068542C" w:rsidRPr="00E41264" w:rsidRDefault="0068542C" w:rsidP="0068542C">
      <w:pPr>
        <w:spacing w:line="240" w:lineRule="auto"/>
        <w:rPr>
          <w:rFonts w:eastAsia="Times New Roman" w:cs="Times New Roman"/>
          <w:szCs w:val="24"/>
        </w:rPr>
      </w:pPr>
    </w:p>
    <w:p w:rsidR="00136234" w:rsidRPr="00E41264" w:rsidRDefault="0068542C" w:rsidP="0068542C">
      <w:pPr>
        <w:pStyle w:val="Heading2"/>
      </w:pPr>
      <w:bookmarkStart w:id="7" w:name="_Toc35933043"/>
      <w:r w:rsidRPr="00E41264">
        <w:t>Institutional Parameters</w:t>
      </w:r>
      <w:bookmarkEnd w:id="7"/>
    </w:p>
    <w:p w:rsidR="0068542C" w:rsidRPr="00E41264" w:rsidRDefault="0068542C" w:rsidP="0068542C"/>
    <w:p w:rsidR="0068542C" w:rsidRPr="00E41264" w:rsidRDefault="0068542C" w:rsidP="0068542C">
      <w:r w:rsidRPr="00E41264">
        <w:t xml:space="preserve">Florida Institute of Technology, Inc. </w:t>
      </w:r>
      <w:r w:rsidR="007C5FF6" w:rsidRPr="00E41264">
        <w:t>and its subsidiaries are</w:t>
      </w:r>
      <w:r w:rsidRPr="00E41264">
        <w:t xml:space="preserve"> a private not-for-profit Doctoral Granting Research University located in and around Melbourne, FL. </w:t>
      </w:r>
      <w:r w:rsidR="007C5FF6" w:rsidRPr="00E41264">
        <w:t>The Educational Institution is located in a mid-size city classified as IECC Zone-2 (hot) and classified as an independent educational facility in the State of Florida</w:t>
      </w:r>
      <w:r w:rsidR="00E44F6A">
        <w:t xml:space="preserve"> </w:t>
      </w:r>
      <w:sdt>
        <w:sdtPr>
          <w:id w:val="-492334023"/>
          <w:citation/>
        </w:sdtPr>
        <w:sdtContent>
          <w:r w:rsidR="00E44F6A">
            <w:fldChar w:fldCharType="begin"/>
          </w:r>
          <w:r w:rsidR="00E44F6A">
            <w:instrText xml:space="preserve"> CITATION Int15 \l 1033 </w:instrText>
          </w:r>
          <w:r w:rsidR="00E44F6A">
            <w:fldChar w:fldCharType="separate"/>
          </w:r>
          <w:r w:rsidR="002D6615">
            <w:rPr>
              <w:noProof/>
            </w:rPr>
            <w:t>(International Code Council, 2015)</w:t>
          </w:r>
          <w:r w:rsidR="00E44F6A">
            <w:fldChar w:fldCharType="end"/>
          </w:r>
        </w:sdtContent>
      </w:sdt>
      <w:r w:rsidR="007C5FF6" w:rsidRPr="00E41264">
        <w:t xml:space="preserve">. </w:t>
      </w:r>
    </w:p>
    <w:p w:rsidR="003670AC" w:rsidRPr="00E41264" w:rsidRDefault="007C5FF6" w:rsidP="0068542C">
      <w:r w:rsidRPr="00E41264">
        <w:t xml:space="preserve">The Main Campus and Melbourne Sites are considered to incorporate over 135 acres of land, 2 million square feet of gross building space, and a </w:t>
      </w:r>
      <w:r w:rsidR="003670AC" w:rsidRPr="00E41264">
        <w:t xml:space="preserve">Full Time Enrollment (FTE) </w:t>
      </w:r>
      <w:r w:rsidRPr="00E41264">
        <w:t xml:space="preserve">student population of </w:t>
      </w:r>
      <w:r w:rsidR="00EF0531" w:rsidRPr="00E41264">
        <w:t>4,685</w:t>
      </w:r>
      <w:r w:rsidR="003670AC" w:rsidRPr="00E41264">
        <w:t>,</w:t>
      </w:r>
      <w:r w:rsidR="00EF0531" w:rsidRPr="00E41264">
        <w:t xml:space="preserve"> 775</w:t>
      </w:r>
      <w:r w:rsidR="003670AC" w:rsidRPr="00E41264">
        <w:t xml:space="preserve"> employees, and </w:t>
      </w:r>
      <w:r w:rsidR="00EF0531" w:rsidRPr="00E41264">
        <w:t>357</w:t>
      </w:r>
      <w:r w:rsidR="003670AC" w:rsidRPr="00E41264">
        <w:t xml:space="preserve"> faculty members. The total operating budget for FY-19 was $</w:t>
      </w:r>
      <w:r w:rsidR="00762778" w:rsidRPr="00E41264">
        <w:t>197</w:t>
      </w:r>
      <w:r w:rsidR="008B7CBC">
        <w:t xml:space="preserve"> m</w:t>
      </w:r>
      <w:r w:rsidR="003670AC" w:rsidRPr="00E41264">
        <w:t>illion with $</w:t>
      </w:r>
      <w:r w:rsidR="00762778" w:rsidRPr="00E41264">
        <w:t>2.6</w:t>
      </w:r>
      <w:r w:rsidR="008B7CBC">
        <w:t xml:space="preserve"> m</w:t>
      </w:r>
      <w:r w:rsidR="003670AC" w:rsidRPr="00E41264">
        <w:t>illion for research and $</w:t>
      </w:r>
      <w:r w:rsidR="00762778" w:rsidRPr="00E41264">
        <w:t>3.5</w:t>
      </w:r>
      <w:r w:rsidR="003670AC" w:rsidRPr="00E41264">
        <w:t xml:space="preserve"> million for energy</w:t>
      </w:r>
      <w:r w:rsidR="00E44F6A">
        <w:t xml:space="preserve"> </w:t>
      </w:r>
      <w:sdt>
        <w:sdtPr>
          <w:id w:val="-2035263149"/>
          <w:citation/>
        </w:sdtPr>
        <w:sdtContent>
          <w:r w:rsidR="00E44F6A">
            <w:fldChar w:fldCharType="begin"/>
          </w:r>
          <w:r w:rsidR="00E44F6A">
            <w:instrText xml:space="preserve"> CITATION Flo20 \l 1033 </w:instrText>
          </w:r>
          <w:r w:rsidR="00E44F6A">
            <w:fldChar w:fldCharType="separate"/>
          </w:r>
          <w:r w:rsidR="002D6615">
            <w:rPr>
              <w:noProof/>
            </w:rPr>
            <w:t>(Florida Institute of Technology, Inc. , 2020)</w:t>
          </w:r>
          <w:r w:rsidR="00E44F6A">
            <w:fldChar w:fldCharType="end"/>
          </w:r>
        </w:sdtContent>
      </w:sdt>
      <w:r w:rsidR="003670AC" w:rsidRPr="00E41264">
        <w:t xml:space="preserve">. </w:t>
      </w:r>
    </w:p>
    <w:p w:rsidR="00B374EC" w:rsidRPr="00E41264" w:rsidRDefault="00B374EC" w:rsidP="00B374EC">
      <w:r w:rsidRPr="00E41264">
        <w:t>Florida Institute of Technology, Inc. is a 501(c</w:t>
      </w:r>
      <w:proofErr w:type="gramStart"/>
      <w:r w:rsidRPr="00E41264">
        <w:t>)3</w:t>
      </w:r>
      <w:proofErr w:type="gramEnd"/>
      <w:r w:rsidRPr="00E41264">
        <w:t xml:space="preserve"> charitable educational organization under IRS Tax Law and operates with subsidiaries, primarily FIT Aviation, Inc. and FIT Museums, Inc. as separate entities under operational and financial control of the University</w:t>
      </w:r>
      <w:r w:rsidR="00E44F6A">
        <w:t xml:space="preserve"> </w:t>
      </w:r>
      <w:sdt>
        <w:sdtPr>
          <w:id w:val="536551205"/>
          <w:citation/>
        </w:sdtPr>
        <w:sdtContent>
          <w:r w:rsidR="00E44F6A">
            <w:fldChar w:fldCharType="begin"/>
          </w:r>
          <w:r w:rsidR="00E44F6A">
            <w:instrText xml:space="preserve"> CITATION Sta20 \l 1033 </w:instrText>
          </w:r>
          <w:r w:rsidR="00E44F6A">
            <w:fldChar w:fldCharType="separate"/>
          </w:r>
          <w:r w:rsidR="002D6615">
            <w:rPr>
              <w:noProof/>
            </w:rPr>
            <w:t>(State of Florida Department of State, 2020)</w:t>
          </w:r>
          <w:r w:rsidR="00E44F6A">
            <w:fldChar w:fldCharType="end"/>
          </w:r>
        </w:sdtContent>
      </w:sdt>
      <w:r w:rsidRPr="00E41264">
        <w:t xml:space="preserve">. </w:t>
      </w:r>
    </w:p>
    <w:p w:rsidR="00B374EC" w:rsidRPr="00E41264" w:rsidRDefault="00B374EC" w:rsidP="00B374EC"/>
    <w:p w:rsidR="00B374EC" w:rsidRPr="00E41264" w:rsidRDefault="00B374EC">
      <w:r w:rsidRPr="00E41264">
        <w:br w:type="page"/>
      </w:r>
    </w:p>
    <w:p w:rsidR="00895586" w:rsidRPr="00E41264" w:rsidRDefault="00B374EC" w:rsidP="009A582A">
      <w:pPr>
        <w:pStyle w:val="Heading1"/>
      </w:pPr>
      <w:bookmarkStart w:id="8" w:name="_Toc35933044"/>
      <w:r w:rsidRPr="00E41264">
        <w:lastRenderedPageBreak/>
        <w:t>Scope 1 Emissions Inventory</w:t>
      </w:r>
      <w:bookmarkEnd w:id="8"/>
    </w:p>
    <w:p w:rsidR="00895586" w:rsidRPr="00E41264" w:rsidRDefault="00895586" w:rsidP="00B374EC"/>
    <w:p w:rsidR="00B374EC" w:rsidRPr="00E41264" w:rsidRDefault="00B374EC" w:rsidP="00B374EC">
      <w:pPr>
        <w:spacing w:line="240" w:lineRule="auto"/>
        <w:rPr>
          <w:rFonts w:eastAsia="Times New Roman" w:cs="Times New Roman"/>
          <w:b/>
          <w:szCs w:val="24"/>
        </w:rPr>
      </w:pPr>
      <w:r w:rsidRPr="00E41264">
        <w:rPr>
          <w:rFonts w:eastAsia="Times New Roman" w:cs="Times New Roman"/>
          <w:b/>
          <w:szCs w:val="24"/>
        </w:rPr>
        <w:t>Stationary Fuels -Natural Gas</w:t>
      </w:r>
    </w:p>
    <w:p w:rsidR="00B374EC" w:rsidRPr="00E41264" w:rsidRDefault="00B374EC" w:rsidP="00B374EC">
      <w:pPr>
        <w:spacing w:line="240" w:lineRule="auto"/>
        <w:rPr>
          <w:rFonts w:eastAsia="Times New Roman" w:cs="Times New Roman"/>
          <w:szCs w:val="24"/>
        </w:rPr>
      </w:pPr>
      <w:r w:rsidRPr="00E41264">
        <w:rPr>
          <w:rFonts w:eastAsia="Times New Roman" w:cs="Times New Roman"/>
          <w:szCs w:val="24"/>
        </w:rPr>
        <w:t>Initial natural gas information was only available as an amount purchased. Historic records of natural gas price were used to estimate the amount used by Florida Tech. These values can be found on the U.S. Energy Information Administration (EIA) website (“Natural Gas Prices”).The conversion factors for finding the equivalent CO</w:t>
      </w:r>
      <w:r w:rsidRPr="00E41264">
        <w:rPr>
          <w:rFonts w:eastAsia="Times New Roman" w:cs="Times New Roman"/>
          <w:szCs w:val="24"/>
          <w:vertAlign w:val="subscript"/>
        </w:rPr>
        <w:t>2</w:t>
      </w:r>
      <w:r w:rsidRPr="00E41264">
        <w:rPr>
          <w:rFonts w:eastAsia="Times New Roman" w:cs="Times New Roman"/>
          <w:szCs w:val="24"/>
        </w:rPr>
        <w:t xml:space="preserve"> emissions from the natural gas can also be found on the U.S. EIA website (“U.S. Energy Information Administration - EIA - Independent Statistics and Analysis.”). Na</w:t>
      </w:r>
      <w:r w:rsidR="00865D9A" w:rsidRPr="00E41264">
        <w:rPr>
          <w:rFonts w:eastAsia="Times New Roman" w:cs="Times New Roman"/>
          <w:szCs w:val="24"/>
        </w:rPr>
        <w:t>tural gas was assumed as Non-co</w:t>
      </w:r>
      <w:r w:rsidRPr="00E41264">
        <w:rPr>
          <w:rFonts w:eastAsia="Times New Roman" w:cs="Times New Roman"/>
          <w:szCs w:val="24"/>
        </w:rPr>
        <w:t>gen</w:t>
      </w:r>
      <w:r w:rsidR="00865D9A" w:rsidRPr="00E41264">
        <w:rPr>
          <w:rFonts w:eastAsia="Times New Roman" w:cs="Times New Roman"/>
          <w:szCs w:val="24"/>
        </w:rPr>
        <w:t>erated natural gas</w:t>
      </w:r>
      <w:r w:rsidRPr="00E41264">
        <w:rPr>
          <w:rFonts w:eastAsia="Times New Roman" w:cs="Times New Roman"/>
          <w:szCs w:val="24"/>
        </w:rPr>
        <w:t>.</w:t>
      </w:r>
      <w:r w:rsidR="00B81018" w:rsidRPr="00E41264">
        <w:rPr>
          <w:rFonts w:eastAsia="Times New Roman" w:cs="Times New Roman"/>
          <w:szCs w:val="24"/>
        </w:rPr>
        <w:t xml:space="preserve"> These numbers reflect usage for HVAC, back-up generators, and laboratory use. </w:t>
      </w:r>
      <w:r w:rsidR="00900F76">
        <w:rPr>
          <w:rFonts w:eastAsia="Times New Roman" w:cs="Times New Roman"/>
          <w:szCs w:val="24"/>
        </w:rPr>
        <w:t xml:space="preserve"> </w:t>
      </w:r>
    </w:p>
    <w:p w:rsidR="00B374EC" w:rsidRPr="00E41264" w:rsidRDefault="00B374EC" w:rsidP="00B374EC">
      <w:pPr>
        <w:spacing w:line="240" w:lineRule="auto"/>
        <w:rPr>
          <w:rFonts w:eastAsia="Times New Roman" w:cs="Times New Roman"/>
          <w:i/>
          <w:szCs w:val="24"/>
        </w:rPr>
      </w:pPr>
      <w:r w:rsidRPr="00E41264">
        <w:rPr>
          <w:rFonts w:eastAsia="Times New Roman" w:cs="Times New Roman"/>
          <w:i/>
          <w:szCs w:val="24"/>
        </w:rPr>
        <w:t>Conversion Factors</w:t>
      </w:r>
    </w:p>
    <w:p w:rsidR="00B374EC" w:rsidRPr="00E41264" w:rsidRDefault="00B374EC" w:rsidP="00B374EC">
      <w:pPr>
        <w:spacing w:line="240" w:lineRule="auto"/>
        <w:rPr>
          <w:rFonts w:eastAsia="Times New Roman" w:cs="Times New Roman"/>
          <w:szCs w:val="24"/>
        </w:rPr>
      </w:pPr>
      <w:r w:rsidRPr="00E41264">
        <w:rPr>
          <w:rFonts w:eastAsia="Times New Roman" w:cs="Times New Roman"/>
          <w:szCs w:val="24"/>
        </w:rPr>
        <w:tab/>
        <w:t>CO</w:t>
      </w:r>
      <w:r w:rsidRPr="00E41264">
        <w:rPr>
          <w:rFonts w:eastAsia="Times New Roman" w:cs="Times New Roman"/>
          <w:szCs w:val="24"/>
          <w:vertAlign w:val="subscript"/>
        </w:rPr>
        <w:t>2</w:t>
      </w:r>
      <w:r w:rsidRPr="00E41264">
        <w:rPr>
          <w:rFonts w:eastAsia="Times New Roman" w:cs="Times New Roman"/>
          <w:szCs w:val="24"/>
        </w:rPr>
        <w:t xml:space="preserve"> </w:t>
      </w:r>
      <w:r w:rsidRPr="00E41264">
        <w:rPr>
          <w:rFonts w:eastAsia="Times New Roman" w:cs="Times New Roman"/>
          <w:szCs w:val="24"/>
        </w:rPr>
        <w:tab/>
      </w:r>
      <w:r w:rsidRPr="00E41264">
        <w:rPr>
          <w:rFonts w:eastAsia="Times New Roman" w:cs="Times New Roman"/>
          <w:szCs w:val="24"/>
        </w:rPr>
        <w:tab/>
      </w:r>
      <w:r w:rsidRPr="00E41264">
        <w:rPr>
          <w:rFonts w:eastAsia="Times New Roman" w:cs="Times New Roman"/>
          <w:szCs w:val="24"/>
        </w:rPr>
        <w:tab/>
        <w:t>53.02 kg CO</w:t>
      </w:r>
      <w:r w:rsidRPr="00E41264">
        <w:rPr>
          <w:rFonts w:eastAsia="Times New Roman" w:cs="Times New Roman"/>
          <w:szCs w:val="24"/>
          <w:vertAlign w:val="subscript"/>
        </w:rPr>
        <w:t xml:space="preserve">2 </w:t>
      </w:r>
      <w:r w:rsidRPr="00E41264">
        <w:rPr>
          <w:rFonts w:eastAsia="Times New Roman" w:cs="Times New Roman"/>
          <w:szCs w:val="24"/>
        </w:rPr>
        <w:t>/ MMBtu</w:t>
      </w:r>
    </w:p>
    <w:p w:rsidR="00B374EC" w:rsidRDefault="00B374EC" w:rsidP="00B374EC">
      <w:pPr>
        <w:spacing w:line="240" w:lineRule="auto"/>
        <w:rPr>
          <w:rFonts w:eastAsia="Times New Roman" w:cs="Times New Roman"/>
          <w:i/>
          <w:szCs w:val="24"/>
        </w:rPr>
      </w:pPr>
      <w:r w:rsidRPr="00E41264">
        <w:rPr>
          <w:rFonts w:eastAsia="Times New Roman" w:cs="Times New Roman"/>
          <w:i/>
          <w:szCs w:val="24"/>
        </w:rPr>
        <w:t>Calculation Method</w:t>
      </w:r>
    </w:p>
    <w:p w:rsidR="00B374EC" w:rsidRPr="00900F76" w:rsidRDefault="00E44F6A" w:rsidP="001D7D31">
      <w:pPr>
        <w:spacing w:line="240" w:lineRule="auto"/>
        <w:ind w:left="720" w:firstLine="720"/>
        <w:rPr>
          <w:rFonts w:eastAsia="Times New Roman" w:cs="Times New Roman"/>
          <w:szCs w:val="24"/>
          <w:lang w:val="es-ES"/>
        </w:rPr>
      </w:pPr>
      <m:oMathPara>
        <m:oMathParaPr>
          <m:jc m:val="left"/>
        </m:oMathParaPr>
        <m:oMath>
          <m:d>
            <m:dPr>
              <m:ctrlPr>
                <w:rPr>
                  <w:rFonts w:ascii="Cambria Math" w:eastAsia="Times New Roman" w:hAnsi="Cambria Math" w:cs="Times New Roman"/>
                  <w:szCs w:val="24"/>
                </w:rPr>
              </m:ctrlPr>
            </m:dPr>
            <m:e>
              <m:r>
                <m:rPr>
                  <m:nor/>
                </m:rPr>
                <w:rPr>
                  <w:rFonts w:eastAsia="Times New Roman" w:cs="Times New Roman"/>
                  <w:szCs w:val="24"/>
                  <w:lang w:val="es-ES"/>
                </w:rPr>
                <m:t>10,346 MMBtu</m:t>
              </m:r>
            </m:e>
          </m:d>
          <m:r>
            <m:rPr>
              <m:nor/>
            </m:rPr>
            <w:rPr>
              <w:rFonts w:ascii="Cambria Math" w:eastAsia="Times New Roman" w:cs="Times New Roman"/>
              <w:szCs w:val="24"/>
              <w:lang w:val="es-ES"/>
            </w:rPr>
            <m:t xml:space="preserve"> </m:t>
          </m:r>
          <m:r>
            <m:rPr>
              <m:nor/>
            </m:rPr>
            <w:rPr>
              <w:rFonts w:eastAsia="Times New Roman" w:cs="Times New Roman"/>
              <w:szCs w:val="24"/>
              <w:lang w:val="es-ES"/>
            </w:rPr>
            <m:t>×</m:t>
          </m:r>
          <m:d>
            <m:dPr>
              <m:ctrlPr>
                <w:rPr>
                  <w:rFonts w:ascii="Cambria Math" w:eastAsia="Times New Roman" w:hAnsi="Cambria Math" w:cs="Times New Roman"/>
                  <w:szCs w:val="24"/>
                </w:rPr>
              </m:ctrlPr>
            </m:dPr>
            <m:e>
              <m:r>
                <m:rPr>
                  <m:nor/>
                </m:rPr>
                <w:rPr>
                  <w:rFonts w:eastAsia="Times New Roman" w:cs="Times New Roman"/>
                  <w:szCs w:val="24"/>
                  <w:lang w:val="es-ES"/>
                </w:rPr>
                <m:t xml:space="preserve"> </m:t>
              </m:r>
              <m:f>
                <m:fPr>
                  <m:ctrlPr>
                    <w:rPr>
                      <w:rFonts w:ascii="Cambria Math" w:eastAsia="Times New Roman" w:hAnsi="Cambria Math" w:cs="Times New Roman"/>
                      <w:szCs w:val="24"/>
                    </w:rPr>
                  </m:ctrlPr>
                </m:fPr>
                <m:num>
                  <m:r>
                    <m:rPr>
                      <m:nor/>
                    </m:rPr>
                    <w:rPr>
                      <w:rFonts w:eastAsia="Times New Roman" w:cs="Times New Roman"/>
                      <w:szCs w:val="24"/>
                      <w:lang w:val="es-ES"/>
                    </w:rPr>
                    <m:t>53.02 kg C</m:t>
                  </m:r>
                  <m:sSub>
                    <m:sSubPr>
                      <m:ctrlPr>
                        <w:rPr>
                          <w:rFonts w:ascii="Cambria Math" w:eastAsia="Times New Roman" w:hAnsi="Cambria Math" w:cs="Times New Roman"/>
                          <w:szCs w:val="24"/>
                        </w:rPr>
                      </m:ctrlPr>
                    </m:sSubPr>
                    <m:e>
                      <m:r>
                        <m:rPr>
                          <m:nor/>
                        </m:rPr>
                        <w:rPr>
                          <w:rFonts w:eastAsia="Times New Roman" w:cs="Times New Roman"/>
                          <w:szCs w:val="24"/>
                          <w:lang w:val="es-ES"/>
                        </w:rPr>
                        <m:t>O</m:t>
                      </m:r>
                    </m:e>
                    <m:sub>
                      <m:r>
                        <m:rPr>
                          <m:nor/>
                        </m:rPr>
                        <w:rPr>
                          <w:rFonts w:eastAsia="Times New Roman" w:cs="Times New Roman"/>
                          <w:szCs w:val="24"/>
                          <w:lang w:val="es-ES"/>
                        </w:rPr>
                        <m:t>2</m:t>
                      </m:r>
                    </m:sub>
                  </m:sSub>
                </m:num>
                <m:den>
                  <m:r>
                    <m:rPr>
                      <m:nor/>
                    </m:rPr>
                    <w:rPr>
                      <w:rFonts w:eastAsia="Times New Roman" w:cs="Times New Roman"/>
                      <w:szCs w:val="24"/>
                      <w:lang w:val="es-ES"/>
                    </w:rPr>
                    <m:t>1 MMBtu</m:t>
                  </m:r>
                </m:den>
              </m:f>
            </m:e>
          </m:d>
          <m:r>
            <m:rPr>
              <m:nor/>
            </m:rPr>
            <w:rPr>
              <w:rFonts w:ascii="Cambria Math" w:eastAsia="Times New Roman" w:cs="Times New Roman"/>
              <w:szCs w:val="24"/>
              <w:lang w:val="es-ES"/>
            </w:rPr>
            <m:t xml:space="preserve"> </m:t>
          </m:r>
          <m:r>
            <m:rPr>
              <m:nor/>
            </m:rPr>
            <w:rPr>
              <w:rFonts w:eastAsia="Times New Roman" w:cs="Times New Roman"/>
              <w:szCs w:val="24"/>
              <w:lang w:val="es-ES"/>
            </w:rPr>
            <m:t>=</m:t>
          </m:r>
          <m:r>
            <m:rPr>
              <m:nor/>
            </m:rPr>
            <w:rPr>
              <w:rFonts w:ascii="Cambria Math" w:eastAsia="Times New Roman" w:cs="Times New Roman"/>
              <w:szCs w:val="24"/>
              <w:lang w:val="es-ES"/>
            </w:rPr>
            <m:t xml:space="preserve"> </m:t>
          </m:r>
          <m:r>
            <m:rPr>
              <m:nor/>
            </m:rPr>
            <w:rPr>
              <w:rFonts w:eastAsia="Times New Roman" w:cs="Times New Roman"/>
              <w:szCs w:val="24"/>
              <w:lang w:val="es-ES"/>
            </w:rPr>
            <m:t>548,545 kg C</m:t>
          </m:r>
          <m:sSub>
            <m:sSubPr>
              <m:ctrlPr>
                <w:rPr>
                  <w:rFonts w:ascii="Cambria Math" w:eastAsia="Times New Roman" w:hAnsi="Cambria Math" w:cs="Times New Roman"/>
                  <w:szCs w:val="24"/>
                </w:rPr>
              </m:ctrlPr>
            </m:sSubPr>
            <m:e>
              <m:r>
                <m:rPr>
                  <m:nor/>
                </m:rPr>
                <w:rPr>
                  <w:rFonts w:eastAsia="Times New Roman" w:cs="Times New Roman"/>
                  <w:szCs w:val="24"/>
                  <w:lang w:val="es-ES"/>
                </w:rPr>
                <m:t>O</m:t>
              </m:r>
            </m:e>
            <m:sub>
              <m:r>
                <m:rPr>
                  <m:nor/>
                </m:rPr>
                <w:rPr>
                  <w:rFonts w:eastAsia="Times New Roman" w:cs="Times New Roman"/>
                  <w:szCs w:val="24"/>
                  <w:lang w:val="es-ES"/>
                </w:rPr>
                <m:t>2</m:t>
              </m:r>
            </m:sub>
          </m:sSub>
        </m:oMath>
      </m:oMathPara>
    </w:p>
    <w:p w:rsidR="005D301E" w:rsidRPr="00713427" w:rsidRDefault="005D301E" w:rsidP="00B374EC">
      <w:pPr>
        <w:spacing w:line="240" w:lineRule="auto"/>
        <w:rPr>
          <w:rFonts w:eastAsia="Times New Roman" w:cs="Times New Roman"/>
          <w:szCs w:val="24"/>
          <w:vertAlign w:val="subscript"/>
          <w:lang w:val="es-ES"/>
        </w:rPr>
      </w:pPr>
    </w:p>
    <w:p w:rsidR="005D301E" w:rsidRPr="00E41264" w:rsidRDefault="005D301E" w:rsidP="005D301E">
      <w:pPr>
        <w:rPr>
          <w:b/>
        </w:rPr>
      </w:pPr>
      <w:r w:rsidRPr="00E41264">
        <w:rPr>
          <w:b/>
        </w:rPr>
        <w:t>Generated Alternative Energy – Solar Production</w:t>
      </w:r>
    </w:p>
    <w:p w:rsidR="005D301E" w:rsidRPr="00E41264" w:rsidRDefault="005D301E" w:rsidP="005D301E">
      <w:pPr>
        <w:spacing w:line="240" w:lineRule="auto"/>
        <w:rPr>
          <w:rFonts w:eastAsia="Times New Roman" w:cs="Times New Roman"/>
          <w:szCs w:val="24"/>
        </w:rPr>
      </w:pPr>
      <w:r w:rsidRPr="00E41264">
        <w:rPr>
          <w:rFonts w:eastAsia="Times New Roman" w:cs="Times New Roman"/>
          <w:szCs w:val="24"/>
        </w:rPr>
        <w:t>Emissions related to sold alternative-produced electricity are calculated with respect to how much kWh the campus produces and returns to the grid. Florida Institute of Technology produces solar energy utilizing two arrays: a small array on the Facilities Transportation Depot and a larger o</w:t>
      </w:r>
      <w:r>
        <w:rPr>
          <w:rFonts w:eastAsia="Times New Roman" w:cs="Times New Roman"/>
          <w:szCs w:val="24"/>
        </w:rPr>
        <w:t>n the Olin Engineering Complex r</w:t>
      </w:r>
      <w:r w:rsidRPr="00E41264">
        <w:rPr>
          <w:rFonts w:eastAsia="Times New Roman" w:cs="Times New Roman"/>
          <w:szCs w:val="24"/>
        </w:rPr>
        <w:t>oof</w:t>
      </w:r>
      <w:r w:rsidR="000614CC">
        <w:rPr>
          <w:rStyle w:val="FootnoteReference"/>
          <w:rFonts w:eastAsia="Times New Roman" w:cs="Times New Roman"/>
          <w:szCs w:val="24"/>
        </w:rPr>
        <w:footnoteReference w:id="1"/>
      </w:r>
      <w:r w:rsidRPr="00E41264">
        <w:rPr>
          <w:rFonts w:eastAsia="Times New Roman" w:cs="Times New Roman"/>
          <w:szCs w:val="24"/>
        </w:rPr>
        <w:t>. The annual capacity of each array are 14,773 and 16,782 kWh respectively. Data on the Average production of the panels utilizing weather, location, and historical trends was calculated using PVWatts Calculator from the National Renewable Energy Laboratory</w:t>
      </w:r>
      <w:sdt>
        <w:sdtPr>
          <w:rPr>
            <w:rFonts w:eastAsia="Times New Roman" w:cs="Times New Roman"/>
            <w:szCs w:val="24"/>
          </w:rPr>
          <w:id w:val="-289131120"/>
          <w:citation/>
        </w:sdtPr>
        <w:sdtContent>
          <w:r w:rsidR="000614CC">
            <w:rPr>
              <w:rFonts w:eastAsia="Times New Roman" w:cs="Times New Roman"/>
              <w:szCs w:val="24"/>
            </w:rPr>
            <w:fldChar w:fldCharType="begin"/>
          </w:r>
          <w:r w:rsidR="000614CC">
            <w:rPr>
              <w:rFonts w:eastAsia="Times New Roman" w:cs="Times New Roman"/>
              <w:szCs w:val="24"/>
            </w:rPr>
            <w:instrText xml:space="preserve"> CITATION All20 \l 1033 </w:instrText>
          </w:r>
          <w:r w:rsidR="000614CC">
            <w:rPr>
              <w:rFonts w:eastAsia="Times New Roman" w:cs="Times New Roman"/>
              <w:szCs w:val="24"/>
            </w:rPr>
            <w:fldChar w:fldCharType="separate"/>
          </w:r>
          <w:r w:rsidR="002D6615">
            <w:rPr>
              <w:rFonts w:eastAsia="Times New Roman" w:cs="Times New Roman"/>
              <w:noProof/>
              <w:szCs w:val="24"/>
            </w:rPr>
            <w:t xml:space="preserve"> </w:t>
          </w:r>
          <w:r w:rsidR="002D6615" w:rsidRPr="002D6615">
            <w:rPr>
              <w:rFonts w:eastAsia="Times New Roman" w:cs="Times New Roman"/>
              <w:noProof/>
              <w:szCs w:val="24"/>
            </w:rPr>
            <w:t>(Alliance for Sustainable Energy, LLC, 2020)</w:t>
          </w:r>
          <w:r w:rsidR="000614CC">
            <w:rPr>
              <w:rFonts w:eastAsia="Times New Roman" w:cs="Times New Roman"/>
              <w:szCs w:val="24"/>
            </w:rPr>
            <w:fldChar w:fldCharType="end"/>
          </w:r>
        </w:sdtContent>
      </w:sdt>
      <w:r w:rsidRPr="00E41264">
        <w:rPr>
          <w:rFonts w:eastAsia="Times New Roman" w:cs="Times New Roman"/>
          <w:szCs w:val="24"/>
        </w:rPr>
        <w:t xml:space="preserve">. </w:t>
      </w:r>
    </w:p>
    <w:p w:rsidR="005D301E" w:rsidRPr="00E41264" w:rsidRDefault="005D301E" w:rsidP="005D301E">
      <w:pPr>
        <w:spacing w:line="240" w:lineRule="auto"/>
        <w:rPr>
          <w:rFonts w:eastAsia="Times New Roman" w:cs="Times New Roman"/>
          <w:szCs w:val="24"/>
        </w:rPr>
      </w:pPr>
    </w:p>
    <w:p w:rsidR="005D301E" w:rsidRPr="00E41264" w:rsidRDefault="005D301E" w:rsidP="005D301E">
      <w:pPr>
        <w:spacing w:line="240" w:lineRule="auto"/>
        <w:rPr>
          <w:rFonts w:eastAsia="Times New Roman" w:cs="Times New Roman"/>
          <w:i/>
          <w:szCs w:val="24"/>
        </w:rPr>
      </w:pPr>
      <w:r w:rsidRPr="00E41264">
        <w:rPr>
          <w:rFonts w:eastAsia="Times New Roman" w:cs="Times New Roman"/>
          <w:i/>
          <w:szCs w:val="24"/>
        </w:rPr>
        <w:t xml:space="preserve">Conversion Factors </w:t>
      </w:r>
    </w:p>
    <w:p w:rsidR="005D301E" w:rsidRPr="00E41264" w:rsidRDefault="005D301E" w:rsidP="005D301E">
      <w:pPr>
        <w:spacing w:line="240" w:lineRule="auto"/>
        <w:rPr>
          <w:rFonts w:eastAsia="Times New Roman" w:cs="Times New Roman"/>
          <w:szCs w:val="24"/>
        </w:rPr>
      </w:pPr>
      <w:r w:rsidRPr="00E41264">
        <w:rPr>
          <w:rFonts w:eastAsia="Times New Roman" w:cs="Times New Roman"/>
          <w:szCs w:val="24"/>
        </w:rPr>
        <w:tab/>
        <w:t>CO</w:t>
      </w:r>
      <w:r w:rsidRPr="00E41264">
        <w:rPr>
          <w:rFonts w:eastAsia="Times New Roman" w:cs="Times New Roman"/>
          <w:szCs w:val="24"/>
          <w:vertAlign w:val="subscript"/>
        </w:rPr>
        <w:t>2</w:t>
      </w:r>
      <w:r w:rsidRPr="00E41264">
        <w:rPr>
          <w:rFonts w:eastAsia="Times New Roman" w:cs="Times New Roman"/>
          <w:szCs w:val="24"/>
        </w:rPr>
        <w:t xml:space="preserve"> </w:t>
      </w:r>
      <w:r w:rsidRPr="00E41264">
        <w:rPr>
          <w:rFonts w:eastAsia="Times New Roman" w:cs="Times New Roman"/>
          <w:szCs w:val="24"/>
        </w:rPr>
        <w:tab/>
      </w:r>
      <w:r w:rsidRPr="00E41264">
        <w:rPr>
          <w:rFonts w:eastAsia="Times New Roman" w:cs="Times New Roman"/>
          <w:szCs w:val="24"/>
        </w:rPr>
        <w:tab/>
      </w:r>
      <w:r w:rsidRPr="00E41264">
        <w:rPr>
          <w:rFonts w:eastAsia="Times New Roman" w:cs="Times New Roman"/>
          <w:szCs w:val="24"/>
        </w:rPr>
        <w:tab/>
        <w:t>0.55000 kg CO</w:t>
      </w:r>
      <w:r w:rsidRPr="00E41264">
        <w:rPr>
          <w:rFonts w:eastAsia="Times New Roman" w:cs="Times New Roman"/>
          <w:szCs w:val="24"/>
          <w:vertAlign w:val="subscript"/>
        </w:rPr>
        <w:t xml:space="preserve">2 </w:t>
      </w:r>
      <w:r w:rsidRPr="00E41264">
        <w:rPr>
          <w:rFonts w:eastAsia="Times New Roman" w:cs="Times New Roman"/>
          <w:szCs w:val="24"/>
        </w:rPr>
        <w:t>/kWh</w:t>
      </w:r>
    </w:p>
    <w:p w:rsidR="003630B8" w:rsidRDefault="005D301E" w:rsidP="005D301E">
      <w:pPr>
        <w:spacing w:line="240" w:lineRule="auto"/>
        <w:rPr>
          <w:rFonts w:eastAsia="Times New Roman" w:cs="Times New Roman"/>
          <w:i/>
          <w:szCs w:val="24"/>
        </w:rPr>
      </w:pPr>
      <w:r w:rsidRPr="00E41264">
        <w:rPr>
          <w:rFonts w:eastAsia="Times New Roman" w:cs="Times New Roman"/>
          <w:i/>
          <w:szCs w:val="24"/>
        </w:rPr>
        <w:t>Calculation Method</w:t>
      </w:r>
    </w:p>
    <w:p w:rsidR="00E0122B" w:rsidRPr="00D061EF" w:rsidRDefault="00E44F6A" w:rsidP="00D061EF">
      <w:pPr>
        <w:spacing w:line="240" w:lineRule="auto"/>
        <w:ind w:left="720" w:firstLine="720"/>
        <w:rPr>
          <w:rFonts w:eastAsia="Times New Roman" w:cs="Times New Roman"/>
          <w:i/>
          <w:szCs w:val="24"/>
          <w:lang w:val="es-ES"/>
        </w:rPr>
      </w:pPr>
      <m:oMathPara>
        <m:oMathParaPr>
          <m:jc m:val="left"/>
        </m:oMathParaPr>
        <m:oMath>
          <m:d>
            <m:dPr>
              <m:ctrlPr>
                <w:rPr>
                  <w:rFonts w:ascii="Cambria Math" w:eastAsia="Times New Roman" w:hAnsi="Cambria Math" w:cs="Times New Roman"/>
                  <w:i/>
                  <w:szCs w:val="24"/>
                </w:rPr>
              </m:ctrlPr>
            </m:dPr>
            <m:e>
              <m:r>
                <m:rPr>
                  <m:nor/>
                </m:rPr>
                <w:rPr>
                  <w:rFonts w:eastAsia="Times New Roman" w:cs="Times New Roman"/>
                  <w:szCs w:val="24"/>
                  <w:lang w:val="es-ES"/>
                </w:rPr>
                <m:t xml:space="preserve">-31,555 </m:t>
              </m:r>
              <m:r>
                <m:rPr>
                  <m:nor/>
                </m:rPr>
                <w:rPr>
                  <w:rFonts w:eastAsia="Times New Roman" w:cs="Times New Roman"/>
                  <w:iCs/>
                  <w:szCs w:val="24"/>
                  <w:lang w:val="es-ES"/>
                </w:rPr>
                <m:t>kWh</m:t>
              </m:r>
              <m:ctrlPr>
                <w:rPr>
                  <w:rFonts w:ascii="Cambria Math" w:eastAsia="Times New Roman" w:hAnsi="Cambria Math" w:cs="Times New Roman"/>
                  <w:iCs/>
                  <w:szCs w:val="24"/>
                </w:rPr>
              </m:ctrlPr>
            </m:e>
          </m:d>
          <m:r>
            <m:rPr>
              <m:nor/>
            </m:rPr>
            <w:rPr>
              <w:rFonts w:eastAsia="Times New Roman" w:cs="Times New Roman"/>
              <w:iCs/>
              <w:szCs w:val="24"/>
              <w:lang w:val="es-ES"/>
            </w:rPr>
            <m:t xml:space="preserve"> × </m:t>
          </m:r>
          <m:d>
            <m:dPr>
              <m:ctrlPr>
                <w:rPr>
                  <w:rFonts w:ascii="Cambria Math" w:eastAsia="Times New Roman" w:hAnsi="Cambria Math" w:cs="Times New Roman"/>
                  <w:i/>
                  <w:iCs/>
                  <w:szCs w:val="24"/>
                </w:rPr>
              </m:ctrlPr>
            </m:dPr>
            <m:e>
              <m:f>
                <m:fPr>
                  <m:ctrlPr>
                    <w:rPr>
                      <w:rFonts w:ascii="Cambria Math" w:eastAsia="Times New Roman" w:hAnsi="Cambria Math" w:cs="Times New Roman"/>
                      <w:i/>
                      <w:iCs/>
                      <w:szCs w:val="24"/>
                    </w:rPr>
                  </m:ctrlPr>
                </m:fPr>
                <m:num>
                  <m:r>
                    <m:rPr>
                      <m:nor/>
                    </m:rPr>
                    <w:rPr>
                      <w:rFonts w:eastAsia="Times New Roman" w:cs="Times New Roman"/>
                      <w:iCs/>
                      <w:szCs w:val="24"/>
                      <w:lang w:val="es-ES"/>
                    </w:rPr>
                    <m:t xml:space="preserve">550 </m:t>
                  </m:r>
                  <m:r>
                    <m:rPr>
                      <m:nor/>
                    </m:rPr>
                    <w:rPr>
                      <w:rFonts w:eastAsia="Times New Roman" w:cs="Times New Roman"/>
                      <w:szCs w:val="24"/>
                      <w:lang w:val="es-ES"/>
                    </w:rPr>
                    <m:t>g C</m:t>
                  </m:r>
                  <m:sSub>
                    <m:sSubPr>
                      <m:ctrlPr>
                        <w:rPr>
                          <w:rFonts w:ascii="Cambria Math" w:eastAsia="Times New Roman" w:hAnsi="Cambria Math" w:cs="Times New Roman"/>
                          <w:szCs w:val="24"/>
                        </w:rPr>
                      </m:ctrlPr>
                    </m:sSubPr>
                    <m:e>
                      <m:r>
                        <m:rPr>
                          <m:nor/>
                        </m:rPr>
                        <w:rPr>
                          <w:rFonts w:eastAsia="Times New Roman" w:cs="Times New Roman"/>
                          <w:szCs w:val="24"/>
                          <w:lang w:val="es-ES"/>
                        </w:rPr>
                        <m:t>O</m:t>
                      </m:r>
                    </m:e>
                    <m:sub>
                      <m:r>
                        <m:rPr>
                          <m:nor/>
                        </m:rPr>
                        <w:rPr>
                          <w:rFonts w:eastAsia="Times New Roman" w:cs="Times New Roman"/>
                          <w:szCs w:val="24"/>
                          <w:lang w:val="es-ES"/>
                        </w:rPr>
                        <m:t>2</m:t>
                      </m:r>
                    </m:sub>
                  </m:sSub>
                </m:num>
                <m:den>
                  <m:r>
                    <m:rPr>
                      <m:nor/>
                    </m:rPr>
                    <w:rPr>
                      <w:rFonts w:eastAsia="Times New Roman" w:cs="Times New Roman"/>
                      <w:iCs/>
                      <w:szCs w:val="24"/>
                      <w:lang w:val="es-ES"/>
                    </w:rPr>
                    <m:t>1</m:t>
                  </m:r>
                  <m:r>
                    <m:rPr>
                      <m:nor/>
                    </m:rPr>
                    <w:rPr>
                      <w:rFonts w:eastAsia="Times New Roman" w:cs="Times New Roman"/>
                      <w:szCs w:val="24"/>
                      <w:lang w:val="es-ES"/>
                    </w:rPr>
                    <m:t xml:space="preserve"> kWh</m:t>
                  </m:r>
                </m:den>
              </m:f>
            </m:e>
          </m:d>
          <m:r>
            <m:rPr>
              <m:nor/>
            </m:rPr>
            <w:rPr>
              <w:rFonts w:eastAsia="Times New Roman" w:cs="Times New Roman"/>
              <w:iCs/>
              <w:szCs w:val="24"/>
              <w:lang w:val="es-ES"/>
            </w:rPr>
            <m:t xml:space="preserve"> × </m:t>
          </m:r>
          <m:d>
            <m:dPr>
              <m:ctrlPr>
                <w:rPr>
                  <w:rFonts w:ascii="Cambria Math" w:eastAsia="Times New Roman" w:hAnsi="Cambria Math" w:cs="Times New Roman"/>
                  <w:i/>
                  <w:iCs/>
                  <w:szCs w:val="24"/>
                </w:rPr>
              </m:ctrlPr>
            </m:dPr>
            <m:e>
              <m:f>
                <m:fPr>
                  <m:ctrlPr>
                    <w:rPr>
                      <w:rFonts w:ascii="Cambria Math" w:eastAsia="Times New Roman" w:hAnsi="Cambria Math" w:cs="Times New Roman"/>
                      <w:i/>
                      <w:iCs/>
                      <w:szCs w:val="24"/>
                    </w:rPr>
                  </m:ctrlPr>
                </m:fPr>
                <m:num>
                  <m:r>
                    <m:rPr>
                      <m:nor/>
                    </m:rPr>
                    <w:rPr>
                      <w:rFonts w:eastAsia="Times New Roman" w:cs="Times New Roman"/>
                      <w:iCs/>
                      <w:szCs w:val="24"/>
                      <w:lang w:val="es-ES"/>
                    </w:rPr>
                    <m:t>1</m:t>
                  </m:r>
                </m:num>
                <m:den>
                  <m:r>
                    <m:rPr>
                      <m:nor/>
                    </m:rPr>
                    <w:rPr>
                      <w:rFonts w:eastAsia="Times New Roman" w:cs="Times New Roman"/>
                      <w:iCs/>
                      <w:szCs w:val="24"/>
                      <w:lang w:val="es-ES"/>
                    </w:rPr>
                    <m:t>1,000,000</m:t>
                  </m:r>
                  <m:r>
                    <m:rPr>
                      <m:nor/>
                    </m:rPr>
                    <w:rPr>
                      <w:rFonts w:eastAsia="Times New Roman" w:cs="Times New Roman"/>
                      <w:szCs w:val="24"/>
                      <w:lang w:val="es-ES"/>
                    </w:rPr>
                    <m:t xml:space="preserve"> </m:t>
                  </m:r>
                  <m:f>
                    <m:fPr>
                      <m:type m:val="skw"/>
                      <m:ctrlPr>
                        <w:rPr>
                          <w:rFonts w:ascii="Cambria Math" w:eastAsia="Times New Roman" w:hAnsi="Cambria Math" w:cs="Times New Roman"/>
                          <w:szCs w:val="24"/>
                        </w:rPr>
                      </m:ctrlPr>
                    </m:fPr>
                    <m:num>
                      <m:r>
                        <m:rPr>
                          <m:nor/>
                        </m:rPr>
                        <w:rPr>
                          <w:rFonts w:eastAsia="Times New Roman" w:cs="Times New Roman"/>
                          <w:szCs w:val="24"/>
                          <w:lang w:val="es-ES"/>
                        </w:rPr>
                        <m:t>g</m:t>
                      </m:r>
                    </m:num>
                    <m:den>
                      <m:r>
                        <m:rPr>
                          <m:nor/>
                        </m:rPr>
                        <w:rPr>
                          <w:rFonts w:eastAsia="Times New Roman" w:cs="Times New Roman"/>
                          <w:szCs w:val="24"/>
                          <w:lang w:val="es-ES"/>
                        </w:rPr>
                        <m:t>eMT</m:t>
                      </m:r>
                    </m:den>
                  </m:f>
                </m:den>
              </m:f>
            </m:e>
          </m:d>
          <m:r>
            <m:rPr>
              <m:nor/>
            </m:rPr>
            <w:rPr>
              <w:rFonts w:ascii="Cambria Math" w:eastAsia="Times New Roman" w:cs="Times New Roman"/>
              <w:iCs/>
              <w:szCs w:val="24"/>
              <w:lang w:val="es-ES"/>
            </w:rPr>
            <m:t xml:space="preserve"> </m:t>
          </m:r>
          <m:r>
            <m:rPr>
              <m:nor/>
            </m:rPr>
            <w:rPr>
              <w:rFonts w:eastAsia="Times New Roman" w:cs="Times New Roman"/>
              <w:iCs/>
              <w:szCs w:val="24"/>
              <w:lang w:val="es-ES"/>
            </w:rPr>
            <m:t xml:space="preserve">= -17.35 </m:t>
          </m:r>
          <m:r>
            <m:rPr>
              <m:nor/>
            </m:rPr>
            <w:rPr>
              <w:rFonts w:eastAsia="Times New Roman" w:cs="Times New Roman"/>
              <w:szCs w:val="24"/>
              <w:lang w:val="es-ES"/>
            </w:rPr>
            <m:t>eMT C</m:t>
          </m:r>
          <m:sSub>
            <m:sSubPr>
              <m:ctrlPr>
                <w:rPr>
                  <w:rFonts w:ascii="Cambria Math" w:eastAsia="Times New Roman" w:hAnsi="Cambria Math" w:cs="Times New Roman"/>
                  <w:szCs w:val="24"/>
                </w:rPr>
              </m:ctrlPr>
            </m:sSubPr>
            <m:e>
              <m:r>
                <m:rPr>
                  <m:nor/>
                </m:rPr>
                <w:rPr>
                  <w:rFonts w:eastAsia="Times New Roman" w:cs="Times New Roman"/>
                  <w:szCs w:val="24"/>
                  <w:lang w:val="es-ES"/>
                </w:rPr>
                <m:t>O</m:t>
              </m:r>
            </m:e>
            <m:sub>
              <m:r>
                <m:rPr>
                  <m:nor/>
                </m:rPr>
                <w:rPr>
                  <w:rFonts w:eastAsia="Times New Roman" w:cs="Times New Roman"/>
                  <w:szCs w:val="24"/>
                  <w:lang w:val="es-ES"/>
                </w:rPr>
                <m:t>2</m:t>
              </m:r>
            </m:sub>
          </m:sSub>
          <m:r>
            <m:rPr>
              <m:nor/>
            </m:rPr>
            <w:rPr>
              <w:rFonts w:eastAsia="Times New Roman" w:cs="Times New Roman"/>
              <w:iCs/>
              <w:szCs w:val="24"/>
              <w:lang w:val="es-ES"/>
            </w:rPr>
            <m:t xml:space="preserve"> </m:t>
          </m:r>
        </m:oMath>
      </m:oMathPara>
    </w:p>
    <w:p w:rsidR="00895586" w:rsidRPr="003C1D7E" w:rsidRDefault="00895586" w:rsidP="00B374EC">
      <w:pPr>
        <w:spacing w:line="240" w:lineRule="auto"/>
        <w:rPr>
          <w:rFonts w:eastAsia="Times New Roman" w:cs="Times New Roman"/>
          <w:szCs w:val="24"/>
          <w:vertAlign w:val="subscript"/>
          <w:lang w:val="es-ES"/>
        </w:rPr>
      </w:pPr>
    </w:p>
    <w:p w:rsidR="005D301E" w:rsidRPr="003C1D7E" w:rsidRDefault="005D301E" w:rsidP="00B374EC">
      <w:pPr>
        <w:spacing w:line="240" w:lineRule="auto"/>
        <w:rPr>
          <w:rFonts w:eastAsia="Times New Roman" w:cs="Times New Roman"/>
          <w:szCs w:val="24"/>
          <w:vertAlign w:val="subscript"/>
          <w:lang w:val="es-ES"/>
        </w:rPr>
      </w:pPr>
    </w:p>
    <w:p w:rsidR="009A582A" w:rsidRPr="003C1D7E" w:rsidRDefault="009A582A" w:rsidP="00B374EC">
      <w:pPr>
        <w:spacing w:line="240" w:lineRule="auto"/>
        <w:rPr>
          <w:rFonts w:eastAsia="Times New Roman" w:cs="Times New Roman"/>
          <w:szCs w:val="24"/>
          <w:vertAlign w:val="subscript"/>
          <w:lang w:val="es-ES"/>
        </w:rPr>
      </w:pPr>
    </w:p>
    <w:p w:rsidR="00B374EC" w:rsidRPr="00E41264" w:rsidRDefault="00B374EC" w:rsidP="00B374EC">
      <w:pPr>
        <w:spacing w:line="240" w:lineRule="auto"/>
        <w:rPr>
          <w:rFonts w:eastAsia="Times New Roman" w:cs="Times New Roman"/>
          <w:b/>
          <w:szCs w:val="24"/>
        </w:rPr>
      </w:pPr>
      <w:r w:rsidRPr="00E41264">
        <w:rPr>
          <w:rFonts w:eastAsia="Times New Roman" w:cs="Times New Roman"/>
          <w:b/>
          <w:szCs w:val="24"/>
        </w:rPr>
        <w:lastRenderedPageBreak/>
        <w:t>Transportation Fuels – Campus Fleet Gasoline</w:t>
      </w:r>
    </w:p>
    <w:p w:rsidR="00B374EC" w:rsidRPr="00E41264" w:rsidRDefault="00B374EC" w:rsidP="00B374EC">
      <w:pPr>
        <w:spacing w:line="240" w:lineRule="auto"/>
        <w:rPr>
          <w:rFonts w:eastAsia="Times New Roman" w:cs="Times New Roman"/>
          <w:szCs w:val="24"/>
        </w:rPr>
      </w:pPr>
      <w:r w:rsidRPr="00E41264">
        <w:rPr>
          <w:rFonts w:eastAsia="Times New Roman" w:cs="Times New Roman"/>
          <w:szCs w:val="24"/>
        </w:rPr>
        <w:t>Florida Tech owns and operates many gasoline-fueled vehicles. The exact fuel usage of each vehicle is unknown so emissions were calculated based on the total fuel purchased. All campus gasoline vehicles draw the gas they need from one central tank</w:t>
      </w:r>
      <w:r w:rsidR="000614CC">
        <w:rPr>
          <w:rStyle w:val="FootnoteReference"/>
          <w:rFonts w:eastAsia="Times New Roman" w:cs="Times New Roman"/>
          <w:szCs w:val="24"/>
        </w:rPr>
        <w:footnoteReference w:id="2"/>
      </w:r>
      <w:r w:rsidRPr="00E41264">
        <w:rPr>
          <w:rFonts w:eastAsia="Times New Roman" w:cs="Times New Roman"/>
          <w:szCs w:val="24"/>
        </w:rPr>
        <w:t xml:space="preserve">. </w:t>
      </w:r>
    </w:p>
    <w:p w:rsidR="00B374EC" w:rsidRPr="00E41264" w:rsidRDefault="00B374EC" w:rsidP="00B374EC">
      <w:pPr>
        <w:spacing w:line="240" w:lineRule="auto"/>
        <w:rPr>
          <w:rFonts w:eastAsia="Times New Roman" w:cs="Times New Roman"/>
          <w:i/>
          <w:szCs w:val="24"/>
        </w:rPr>
      </w:pPr>
      <w:r w:rsidRPr="00E41264">
        <w:rPr>
          <w:rFonts w:eastAsia="Times New Roman" w:cs="Times New Roman"/>
          <w:i/>
          <w:szCs w:val="24"/>
        </w:rPr>
        <w:t>Conversion Factors</w:t>
      </w:r>
    </w:p>
    <w:p w:rsidR="00B374EC" w:rsidRPr="00E41264" w:rsidRDefault="00B374EC" w:rsidP="00B374EC">
      <w:pPr>
        <w:spacing w:line="240" w:lineRule="auto"/>
        <w:rPr>
          <w:rFonts w:eastAsia="Times New Roman" w:cs="Times New Roman"/>
          <w:szCs w:val="24"/>
        </w:rPr>
      </w:pPr>
      <w:r w:rsidRPr="00E41264">
        <w:rPr>
          <w:rFonts w:eastAsia="Times New Roman" w:cs="Times New Roman"/>
          <w:szCs w:val="24"/>
        </w:rPr>
        <w:tab/>
        <w:t>CO</w:t>
      </w:r>
      <w:r w:rsidRPr="00E41264">
        <w:rPr>
          <w:rFonts w:eastAsia="Times New Roman" w:cs="Times New Roman"/>
          <w:szCs w:val="24"/>
          <w:vertAlign w:val="subscript"/>
        </w:rPr>
        <w:t>2</w:t>
      </w:r>
      <w:r w:rsidRPr="00E41264">
        <w:rPr>
          <w:rFonts w:eastAsia="Times New Roman" w:cs="Times New Roman"/>
          <w:szCs w:val="24"/>
        </w:rPr>
        <w:t xml:space="preserve"> </w:t>
      </w:r>
      <w:r w:rsidRPr="00E41264">
        <w:rPr>
          <w:rFonts w:eastAsia="Times New Roman" w:cs="Times New Roman"/>
          <w:szCs w:val="24"/>
        </w:rPr>
        <w:tab/>
      </w:r>
      <w:r w:rsidRPr="00E41264">
        <w:rPr>
          <w:rFonts w:eastAsia="Times New Roman" w:cs="Times New Roman"/>
          <w:szCs w:val="24"/>
        </w:rPr>
        <w:tab/>
      </w:r>
      <w:r w:rsidRPr="00E41264">
        <w:rPr>
          <w:rFonts w:eastAsia="Times New Roman" w:cs="Times New Roman"/>
          <w:szCs w:val="24"/>
        </w:rPr>
        <w:tab/>
        <w:t>8.86650 kg CO</w:t>
      </w:r>
      <w:r w:rsidRPr="00E41264">
        <w:rPr>
          <w:rFonts w:eastAsia="Times New Roman" w:cs="Times New Roman"/>
          <w:szCs w:val="24"/>
          <w:vertAlign w:val="subscript"/>
        </w:rPr>
        <w:t xml:space="preserve">2 </w:t>
      </w:r>
      <w:r w:rsidRPr="00E41264">
        <w:rPr>
          <w:rFonts w:eastAsia="Times New Roman" w:cs="Times New Roman"/>
          <w:szCs w:val="24"/>
        </w:rPr>
        <w:t>/gal</w:t>
      </w:r>
    </w:p>
    <w:p w:rsidR="00895586" w:rsidRPr="001E10EB" w:rsidRDefault="00B374EC" w:rsidP="003F2BAD">
      <w:pPr>
        <w:spacing w:line="240" w:lineRule="auto"/>
        <w:rPr>
          <w:rFonts w:eastAsia="Times New Roman" w:cs="Times New Roman"/>
          <w:i/>
          <w:szCs w:val="24"/>
        </w:rPr>
      </w:pPr>
      <w:r w:rsidRPr="00E41264">
        <w:rPr>
          <w:rFonts w:eastAsia="Times New Roman" w:cs="Times New Roman"/>
          <w:i/>
          <w:szCs w:val="24"/>
        </w:rPr>
        <w:t>Calculation Method</w:t>
      </w:r>
    </w:p>
    <w:p w:rsidR="002B5AC1" w:rsidRPr="006C2232" w:rsidRDefault="00E44F6A" w:rsidP="001E10EB">
      <w:pPr>
        <w:spacing w:line="240" w:lineRule="auto"/>
        <w:ind w:left="720" w:firstLine="720"/>
        <w:rPr>
          <w:rFonts w:eastAsia="Times New Roman" w:cs="Times New Roman"/>
          <w:i/>
          <w:szCs w:val="24"/>
        </w:rPr>
      </w:pPr>
      <m:oMathPara>
        <m:oMathParaPr>
          <m:jc m:val="left"/>
        </m:oMathParaPr>
        <m:oMath>
          <m:d>
            <m:dPr>
              <m:ctrlPr>
                <w:rPr>
                  <w:rFonts w:ascii="Cambria Math" w:eastAsia="Times New Roman" w:hAnsi="Cambria Math" w:cs="Times New Roman"/>
                  <w:i/>
                  <w:szCs w:val="24"/>
                </w:rPr>
              </m:ctrlPr>
            </m:dPr>
            <m:e>
              <m:r>
                <m:rPr>
                  <m:nor/>
                </m:rPr>
                <w:rPr>
                  <w:rFonts w:eastAsia="Times New Roman" w:cs="Times New Roman"/>
                  <w:szCs w:val="24"/>
                </w:rPr>
                <m:t xml:space="preserve">36,076.00 </m:t>
              </m:r>
              <m:r>
                <m:rPr>
                  <m:nor/>
                </m:rPr>
                <w:rPr>
                  <w:rFonts w:eastAsia="Times New Roman" w:cs="Times New Roman"/>
                  <w:iCs/>
                  <w:szCs w:val="24"/>
                </w:rPr>
                <m:t>gal</m:t>
              </m:r>
            </m:e>
          </m:d>
          <m:r>
            <m:rPr>
              <m:nor/>
            </m:rPr>
            <w:rPr>
              <w:rFonts w:eastAsia="Times New Roman" w:cs="Times New Roman"/>
              <w:szCs w:val="24"/>
            </w:rPr>
            <m:t xml:space="preserve"> × </m:t>
          </m:r>
          <m:d>
            <m:dPr>
              <m:ctrlPr>
                <w:rPr>
                  <w:rFonts w:ascii="Cambria Math" w:eastAsia="Times New Roman" w:hAnsi="Cambria Math" w:cs="Times New Roman"/>
                  <w:i/>
                  <w:szCs w:val="24"/>
                </w:rPr>
              </m:ctrlPr>
            </m:dPr>
            <m:e>
              <m:f>
                <m:fPr>
                  <m:ctrlPr>
                    <w:rPr>
                      <w:rFonts w:ascii="Cambria Math" w:eastAsia="Times New Roman" w:hAnsi="Cambria Math" w:cs="Times New Roman"/>
                      <w:i/>
                      <w:szCs w:val="24"/>
                    </w:rPr>
                  </m:ctrlPr>
                </m:fPr>
                <m:num>
                  <m:r>
                    <m:rPr>
                      <m:nor/>
                    </m:rPr>
                    <w:rPr>
                      <w:rFonts w:eastAsia="Times New Roman" w:cs="Times New Roman"/>
                      <w:szCs w:val="24"/>
                    </w:rPr>
                    <m:t>8.86650 kg C</m:t>
                  </m:r>
                  <m:sSub>
                    <m:sSubPr>
                      <m:ctrlPr>
                        <w:rPr>
                          <w:rFonts w:ascii="Cambria Math" w:eastAsia="Times New Roman" w:hAnsi="Cambria Math" w:cs="Times New Roman"/>
                          <w:szCs w:val="24"/>
                        </w:rPr>
                      </m:ctrlPr>
                    </m:sSubPr>
                    <m:e>
                      <m:r>
                        <m:rPr>
                          <m:nor/>
                        </m:rPr>
                        <w:rPr>
                          <w:rFonts w:eastAsia="Times New Roman" w:cs="Times New Roman"/>
                          <w:szCs w:val="24"/>
                        </w:rPr>
                        <m:t>O</m:t>
                      </m:r>
                    </m:e>
                    <m:sub>
                      <m:r>
                        <m:rPr>
                          <m:nor/>
                        </m:rPr>
                        <w:rPr>
                          <w:rFonts w:eastAsia="Times New Roman" w:cs="Times New Roman"/>
                          <w:szCs w:val="24"/>
                        </w:rPr>
                        <m:t>2</m:t>
                      </m:r>
                    </m:sub>
                  </m:sSub>
                </m:num>
                <m:den>
                  <m:r>
                    <m:rPr>
                      <m:nor/>
                    </m:rPr>
                    <w:rPr>
                      <w:rFonts w:eastAsia="Times New Roman" w:cs="Times New Roman"/>
                      <w:szCs w:val="24"/>
                    </w:rPr>
                    <m:t>1 gal</m:t>
                  </m:r>
                </m:den>
              </m:f>
            </m:e>
          </m:d>
          <m:r>
            <m:rPr>
              <m:nor/>
            </m:rPr>
            <w:rPr>
              <w:rFonts w:ascii="Cambria Math" w:eastAsia="Times New Roman" w:cs="Times New Roman"/>
              <w:szCs w:val="24"/>
            </w:rPr>
            <m:t xml:space="preserve"> </m:t>
          </m:r>
          <m:r>
            <m:rPr>
              <m:nor/>
            </m:rPr>
            <w:rPr>
              <w:rFonts w:eastAsia="Times New Roman" w:cs="Times New Roman"/>
              <w:szCs w:val="24"/>
            </w:rPr>
            <m:t>=</m:t>
          </m:r>
          <m:r>
            <m:rPr>
              <m:nor/>
            </m:rPr>
            <w:rPr>
              <w:rFonts w:ascii="Cambria Math" w:eastAsia="Times New Roman" w:cs="Times New Roman"/>
              <w:szCs w:val="24"/>
            </w:rPr>
            <m:t xml:space="preserve"> </m:t>
          </m:r>
          <m:r>
            <m:rPr>
              <m:nor/>
            </m:rPr>
            <w:rPr>
              <w:rFonts w:eastAsia="Times New Roman" w:cs="Times New Roman"/>
              <w:szCs w:val="24"/>
            </w:rPr>
            <m:t xml:space="preserve">319,867 </m:t>
          </m:r>
          <m:r>
            <m:rPr>
              <m:nor/>
            </m:rPr>
            <w:rPr>
              <w:rFonts w:ascii="Cambria Math" w:eastAsia="Times New Roman" w:hAnsi="Cambria Math" w:cs="Times New Roman"/>
              <w:szCs w:val="24"/>
            </w:rPr>
            <m:t>kg C</m:t>
          </m:r>
          <m:sSub>
            <m:sSubPr>
              <m:ctrlPr>
                <w:rPr>
                  <w:rFonts w:ascii="Cambria Math" w:eastAsia="Times New Roman" w:hAnsi="Cambria Math" w:cs="Times New Roman"/>
                  <w:iCs/>
                  <w:szCs w:val="24"/>
                </w:rPr>
              </m:ctrlPr>
            </m:sSubPr>
            <m:e>
              <m:r>
                <m:rPr>
                  <m:sty m:val="p"/>
                </m:rPr>
                <w:rPr>
                  <w:rFonts w:ascii="Cambria Math" w:eastAsia="Times New Roman" w:hAnsi="Cambria Math" w:cs="Times New Roman"/>
                  <w:szCs w:val="24"/>
                </w:rPr>
                <m:t>O</m:t>
              </m:r>
            </m:e>
            <m:sub>
              <m:r>
                <m:rPr>
                  <m:sty m:val="p"/>
                </m:rPr>
                <w:rPr>
                  <w:rFonts w:ascii="Cambria Math" w:eastAsia="Times New Roman" w:hAnsi="Cambria Math" w:cs="Times New Roman"/>
                  <w:szCs w:val="24"/>
                </w:rPr>
                <m:t>2</m:t>
              </m:r>
            </m:sub>
          </m:sSub>
        </m:oMath>
      </m:oMathPara>
    </w:p>
    <w:p w:rsidR="005D301E" w:rsidRPr="006C2232" w:rsidRDefault="005D301E" w:rsidP="003F2BAD">
      <w:pPr>
        <w:spacing w:line="240" w:lineRule="auto"/>
        <w:rPr>
          <w:rFonts w:eastAsia="Times New Roman" w:cs="Times New Roman"/>
          <w:b/>
          <w:szCs w:val="24"/>
        </w:rPr>
      </w:pPr>
    </w:p>
    <w:p w:rsidR="003F2BAD" w:rsidRPr="00E41264" w:rsidRDefault="003F2BAD" w:rsidP="003F2BAD">
      <w:pPr>
        <w:spacing w:line="240" w:lineRule="auto"/>
        <w:rPr>
          <w:rFonts w:eastAsia="Times New Roman" w:cs="Times New Roman"/>
          <w:b/>
          <w:szCs w:val="24"/>
        </w:rPr>
      </w:pPr>
      <w:r w:rsidRPr="00E41264">
        <w:rPr>
          <w:rFonts w:eastAsia="Times New Roman" w:cs="Times New Roman"/>
          <w:b/>
          <w:szCs w:val="24"/>
        </w:rPr>
        <w:t>Transportation Fuels – Campus Fleet Diesel</w:t>
      </w:r>
    </w:p>
    <w:p w:rsidR="003F2BAD" w:rsidRPr="00E41264" w:rsidRDefault="003F2BAD" w:rsidP="003F2BAD">
      <w:pPr>
        <w:spacing w:line="240" w:lineRule="auto"/>
        <w:rPr>
          <w:rFonts w:eastAsia="Times New Roman" w:cs="Times New Roman"/>
          <w:szCs w:val="24"/>
        </w:rPr>
      </w:pPr>
      <w:r w:rsidRPr="00E41264">
        <w:rPr>
          <w:rFonts w:eastAsia="Times New Roman" w:cs="Times New Roman"/>
          <w:szCs w:val="24"/>
        </w:rPr>
        <w:t xml:space="preserve">Florida Tech owns and operates many </w:t>
      </w:r>
      <w:r w:rsidR="00367C3E" w:rsidRPr="00E41264">
        <w:rPr>
          <w:rFonts w:eastAsia="Times New Roman" w:cs="Times New Roman"/>
          <w:szCs w:val="24"/>
        </w:rPr>
        <w:t>diesel</w:t>
      </w:r>
      <w:r w:rsidRPr="00E41264">
        <w:rPr>
          <w:rFonts w:eastAsia="Times New Roman" w:cs="Times New Roman"/>
          <w:szCs w:val="24"/>
        </w:rPr>
        <w:t xml:space="preserve">-fueled vehicles. The exact fuel usage of each vehicle is unknown so emissions were calculated based on the total fuel purchased. All campus </w:t>
      </w:r>
      <w:r w:rsidR="00367C3E" w:rsidRPr="00E41264">
        <w:rPr>
          <w:rFonts w:eastAsia="Times New Roman" w:cs="Times New Roman"/>
          <w:szCs w:val="24"/>
        </w:rPr>
        <w:t>diesel</w:t>
      </w:r>
      <w:r w:rsidRPr="00E41264">
        <w:rPr>
          <w:rFonts w:eastAsia="Times New Roman" w:cs="Times New Roman"/>
          <w:szCs w:val="24"/>
        </w:rPr>
        <w:t xml:space="preserve"> vehicles draw the gas they need from one central tank</w:t>
      </w:r>
      <w:r w:rsidR="000614CC">
        <w:rPr>
          <w:rStyle w:val="FootnoteReference"/>
          <w:rFonts w:eastAsia="Times New Roman" w:cs="Times New Roman"/>
          <w:szCs w:val="24"/>
        </w:rPr>
        <w:footnoteReference w:id="3"/>
      </w:r>
      <w:r w:rsidRPr="00E41264">
        <w:rPr>
          <w:rFonts w:eastAsia="Times New Roman" w:cs="Times New Roman"/>
          <w:szCs w:val="24"/>
        </w:rPr>
        <w:t xml:space="preserve">. </w:t>
      </w:r>
    </w:p>
    <w:p w:rsidR="003F2BAD" w:rsidRPr="00E41264" w:rsidRDefault="003F2BAD" w:rsidP="003F2BAD">
      <w:pPr>
        <w:spacing w:line="240" w:lineRule="auto"/>
        <w:rPr>
          <w:rFonts w:eastAsia="Times New Roman" w:cs="Times New Roman"/>
          <w:i/>
          <w:szCs w:val="24"/>
        </w:rPr>
      </w:pPr>
      <w:r w:rsidRPr="00E41264">
        <w:rPr>
          <w:rFonts w:eastAsia="Times New Roman" w:cs="Times New Roman"/>
          <w:i/>
          <w:szCs w:val="24"/>
        </w:rPr>
        <w:t>Conversion Factors</w:t>
      </w:r>
    </w:p>
    <w:p w:rsidR="003F2BAD" w:rsidRPr="00E41264" w:rsidRDefault="003F2BAD" w:rsidP="003F2BAD">
      <w:pPr>
        <w:spacing w:line="240" w:lineRule="auto"/>
        <w:rPr>
          <w:rFonts w:eastAsia="Times New Roman" w:cs="Times New Roman"/>
          <w:szCs w:val="24"/>
        </w:rPr>
      </w:pPr>
      <w:r w:rsidRPr="00E41264">
        <w:rPr>
          <w:rFonts w:eastAsia="Times New Roman" w:cs="Times New Roman"/>
          <w:szCs w:val="24"/>
        </w:rPr>
        <w:tab/>
        <w:t>CO</w:t>
      </w:r>
      <w:r w:rsidRPr="00E41264">
        <w:rPr>
          <w:rFonts w:eastAsia="Times New Roman" w:cs="Times New Roman"/>
          <w:szCs w:val="24"/>
          <w:vertAlign w:val="subscript"/>
        </w:rPr>
        <w:t>2</w:t>
      </w:r>
      <w:r w:rsidRPr="00E41264">
        <w:rPr>
          <w:rFonts w:eastAsia="Times New Roman" w:cs="Times New Roman"/>
          <w:szCs w:val="24"/>
        </w:rPr>
        <w:t xml:space="preserve"> </w:t>
      </w:r>
      <w:r w:rsidRPr="00E41264">
        <w:rPr>
          <w:rFonts w:eastAsia="Times New Roman" w:cs="Times New Roman"/>
          <w:szCs w:val="24"/>
        </w:rPr>
        <w:tab/>
      </w:r>
      <w:r w:rsidRPr="00E41264">
        <w:rPr>
          <w:rFonts w:eastAsia="Times New Roman" w:cs="Times New Roman"/>
          <w:szCs w:val="24"/>
        </w:rPr>
        <w:tab/>
      </w:r>
      <w:r w:rsidRPr="00E41264">
        <w:rPr>
          <w:rFonts w:eastAsia="Times New Roman" w:cs="Times New Roman"/>
          <w:szCs w:val="24"/>
        </w:rPr>
        <w:tab/>
      </w:r>
      <w:r w:rsidR="009E487A" w:rsidRPr="00E41264">
        <w:rPr>
          <w:rFonts w:eastAsia="Times New Roman" w:cs="Times New Roman"/>
          <w:szCs w:val="24"/>
        </w:rPr>
        <w:t>10.2570</w:t>
      </w:r>
      <w:r w:rsidRPr="00E41264">
        <w:rPr>
          <w:rFonts w:eastAsia="Times New Roman" w:cs="Times New Roman"/>
          <w:szCs w:val="24"/>
        </w:rPr>
        <w:t xml:space="preserve"> kg CO</w:t>
      </w:r>
      <w:r w:rsidRPr="00E41264">
        <w:rPr>
          <w:rFonts w:eastAsia="Times New Roman" w:cs="Times New Roman"/>
          <w:szCs w:val="24"/>
          <w:vertAlign w:val="subscript"/>
        </w:rPr>
        <w:t xml:space="preserve">2 </w:t>
      </w:r>
      <w:r w:rsidRPr="00E41264">
        <w:rPr>
          <w:rFonts w:eastAsia="Times New Roman" w:cs="Times New Roman"/>
          <w:szCs w:val="24"/>
        </w:rPr>
        <w:t>/gal</w:t>
      </w:r>
    </w:p>
    <w:p w:rsidR="003F2BAD" w:rsidRDefault="003F2BAD" w:rsidP="003F2BAD">
      <w:pPr>
        <w:spacing w:line="240" w:lineRule="auto"/>
        <w:rPr>
          <w:rFonts w:eastAsia="Times New Roman" w:cs="Times New Roman"/>
          <w:i/>
          <w:szCs w:val="24"/>
        </w:rPr>
      </w:pPr>
      <w:r w:rsidRPr="00E41264">
        <w:rPr>
          <w:rFonts w:eastAsia="Times New Roman" w:cs="Times New Roman"/>
          <w:i/>
          <w:szCs w:val="24"/>
        </w:rPr>
        <w:t>Calculation Method</w:t>
      </w:r>
    </w:p>
    <w:p w:rsidR="00B374EC" w:rsidRPr="0005353C" w:rsidRDefault="00E44F6A" w:rsidP="0005353C">
      <w:pPr>
        <w:spacing w:line="240" w:lineRule="auto"/>
        <w:ind w:left="720" w:firstLine="720"/>
        <w:rPr>
          <w:rFonts w:eastAsia="Times New Roman" w:cs="Times New Roman"/>
          <w:i/>
          <w:szCs w:val="24"/>
          <w:lang w:val="es-ES"/>
        </w:rPr>
      </w:pPr>
      <m:oMathPara>
        <m:oMathParaPr>
          <m:jc m:val="left"/>
        </m:oMathParaPr>
        <m:oMath>
          <m:d>
            <m:dPr>
              <m:ctrlPr>
                <w:rPr>
                  <w:rFonts w:ascii="Cambria Math" w:eastAsia="Times New Roman" w:hAnsi="Cambria Math" w:cs="Times New Roman"/>
                  <w:i/>
                  <w:szCs w:val="24"/>
                </w:rPr>
              </m:ctrlPr>
            </m:dPr>
            <m:e>
              <m:r>
                <m:rPr>
                  <m:nor/>
                </m:rPr>
                <w:rPr>
                  <w:rFonts w:eastAsia="Times New Roman" w:cs="Times New Roman"/>
                  <w:szCs w:val="24"/>
                  <w:lang w:val="es-ES"/>
                </w:rPr>
                <m:t xml:space="preserve">1,000.00 </m:t>
              </m:r>
              <m:r>
                <m:rPr>
                  <m:nor/>
                </m:rPr>
                <w:rPr>
                  <w:rFonts w:eastAsia="Times New Roman" w:cs="Times New Roman"/>
                  <w:iCs/>
                  <w:szCs w:val="24"/>
                  <w:lang w:val="es-ES"/>
                </w:rPr>
                <m:t>gal</m:t>
              </m:r>
            </m:e>
          </m:d>
          <m:r>
            <m:rPr>
              <m:nor/>
            </m:rPr>
            <w:rPr>
              <w:rFonts w:ascii="Cambria Math" w:eastAsia="Times New Roman" w:cs="Times New Roman"/>
              <w:szCs w:val="24"/>
              <w:lang w:val="es-ES"/>
            </w:rPr>
            <m:t xml:space="preserve"> </m:t>
          </m:r>
          <m:r>
            <m:rPr>
              <m:nor/>
            </m:rPr>
            <w:rPr>
              <w:rFonts w:eastAsia="Times New Roman" w:cs="Times New Roman"/>
              <w:szCs w:val="24"/>
              <w:lang w:val="es-ES"/>
            </w:rPr>
            <m:t>×</m:t>
          </m:r>
          <m:r>
            <w:rPr>
              <w:rFonts w:ascii="Cambria Math" w:eastAsia="Times New Roman" w:hAnsi="Cambria Math" w:cs="Times New Roman"/>
              <w:szCs w:val="24"/>
              <w:lang w:val="es-ES"/>
            </w:rPr>
            <m:t xml:space="preserve"> </m:t>
          </m:r>
          <m:d>
            <m:dPr>
              <m:ctrlPr>
                <w:rPr>
                  <w:rFonts w:ascii="Cambria Math" w:eastAsia="Times New Roman" w:hAnsi="Cambria Math" w:cs="Times New Roman"/>
                  <w:i/>
                  <w:szCs w:val="24"/>
                </w:rPr>
              </m:ctrlPr>
            </m:dPr>
            <m:e>
              <m:f>
                <m:fPr>
                  <m:ctrlPr>
                    <w:rPr>
                      <w:rFonts w:ascii="Cambria Math" w:eastAsia="Times New Roman" w:hAnsi="Cambria Math" w:cs="Times New Roman"/>
                      <w:i/>
                      <w:szCs w:val="24"/>
                    </w:rPr>
                  </m:ctrlPr>
                </m:fPr>
                <m:num>
                  <m:r>
                    <m:rPr>
                      <m:nor/>
                    </m:rPr>
                    <w:rPr>
                      <w:rFonts w:eastAsia="Times New Roman" w:cs="Times New Roman"/>
                      <w:szCs w:val="24"/>
                      <w:lang w:val="es-ES"/>
                    </w:rPr>
                    <m:t xml:space="preserve">10.2570 </m:t>
                  </m:r>
                  <m:r>
                    <m:rPr>
                      <m:nor/>
                    </m:rPr>
                    <w:rPr>
                      <w:rFonts w:eastAsia="Times New Roman" w:cs="Times New Roman"/>
                      <w:iCs/>
                      <w:szCs w:val="24"/>
                      <w:lang w:val="es-ES"/>
                    </w:rPr>
                    <m:t>kg C</m:t>
                  </m:r>
                  <m:sSub>
                    <m:sSubPr>
                      <m:ctrlPr>
                        <w:rPr>
                          <w:rFonts w:ascii="Cambria Math" w:eastAsia="Times New Roman" w:hAnsi="Cambria Math" w:cs="Times New Roman"/>
                          <w:iCs/>
                          <w:szCs w:val="24"/>
                        </w:rPr>
                      </m:ctrlPr>
                    </m:sSubPr>
                    <m:e>
                      <m:r>
                        <m:rPr>
                          <m:nor/>
                        </m:rPr>
                        <w:rPr>
                          <w:rFonts w:eastAsia="Times New Roman" w:cs="Times New Roman"/>
                          <w:iCs/>
                          <w:szCs w:val="24"/>
                          <w:lang w:val="es-ES"/>
                        </w:rPr>
                        <m:t>O</m:t>
                      </m:r>
                    </m:e>
                    <m:sub>
                      <m:r>
                        <m:rPr>
                          <m:nor/>
                        </m:rPr>
                        <w:rPr>
                          <w:rFonts w:eastAsia="Times New Roman" w:cs="Times New Roman"/>
                          <w:iCs/>
                          <w:szCs w:val="24"/>
                          <w:lang w:val="es-ES"/>
                        </w:rPr>
                        <m:t>2</m:t>
                      </m:r>
                    </m:sub>
                  </m:sSub>
                </m:num>
                <m:den>
                  <m:r>
                    <m:rPr>
                      <m:nor/>
                    </m:rPr>
                    <w:rPr>
                      <w:rFonts w:eastAsia="Times New Roman" w:cs="Times New Roman"/>
                      <w:szCs w:val="24"/>
                      <w:lang w:val="es-ES"/>
                    </w:rPr>
                    <m:t xml:space="preserve">1 </m:t>
                  </m:r>
                  <m:r>
                    <m:rPr>
                      <m:nor/>
                    </m:rPr>
                    <w:rPr>
                      <w:rFonts w:eastAsia="Times New Roman" w:cs="Times New Roman"/>
                      <w:iCs/>
                      <w:szCs w:val="24"/>
                      <w:lang w:val="es-ES"/>
                    </w:rPr>
                    <m:t>gal</m:t>
                  </m:r>
                </m:den>
              </m:f>
            </m:e>
          </m:d>
          <m:r>
            <m:rPr>
              <m:nor/>
            </m:rPr>
            <w:rPr>
              <w:rFonts w:ascii="Cambria Math" w:eastAsia="Times New Roman" w:cs="Times New Roman"/>
              <w:szCs w:val="24"/>
              <w:lang w:val="es-ES"/>
            </w:rPr>
            <m:t xml:space="preserve"> </m:t>
          </m:r>
          <m:r>
            <m:rPr>
              <m:nor/>
            </m:rPr>
            <w:rPr>
              <w:rFonts w:eastAsia="Times New Roman" w:cs="Times New Roman"/>
              <w:szCs w:val="24"/>
              <w:lang w:val="es-ES"/>
            </w:rPr>
            <m:t>=</m:t>
          </m:r>
          <m:r>
            <m:rPr>
              <m:nor/>
            </m:rPr>
            <w:rPr>
              <w:rFonts w:ascii="Cambria Math" w:eastAsia="Times New Roman" w:cs="Times New Roman"/>
              <w:szCs w:val="24"/>
              <w:lang w:val="es-ES"/>
            </w:rPr>
            <m:t xml:space="preserve"> </m:t>
          </m:r>
          <m:r>
            <m:rPr>
              <m:nor/>
            </m:rPr>
            <w:rPr>
              <w:rFonts w:eastAsia="Times New Roman" w:cs="Times New Roman"/>
              <w:szCs w:val="24"/>
              <w:lang w:val="es-ES"/>
            </w:rPr>
            <m:t xml:space="preserve">10,257 </m:t>
          </m:r>
          <m:r>
            <m:rPr>
              <m:nor/>
            </m:rPr>
            <w:rPr>
              <w:rFonts w:eastAsia="Times New Roman" w:cs="Times New Roman"/>
              <w:iCs/>
              <w:szCs w:val="24"/>
              <w:lang w:val="es-ES"/>
            </w:rPr>
            <m:t>kg C</m:t>
          </m:r>
          <m:sSub>
            <m:sSubPr>
              <m:ctrlPr>
                <w:rPr>
                  <w:rFonts w:ascii="Cambria Math" w:eastAsia="Times New Roman" w:hAnsi="Cambria Math" w:cs="Times New Roman"/>
                  <w:iCs/>
                  <w:szCs w:val="24"/>
                </w:rPr>
              </m:ctrlPr>
            </m:sSubPr>
            <m:e>
              <m:r>
                <m:rPr>
                  <m:nor/>
                </m:rPr>
                <w:rPr>
                  <w:rFonts w:eastAsia="Times New Roman" w:cs="Times New Roman"/>
                  <w:iCs/>
                  <w:szCs w:val="24"/>
                  <w:lang w:val="es-ES"/>
                </w:rPr>
                <m:t>O</m:t>
              </m:r>
            </m:e>
            <m:sub>
              <m:r>
                <m:rPr>
                  <m:nor/>
                </m:rPr>
                <w:rPr>
                  <w:rFonts w:eastAsia="Times New Roman" w:cs="Times New Roman"/>
                  <w:iCs/>
                  <w:szCs w:val="24"/>
                  <w:lang w:val="es-ES"/>
                </w:rPr>
                <m:t>2</m:t>
              </m:r>
            </m:sub>
          </m:sSub>
        </m:oMath>
      </m:oMathPara>
    </w:p>
    <w:p w:rsidR="003F2BAD" w:rsidRPr="00E41264" w:rsidRDefault="003F2BAD" w:rsidP="00B374EC">
      <w:pPr>
        <w:spacing w:line="240" w:lineRule="auto"/>
        <w:rPr>
          <w:rFonts w:eastAsia="Times New Roman" w:cs="Times New Roman"/>
          <w:b/>
          <w:szCs w:val="24"/>
        </w:rPr>
      </w:pPr>
    </w:p>
    <w:p w:rsidR="00895586" w:rsidRPr="00E41264" w:rsidRDefault="00895586" w:rsidP="00B374EC">
      <w:pPr>
        <w:spacing w:line="240" w:lineRule="auto"/>
        <w:rPr>
          <w:rFonts w:eastAsia="Times New Roman" w:cs="Times New Roman"/>
          <w:b/>
          <w:szCs w:val="24"/>
        </w:rPr>
      </w:pPr>
    </w:p>
    <w:p w:rsidR="003F2BAD" w:rsidRPr="00E41264" w:rsidRDefault="003F2BAD" w:rsidP="003F2BAD">
      <w:pPr>
        <w:spacing w:line="240" w:lineRule="auto"/>
        <w:rPr>
          <w:rFonts w:eastAsia="Times New Roman" w:cs="Times New Roman"/>
          <w:b/>
          <w:szCs w:val="24"/>
        </w:rPr>
      </w:pPr>
      <w:r w:rsidRPr="00E41264">
        <w:rPr>
          <w:rFonts w:eastAsia="Times New Roman" w:cs="Times New Roman"/>
          <w:b/>
          <w:szCs w:val="24"/>
        </w:rPr>
        <w:t>Transportation Fuels – Campus Generators</w:t>
      </w:r>
    </w:p>
    <w:p w:rsidR="003F2BAD" w:rsidRPr="00E41264" w:rsidRDefault="003F2BAD" w:rsidP="003F2BAD">
      <w:pPr>
        <w:spacing w:line="240" w:lineRule="auto"/>
        <w:rPr>
          <w:rFonts w:eastAsia="Times New Roman" w:cs="Times New Roman"/>
          <w:szCs w:val="24"/>
        </w:rPr>
      </w:pPr>
      <w:r w:rsidRPr="00E41264">
        <w:rPr>
          <w:rFonts w:eastAsia="Times New Roman" w:cs="Times New Roman"/>
          <w:szCs w:val="24"/>
        </w:rPr>
        <w:t xml:space="preserve">Florida Tech owns and operates </w:t>
      </w:r>
      <w:r w:rsidR="00367C3E" w:rsidRPr="00E41264">
        <w:rPr>
          <w:rFonts w:eastAsia="Times New Roman" w:cs="Times New Roman"/>
          <w:szCs w:val="24"/>
        </w:rPr>
        <w:t>diesel emergency power back-up generators. These generators are serviced and filled with diesel regularly from the same fuel vendor that services the campus diesel tank</w:t>
      </w:r>
      <w:r w:rsidR="000614CC">
        <w:rPr>
          <w:rStyle w:val="FootnoteReference"/>
          <w:rFonts w:eastAsia="Times New Roman" w:cs="Times New Roman"/>
          <w:szCs w:val="24"/>
        </w:rPr>
        <w:footnoteReference w:id="4"/>
      </w:r>
      <w:r w:rsidR="00367C3E" w:rsidRPr="00E41264">
        <w:rPr>
          <w:rFonts w:eastAsia="Times New Roman" w:cs="Times New Roman"/>
          <w:szCs w:val="24"/>
        </w:rPr>
        <w:t xml:space="preserve">. </w:t>
      </w:r>
    </w:p>
    <w:p w:rsidR="003F2BAD" w:rsidRPr="00E41264" w:rsidRDefault="003F2BAD" w:rsidP="003F2BAD">
      <w:pPr>
        <w:spacing w:line="240" w:lineRule="auto"/>
        <w:rPr>
          <w:rFonts w:eastAsia="Times New Roman" w:cs="Times New Roman"/>
          <w:i/>
          <w:szCs w:val="24"/>
        </w:rPr>
      </w:pPr>
      <w:r w:rsidRPr="00E41264">
        <w:rPr>
          <w:rFonts w:eastAsia="Times New Roman" w:cs="Times New Roman"/>
          <w:i/>
          <w:szCs w:val="24"/>
        </w:rPr>
        <w:t>Conversion Factors</w:t>
      </w:r>
    </w:p>
    <w:p w:rsidR="003F2BAD" w:rsidRPr="00E41264" w:rsidRDefault="003F2BAD" w:rsidP="003F2BAD">
      <w:pPr>
        <w:spacing w:line="240" w:lineRule="auto"/>
        <w:rPr>
          <w:rFonts w:eastAsia="Times New Roman" w:cs="Times New Roman"/>
          <w:szCs w:val="24"/>
        </w:rPr>
      </w:pPr>
      <w:r w:rsidRPr="00E41264">
        <w:rPr>
          <w:rFonts w:eastAsia="Times New Roman" w:cs="Times New Roman"/>
          <w:szCs w:val="24"/>
        </w:rPr>
        <w:tab/>
        <w:t>CO</w:t>
      </w:r>
      <w:r w:rsidRPr="00E41264">
        <w:rPr>
          <w:rFonts w:eastAsia="Times New Roman" w:cs="Times New Roman"/>
          <w:szCs w:val="24"/>
          <w:vertAlign w:val="subscript"/>
        </w:rPr>
        <w:t>2</w:t>
      </w:r>
      <w:r w:rsidRPr="00E41264">
        <w:rPr>
          <w:rFonts w:eastAsia="Times New Roman" w:cs="Times New Roman"/>
          <w:szCs w:val="24"/>
        </w:rPr>
        <w:t xml:space="preserve"> </w:t>
      </w:r>
      <w:r w:rsidRPr="00E41264">
        <w:rPr>
          <w:rFonts w:eastAsia="Times New Roman" w:cs="Times New Roman"/>
          <w:szCs w:val="24"/>
        </w:rPr>
        <w:tab/>
      </w:r>
      <w:r w:rsidRPr="00E41264">
        <w:rPr>
          <w:rFonts w:eastAsia="Times New Roman" w:cs="Times New Roman"/>
          <w:szCs w:val="24"/>
        </w:rPr>
        <w:tab/>
      </w:r>
      <w:r w:rsidRPr="00E41264">
        <w:rPr>
          <w:rFonts w:eastAsia="Times New Roman" w:cs="Times New Roman"/>
          <w:szCs w:val="24"/>
        </w:rPr>
        <w:tab/>
      </w:r>
      <w:r w:rsidR="00895586" w:rsidRPr="00E41264">
        <w:rPr>
          <w:rFonts w:eastAsia="Times New Roman" w:cs="Times New Roman"/>
          <w:szCs w:val="24"/>
        </w:rPr>
        <w:t xml:space="preserve">10.2570 </w:t>
      </w:r>
      <w:r w:rsidRPr="00E41264">
        <w:rPr>
          <w:rFonts w:eastAsia="Times New Roman" w:cs="Times New Roman"/>
          <w:szCs w:val="24"/>
        </w:rPr>
        <w:t>kg CO</w:t>
      </w:r>
      <w:r w:rsidRPr="00E41264">
        <w:rPr>
          <w:rFonts w:eastAsia="Times New Roman" w:cs="Times New Roman"/>
          <w:szCs w:val="24"/>
          <w:vertAlign w:val="subscript"/>
        </w:rPr>
        <w:t xml:space="preserve">2 </w:t>
      </w:r>
      <w:r w:rsidRPr="00E41264">
        <w:rPr>
          <w:rFonts w:eastAsia="Times New Roman" w:cs="Times New Roman"/>
          <w:szCs w:val="24"/>
        </w:rPr>
        <w:t>/gal</w:t>
      </w:r>
    </w:p>
    <w:p w:rsidR="003F2BAD" w:rsidRDefault="003F2BAD" w:rsidP="003F2BAD">
      <w:pPr>
        <w:spacing w:line="240" w:lineRule="auto"/>
        <w:rPr>
          <w:rFonts w:eastAsia="Times New Roman" w:cs="Times New Roman"/>
          <w:i/>
          <w:szCs w:val="24"/>
        </w:rPr>
      </w:pPr>
      <w:r w:rsidRPr="00E41264">
        <w:rPr>
          <w:rFonts w:eastAsia="Times New Roman" w:cs="Times New Roman"/>
          <w:i/>
          <w:szCs w:val="24"/>
        </w:rPr>
        <w:t>Calculation Method</w:t>
      </w:r>
    </w:p>
    <w:p w:rsidR="003F2BAD" w:rsidRPr="002D6615" w:rsidRDefault="00E44F6A" w:rsidP="002D6615">
      <w:pPr>
        <w:spacing w:line="240" w:lineRule="auto"/>
        <w:ind w:left="720" w:firstLine="720"/>
        <w:rPr>
          <w:rFonts w:eastAsia="Times New Roman" w:cs="Times New Roman"/>
          <w:i/>
          <w:szCs w:val="24"/>
          <w:lang w:val="es-ES"/>
        </w:rPr>
      </w:pPr>
      <m:oMathPara>
        <m:oMath>
          <m:d>
            <m:dPr>
              <m:ctrlPr>
                <w:rPr>
                  <w:rFonts w:ascii="Cambria Math" w:eastAsia="Times New Roman" w:hAnsi="Cambria Math" w:cs="Times New Roman"/>
                  <w:i/>
                  <w:szCs w:val="24"/>
                </w:rPr>
              </m:ctrlPr>
            </m:dPr>
            <m:e>
              <m:r>
                <m:rPr>
                  <m:nor/>
                </m:rPr>
                <w:rPr>
                  <w:rFonts w:eastAsia="Times New Roman" w:cs="Times New Roman"/>
                  <w:szCs w:val="24"/>
                  <w:lang w:val="es-ES"/>
                </w:rPr>
                <m:t xml:space="preserve">785 </m:t>
              </m:r>
              <m:r>
                <m:rPr>
                  <m:nor/>
                </m:rPr>
                <w:rPr>
                  <w:rFonts w:eastAsia="Times New Roman" w:cs="Times New Roman"/>
                  <w:iCs/>
                  <w:szCs w:val="24"/>
                  <w:lang w:val="es-ES"/>
                </w:rPr>
                <m:t>gal</m:t>
              </m:r>
            </m:e>
          </m:d>
          <m:r>
            <m:rPr>
              <m:nor/>
            </m:rPr>
            <w:rPr>
              <w:rFonts w:eastAsia="Times New Roman" w:cs="Times New Roman"/>
              <w:szCs w:val="24"/>
              <w:lang w:val="es-ES"/>
            </w:rPr>
            <m:t xml:space="preserve"> × </m:t>
          </m:r>
          <m:d>
            <m:dPr>
              <m:ctrlPr>
                <w:rPr>
                  <w:rFonts w:ascii="Cambria Math" w:eastAsia="Times New Roman" w:hAnsi="Cambria Math" w:cs="Times New Roman"/>
                  <w:i/>
                  <w:szCs w:val="24"/>
                </w:rPr>
              </m:ctrlPr>
            </m:dPr>
            <m:e>
              <m:f>
                <m:fPr>
                  <m:ctrlPr>
                    <w:rPr>
                      <w:rFonts w:ascii="Cambria Math" w:eastAsia="Times New Roman" w:hAnsi="Cambria Math" w:cs="Times New Roman"/>
                      <w:i/>
                      <w:szCs w:val="24"/>
                    </w:rPr>
                  </m:ctrlPr>
                </m:fPr>
                <m:num>
                  <m:r>
                    <m:rPr>
                      <m:nor/>
                    </m:rPr>
                    <w:rPr>
                      <w:rFonts w:eastAsia="Times New Roman" w:cs="Times New Roman"/>
                      <w:szCs w:val="24"/>
                      <w:lang w:val="es-ES"/>
                    </w:rPr>
                    <m:t>10.2570</m:t>
                  </m:r>
                  <m:r>
                    <m:rPr>
                      <m:nor/>
                    </m:rPr>
                    <w:rPr>
                      <w:rFonts w:eastAsia="Times New Roman" w:cs="Times New Roman"/>
                      <w:iCs/>
                      <w:szCs w:val="24"/>
                      <w:lang w:val="es-ES"/>
                    </w:rPr>
                    <m:t xml:space="preserve"> kg C</m:t>
                  </m:r>
                  <m:sSub>
                    <m:sSubPr>
                      <m:ctrlPr>
                        <w:rPr>
                          <w:rFonts w:ascii="Cambria Math" w:eastAsia="Times New Roman" w:hAnsi="Cambria Math" w:cs="Times New Roman"/>
                          <w:iCs/>
                          <w:szCs w:val="24"/>
                        </w:rPr>
                      </m:ctrlPr>
                    </m:sSubPr>
                    <m:e>
                      <m:r>
                        <m:rPr>
                          <m:nor/>
                        </m:rPr>
                        <w:rPr>
                          <w:rFonts w:eastAsia="Times New Roman" w:cs="Times New Roman"/>
                          <w:iCs/>
                          <w:szCs w:val="24"/>
                          <w:lang w:val="es-ES"/>
                        </w:rPr>
                        <m:t>O</m:t>
                      </m:r>
                    </m:e>
                    <m:sub>
                      <m:r>
                        <m:rPr>
                          <m:nor/>
                        </m:rPr>
                        <w:rPr>
                          <w:rFonts w:eastAsia="Times New Roman" w:cs="Times New Roman"/>
                          <w:iCs/>
                          <w:szCs w:val="24"/>
                          <w:lang w:val="es-ES"/>
                        </w:rPr>
                        <m:t>2</m:t>
                      </m:r>
                    </m:sub>
                  </m:sSub>
                </m:num>
                <m:den>
                  <m:r>
                    <m:rPr>
                      <m:nor/>
                    </m:rPr>
                    <w:rPr>
                      <w:rFonts w:eastAsia="Times New Roman" w:cs="Times New Roman"/>
                      <w:szCs w:val="24"/>
                      <w:lang w:val="es-ES"/>
                    </w:rPr>
                    <m:t xml:space="preserve">1 </m:t>
                  </m:r>
                  <m:r>
                    <m:rPr>
                      <m:nor/>
                    </m:rPr>
                    <w:rPr>
                      <w:rFonts w:eastAsia="Times New Roman" w:cs="Times New Roman"/>
                      <w:iCs/>
                      <w:szCs w:val="24"/>
                      <w:lang w:val="es-ES"/>
                    </w:rPr>
                    <m:t>gal</m:t>
                  </m:r>
                </m:den>
              </m:f>
            </m:e>
          </m:d>
          <m:r>
            <m:rPr>
              <m:nor/>
            </m:rPr>
            <w:rPr>
              <w:rFonts w:ascii="Cambria Math" w:eastAsia="Times New Roman" w:cs="Times New Roman"/>
              <w:szCs w:val="24"/>
              <w:lang w:val="es-ES"/>
            </w:rPr>
            <m:t xml:space="preserve"> </m:t>
          </m:r>
          <m:r>
            <m:rPr>
              <m:nor/>
            </m:rPr>
            <w:rPr>
              <w:rFonts w:eastAsia="Times New Roman" w:cs="Times New Roman"/>
              <w:szCs w:val="24"/>
              <w:lang w:val="es-ES"/>
            </w:rPr>
            <m:t>=</m:t>
          </m:r>
          <m:r>
            <m:rPr>
              <m:nor/>
            </m:rPr>
            <w:rPr>
              <w:rFonts w:ascii="Cambria Math" w:eastAsia="Times New Roman" w:cs="Times New Roman"/>
              <w:szCs w:val="24"/>
              <w:lang w:val="es-ES"/>
            </w:rPr>
            <m:t xml:space="preserve"> </m:t>
          </m:r>
          <m:r>
            <m:rPr>
              <m:nor/>
            </m:rPr>
            <w:rPr>
              <w:rFonts w:eastAsia="Times New Roman" w:cs="Times New Roman"/>
              <w:szCs w:val="24"/>
              <w:lang w:val="es-ES"/>
            </w:rPr>
            <m:t>8,052 kg C</m:t>
          </m:r>
          <m:sSub>
            <m:sSubPr>
              <m:ctrlPr>
                <w:rPr>
                  <w:rFonts w:ascii="Cambria Math" w:eastAsia="Times New Roman" w:hAnsi="Cambria Math" w:cs="Times New Roman"/>
                  <w:i/>
                  <w:szCs w:val="24"/>
                </w:rPr>
              </m:ctrlPr>
            </m:sSubPr>
            <m:e>
              <m:r>
                <m:rPr>
                  <m:nor/>
                </m:rPr>
                <w:rPr>
                  <w:rFonts w:eastAsia="Times New Roman" w:cs="Times New Roman"/>
                  <w:szCs w:val="24"/>
                  <w:lang w:val="es-ES"/>
                </w:rPr>
                <m:t>O</m:t>
              </m:r>
            </m:e>
            <m:sub>
              <m:r>
                <m:rPr>
                  <m:nor/>
                </m:rPr>
                <w:rPr>
                  <w:rFonts w:eastAsia="Times New Roman" w:cs="Times New Roman"/>
                  <w:szCs w:val="24"/>
                  <w:lang w:val="es-ES"/>
                </w:rPr>
                <m:t>2</m:t>
              </m:r>
            </m:sub>
          </m:sSub>
        </m:oMath>
      </m:oMathPara>
    </w:p>
    <w:p w:rsidR="003F2BAD" w:rsidRPr="00E41264" w:rsidRDefault="003F2BAD" w:rsidP="003F2BAD">
      <w:pPr>
        <w:spacing w:line="240" w:lineRule="auto"/>
        <w:rPr>
          <w:rFonts w:eastAsia="Times New Roman" w:cs="Times New Roman"/>
          <w:b/>
          <w:szCs w:val="24"/>
        </w:rPr>
      </w:pPr>
      <w:r w:rsidRPr="00E41264">
        <w:rPr>
          <w:rFonts w:eastAsia="Times New Roman" w:cs="Times New Roman"/>
          <w:b/>
          <w:szCs w:val="24"/>
        </w:rPr>
        <w:lastRenderedPageBreak/>
        <w:t>Transportation Fuels – Campus Fleet Other Fuels</w:t>
      </w:r>
    </w:p>
    <w:p w:rsidR="003F2BAD" w:rsidRPr="00E41264" w:rsidRDefault="003F2BAD" w:rsidP="003F2BAD">
      <w:pPr>
        <w:spacing w:line="240" w:lineRule="auto"/>
        <w:rPr>
          <w:rFonts w:eastAsia="Times New Roman" w:cs="Times New Roman"/>
          <w:szCs w:val="24"/>
        </w:rPr>
      </w:pPr>
      <w:r w:rsidRPr="00E41264">
        <w:rPr>
          <w:rFonts w:eastAsia="Times New Roman" w:cs="Times New Roman"/>
          <w:szCs w:val="24"/>
        </w:rPr>
        <w:t xml:space="preserve">Florida Tech owns and operates many </w:t>
      </w:r>
      <w:r w:rsidR="00895586" w:rsidRPr="00E41264">
        <w:rPr>
          <w:rFonts w:eastAsia="Times New Roman" w:cs="Times New Roman"/>
          <w:szCs w:val="24"/>
        </w:rPr>
        <w:t xml:space="preserve">vehicles other than typical campus fleet gasoline, diesel, generator, or aviation fueled units. These numbers reflect the off-road vehicles utilized by University Facilities Operations to maintain our campus day-to-day operations. These vehicles include heavy equipment, golf carts, lifts, </w:t>
      </w:r>
      <w:proofErr w:type="spellStart"/>
      <w:r w:rsidR="00895586" w:rsidRPr="00E41264">
        <w:rPr>
          <w:rFonts w:eastAsia="Times New Roman" w:cs="Times New Roman"/>
          <w:szCs w:val="24"/>
        </w:rPr>
        <w:t>etc</w:t>
      </w:r>
      <w:proofErr w:type="spellEnd"/>
      <w:r w:rsidR="000614CC">
        <w:rPr>
          <w:rStyle w:val="FootnoteReference"/>
          <w:rFonts w:eastAsia="Times New Roman" w:cs="Times New Roman"/>
          <w:szCs w:val="24"/>
        </w:rPr>
        <w:footnoteReference w:id="5"/>
      </w:r>
      <w:r w:rsidR="00895586" w:rsidRPr="00E41264">
        <w:rPr>
          <w:rFonts w:eastAsia="Times New Roman" w:cs="Times New Roman"/>
          <w:szCs w:val="24"/>
        </w:rPr>
        <w:t xml:space="preserve">. </w:t>
      </w:r>
    </w:p>
    <w:p w:rsidR="003F2BAD" w:rsidRPr="00E41264" w:rsidRDefault="003F2BAD" w:rsidP="003F2BAD">
      <w:pPr>
        <w:spacing w:line="240" w:lineRule="auto"/>
        <w:rPr>
          <w:rFonts w:eastAsia="Times New Roman" w:cs="Times New Roman"/>
          <w:i/>
          <w:szCs w:val="24"/>
        </w:rPr>
      </w:pPr>
      <w:r w:rsidRPr="00E41264">
        <w:rPr>
          <w:rFonts w:eastAsia="Times New Roman" w:cs="Times New Roman"/>
          <w:i/>
          <w:szCs w:val="24"/>
        </w:rPr>
        <w:t>Conversion Factors</w:t>
      </w:r>
    </w:p>
    <w:p w:rsidR="003F2BAD" w:rsidRPr="00E41264" w:rsidRDefault="003F2BAD" w:rsidP="003F2BAD">
      <w:pPr>
        <w:spacing w:line="240" w:lineRule="auto"/>
        <w:rPr>
          <w:rFonts w:eastAsia="Times New Roman" w:cs="Times New Roman"/>
          <w:szCs w:val="24"/>
        </w:rPr>
      </w:pPr>
      <w:r w:rsidRPr="00E41264">
        <w:rPr>
          <w:rFonts w:eastAsia="Times New Roman" w:cs="Times New Roman"/>
          <w:szCs w:val="24"/>
        </w:rPr>
        <w:tab/>
        <w:t>CO</w:t>
      </w:r>
      <w:r w:rsidRPr="00E41264">
        <w:rPr>
          <w:rFonts w:eastAsia="Times New Roman" w:cs="Times New Roman"/>
          <w:szCs w:val="24"/>
          <w:vertAlign w:val="subscript"/>
        </w:rPr>
        <w:t>2</w:t>
      </w:r>
      <w:r w:rsidRPr="00E41264">
        <w:rPr>
          <w:rFonts w:eastAsia="Times New Roman" w:cs="Times New Roman"/>
          <w:szCs w:val="24"/>
        </w:rPr>
        <w:t xml:space="preserve"> </w:t>
      </w:r>
      <w:r w:rsidRPr="00E41264">
        <w:rPr>
          <w:rFonts w:eastAsia="Times New Roman" w:cs="Times New Roman"/>
          <w:szCs w:val="24"/>
        </w:rPr>
        <w:tab/>
      </w:r>
      <w:r w:rsidRPr="00E41264">
        <w:rPr>
          <w:rFonts w:eastAsia="Times New Roman" w:cs="Times New Roman"/>
          <w:szCs w:val="24"/>
        </w:rPr>
        <w:tab/>
      </w:r>
      <w:r w:rsidRPr="00E41264">
        <w:rPr>
          <w:rFonts w:eastAsia="Times New Roman" w:cs="Times New Roman"/>
          <w:szCs w:val="24"/>
        </w:rPr>
        <w:tab/>
      </w:r>
      <w:r w:rsidR="00895586" w:rsidRPr="00E41264">
        <w:rPr>
          <w:rFonts w:eastAsia="Times New Roman" w:cs="Times New Roman"/>
          <w:szCs w:val="24"/>
        </w:rPr>
        <w:t xml:space="preserve">10.2570 </w:t>
      </w:r>
      <w:r w:rsidRPr="00E41264">
        <w:rPr>
          <w:rFonts w:eastAsia="Times New Roman" w:cs="Times New Roman"/>
          <w:szCs w:val="24"/>
        </w:rPr>
        <w:t>kg CO</w:t>
      </w:r>
      <w:r w:rsidRPr="00E41264">
        <w:rPr>
          <w:rFonts w:eastAsia="Times New Roman" w:cs="Times New Roman"/>
          <w:szCs w:val="24"/>
          <w:vertAlign w:val="subscript"/>
        </w:rPr>
        <w:t xml:space="preserve">2 </w:t>
      </w:r>
      <w:r w:rsidRPr="00E41264">
        <w:rPr>
          <w:rFonts w:eastAsia="Times New Roman" w:cs="Times New Roman"/>
          <w:szCs w:val="24"/>
        </w:rPr>
        <w:t>/gal</w:t>
      </w:r>
    </w:p>
    <w:p w:rsidR="003F2BAD" w:rsidRDefault="003F2BAD" w:rsidP="003F2BAD">
      <w:pPr>
        <w:spacing w:line="240" w:lineRule="auto"/>
        <w:rPr>
          <w:rFonts w:eastAsia="Times New Roman" w:cs="Times New Roman"/>
          <w:i/>
          <w:szCs w:val="24"/>
        </w:rPr>
      </w:pPr>
      <w:r w:rsidRPr="00E41264">
        <w:rPr>
          <w:rFonts w:eastAsia="Times New Roman" w:cs="Times New Roman"/>
          <w:i/>
          <w:szCs w:val="24"/>
        </w:rPr>
        <w:t>Calculation Method</w:t>
      </w:r>
    </w:p>
    <w:p w:rsidR="00A8102D" w:rsidRPr="00A8102D" w:rsidRDefault="00E44F6A" w:rsidP="00A8102D">
      <w:pPr>
        <w:spacing w:line="240" w:lineRule="auto"/>
        <w:ind w:left="720" w:firstLine="720"/>
        <w:rPr>
          <w:rFonts w:eastAsia="Times New Roman" w:cs="Times New Roman"/>
          <w:i/>
          <w:szCs w:val="24"/>
          <w:lang w:val="es-ES"/>
        </w:rPr>
      </w:pPr>
      <m:oMathPara>
        <m:oMathParaPr>
          <m:jc m:val="left"/>
        </m:oMathParaPr>
        <m:oMath>
          <m:d>
            <m:dPr>
              <m:ctrlPr>
                <w:rPr>
                  <w:rFonts w:ascii="Cambria Math" w:eastAsia="Times New Roman" w:hAnsi="Cambria Math" w:cs="Times New Roman"/>
                  <w:i/>
                  <w:szCs w:val="24"/>
                </w:rPr>
              </m:ctrlPr>
            </m:dPr>
            <m:e>
              <m:r>
                <m:rPr>
                  <m:nor/>
                </m:rPr>
                <w:rPr>
                  <w:rFonts w:eastAsia="Times New Roman" w:cs="Times New Roman"/>
                  <w:szCs w:val="24"/>
                  <w:lang w:val="es-ES"/>
                </w:rPr>
                <m:t xml:space="preserve">399.50 </m:t>
              </m:r>
              <m:r>
                <m:rPr>
                  <m:nor/>
                </m:rPr>
                <w:rPr>
                  <w:rFonts w:eastAsia="Times New Roman" w:cs="Times New Roman"/>
                  <w:iCs/>
                  <w:szCs w:val="24"/>
                  <w:lang w:val="es-ES"/>
                </w:rPr>
                <m:t>gal</m:t>
              </m:r>
            </m:e>
          </m:d>
          <m:r>
            <m:rPr>
              <m:nor/>
            </m:rPr>
            <w:rPr>
              <w:rFonts w:ascii="Cambria Math" w:eastAsia="Times New Roman" w:cs="Times New Roman"/>
              <w:szCs w:val="24"/>
              <w:lang w:val="es-ES"/>
            </w:rPr>
            <m:t xml:space="preserve"> </m:t>
          </m:r>
          <m:r>
            <m:rPr>
              <m:nor/>
            </m:rPr>
            <w:rPr>
              <w:rFonts w:eastAsia="Times New Roman" w:cs="Times New Roman"/>
              <w:szCs w:val="24"/>
              <w:lang w:val="es-ES"/>
            </w:rPr>
            <m:t xml:space="preserve">× </m:t>
          </m:r>
          <m:d>
            <m:dPr>
              <m:ctrlPr>
                <w:rPr>
                  <w:rFonts w:ascii="Cambria Math" w:eastAsia="Times New Roman" w:hAnsi="Cambria Math" w:cs="Times New Roman"/>
                  <w:i/>
                  <w:szCs w:val="24"/>
                </w:rPr>
              </m:ctrlPr>
            </m:dPr>
            <m:e>
              <m:f>
                <m:fPr>
                  <m:ctrlPr>
                    <w:rPr>
                      <w:rFonts w:ascii="Cambria Math" w:eastAsia="Times New Roman" w:hAnsi="Cambria Math" w:cs="Times New Roman"/>
                      <w:i/>
                      <w:szCs w:val="24"/>
                    </w:rPr>
                  </m:ctrlPr>
                </m:fPr>
                <m:num>
                  <m:r>
                    <m:rPr>
                      <m:nor/>
                    </m:rPr>
                    <w:rPr>
                      <w:rFonts w:eastAsia="Times New Roman" w:cs="Times New Roman"/>
                      <w:szCs w:val="24"/>
                      <w:lang w:val="es-ES"/>
                    </w:rPr>
                    <m:t xml:space="preserve">10.2570 </m:t>
                  </m:r>
                  <m:r>
                    <m:rPr>
                      <m:nor/>
                    </m:rPr>
                    <w:rPr>
                      <w:rFonts w:eastAsia="Times New Roman" w:cs="Times New Roman"/>
                      <w:iCs/>
                      <w:szCs w:val="24"/>
                      <w:lang w:val="es-ES"/>
                    </w:rPr>
                    <m:t>kg C</m:t>
                  </m:r>
                  <m:sSub>
                    <m:sSubPr>
                      <m:ctrlPr>
                        <w:rPr>
                          <w:rFonts w:ascii="Cambria Math" w:eastAsia="Times New Roman" w:hAnsi="Cambria Math" w:cs="Times New Roman"/>
                          <w:iCs/>
                          <w:szCs w:val="24"/>
                        </w:rPr>
                      </m:ctrlPr>
                    </m:sSubPr>
                    <m:e>
                      <m:r>
                        <m:rPr>
                          <m:nor/>
                        </m:rPr>
                        <w:rPr>
                          <w:rFonts w:eastAsia="Times New Roman" w:cs="Times New Roman"/>
                          <w:iCs/>
                          <w:szCs w:val="24"/>
                          <w:lang w:val="es-ES"/>
                        </w:rPr>
                        <m:t>O</m:t>
                      </m:r>
                    </m:e>
                    <m:sub>
                      <m:r>
                        <m:rPr>
                          <m:nor/>
                        </m:rPr>
                        <w:rPr>
                          <w:rFonts w:eastAsia="Times New Roman" w:cs="Times New Roman"/>
                          <w:iCs/>
                          <w:szCs w:val="24"/>
                          <w:lang w:val="es-ES"/>
                        </w:rPr>
                        <m:t>2</m:t>
                      </m:r>
                    </m:sub>
                  </m:sSub>
                </m:num>
                <m:den>
                  <m:r>
                    <m:rPr>
                      <m:nor/>
                    </m:rPr>
                    <w:rPr>
                      <w:rFonts w:eastAsia="Times New Roman" w:cs="Times New Roman"/>
                      <w:szCs w:val="24"/>
                      <w:lang w:val="es-ES"/>
                    </w:rPr>
                    <m:t xml:space="preserve">1 </m:t>
                  </m:r>
                  <m:r>
                    <m:rPr>
                      <m:nor/>
                    </m:rPr>
                    <w:rPr>
                      <w:rFonts w:eastAsia="Times New Roman" w:cs="Times New Roman"/>
                      <w:iCs/>
                      <w:szCs w:val="24"/>
                      <w:lang w:val="es-ES"/>
                    </w:rPr>
                    <m:t>gal</m:t>
                  </m:r>
                </m:den>
              </m:f>
            </m:e>
          </m:d>
          <m:r>
            <m:rPr>
              <m:nor/>
            </m:rPr>
            <w:rPr>
              <w:rFonts w:ascii="Cambria Math" w:eastAsia="Times New Roman" w:cs="Times New Roman"/>
              <w:szCs w:val="24"/>
              <w:lang w:val="es-ES"/>
            </w:rPr>
            <m:t xml:space="preserve"> </m:t>
          </m:r>
          <m:r>
            <m:rPr>
              <m:nor/>
            </m:rPr>
            <w:rPr>
              <w:rFonts w:eastAsia="Times New Roman" w:cs="Times New Roman"/>
              <w:szCs w:val="24"/>
              <w:lang w:val="es-ES"/>
            </w:rPr>
            <m:t>=</m:t>
          </m:r>
          <m:r>
            <m:rPr>
              <m:nor/>
            </m:rPr>
            <w:rPr>
              <w:rFonts w:ascii="Cambria Math" w:eastAsia="Times New Roman" w:cs="Times New Roman"/>
              <w:szCs w:val="24"/>
              <w:lang w:val="es-ES"/>
            </w:rPr>
            <m:t xml:space="preserve"> </m:t>
          </m:r>
          <m:r>
            <m:rPr>
              <m:nor/>
            </m:rPr>
            <w:rPr>
              <w:rFonts w:eastAsia="Times New Roman" w:cs="Times New Roman"/>
              <w:szCs w:val="24"/>
              <w:lang w:val="es-ES"/>
            </w:rPr>
            <m:t xml:space="preserve">4098 </m:t>
          </m:r>
          <m:r>
            <m:rPr>
              <m:nor/>
            </m:rPr>
            <w:rPr>
              <w:rFonts w:eastAsia="Times New Roman" w:cs="Times New Roman"/>
              <w:iCs/>
              <w:szCs w:val="24"/>
              <w:lang w:val="es-ES"/>
            </w:rPr>
            <m:t>kg C</m:t>
          </m:r>
          <m:sSub>
            <m:sSubPr>
              <m:ctrlPr>
                <w:rPr>
                  <w:rFonts w:ascii="Cambria Math" w:eastAsia="Times New Roman" w:hAnsi="Cambria Math" w:cs="Times New Roman"/>
                  <w:iCs/>
                  <w:szCs w:val="24"/>
                </w:rPr>
              </m:ctrlPr>
            </m:sSubPr>
            <m:e>
              <m:r>
                <m:rPr>
                  <m:nor/>
                </m:rPr>
                <w:rPr>
                  <w:rFonts w:eastAsia="Times New Roman" w:cs="Times New Roman"/>
                  <w:iCs/>
                  <w:szCs w:val="24"/>
                  <w:lang w:val="es-ES"/>
                </w:rPr>
                <m:t>O</m:t>
              </m:r>
            </m:e>
            <m:sub>
              <m:r>
                <m:rPr>
                  <m:nor/>
                </m:rPr>
                <w:rPr>
                  <w:rFonts w:eastAsia="Times New Roman" w:cs="Times New Roman"/>
                  <w:iCs/>
                  <w:szCs w:val="24"/>
                  <w:lang w:val="es-ES"/>
                </w:rPr>
                <m:t>2</m:t>
              </m:r>
            </m:sub>
          </m:sSub>
        </m:oMath>
      </m:oMathPara>
    </w:p>
    <w:p w:rsidR="003F2BAD" w:rsidRPr="00A8102D" w:rsidRDefault="003F2BAD" w:rsidP="00B374EC">
      <w:pPr>
        <w:spacing w:line="240" w:lineRule="auto"/>
        <w:rPr>
          <w:rFonts w:eastAsia="Times New Roman" w:cs="Times New Roman"/>
          <w:b/>
          <w:szCs w:val="24"/>
          <w:lang w:val="es-ES"/>
        </w:rPr>
      </w:pPr>
    </w:p>
    <w:p w:rsidR="00B374EC" w:rsidRPr="00E41264" w:rsidRDefault="00B374EC" w:rsidP="00B374EC">
      <w:pPr>
        <w:spacing w:line="240" w:lineRule="auto"/>
        <w:rPr>
          <w:rFonts w:eastAsia="Times New Roman" w:cs="Times New Roman"/>
          <w:b/>
          <w:szCs w:val="24"/>
        </w:rPr>
      </w:pPr>
      <w:r w:rsidRPr="00E41264">
        <w:rPr>
          <w:rFonts w:eastAsia="Times New Roman" w:cs="Times New Roman"/>
          <w:b/>
          <w:szCs w:val="24"/>
        </w:rPr>
        <w:t>Transportation Fuels – FIT Aviation Fuel</w:t>
      </w:r>
    </w:p>
    <w:p w:rsidR="00B374EC" w:rsidRPr="00E41264" w:rsidRDefault="00B374EC" w:rsidP="00B374EC">
      <w:pPr>
        <w:spacing w:line="240" w:lineRule="auto"/>
        <w:rPr>
          <w:rFonts w:eastAsia="Times New Roman" w:cs="Times New Roman"/>
          <w:szCs w:val="24"/>
        </w:rPr>
      </w:pPr>
      <w:r w:rsidRPr="00E41264">
        <w:rPr>
          <w:rFonts w:eastAsia="Times New Roman" w:cs="Times New Roman"/>
          <w:szCs w:val="24"/>
        </w:rPr>
        <w:t xml:space="preserve">Emissions related to the flight school are calculated based on the amount of fuel burned in order to operate all airplanes in service. This calculation does not take into account the different efficiencies of different aircrafts or the type of engine used in each plane. </w:t>
      </w:r>
      <w:proofErr w:type="spellStart"/>
      <w:r w:rsidRPr="00E41264">
        <w:rPr>
          <w:rFonts w:eastAsia="Times New Roman" w:cs="Times New Roman"/>
          <w:szCs w:val="24"/>
        </w:rPr>
        <w:t>AvGas</w:t>
      </w:r>
      <w:proofErr w:type="spellEnd"/>
      <w:r w:rsidRPr="00E41264">
        <w:rPr>
          <w:rFonts w:eastAsia="Times New Roman" w:cs="Times New Roman"/>
          <w:szCs w:val="24"/>
        </w:rPr>
        <w:t xml:space="preserve"> Fuel use information was provided by the accounting department of FIT Aviation for fiscal years 15 through 18</w:t>
      </w:r>
      <w:r w:rsidR="000614CC">
        <w:rPr>
          <w:rStyle w:val="FootnoteReference"/>
          <w:rFonts w:eastAsia="Times New Roman" w:cs="Times New Roman"/>
          <w:szCs w:val="24"/>
        </w:rPr>
        <w:footnoteReference w:id="6"/>
      </w:r>
      <w:r w:rsidRPr="00E41264">
        <w:rPr>
          <w:rFonts w:eastAsia="Times New Roman" w:cs="Times New Roman"/>
          <w:szCs w:val="24"/>
        </w:rPr>
        <w:t>.</w:t>
      </w:r>
    </w:p>
    <w:p w:rsidR="00B374EC" w:rsidRPr="00E41264" w:rsidRDefault="00B374EC" w:rsidP="00B374EC">
      <w:pPr>
        <w:spacing w:line="240" w:lineRule="auto"/>
        <w:rPr>
          <w:rFonts w:eastAsia="Times New Roman" w:cs="Times New Roman"/>
          <w:i/>
          <w:szCs w:val="24"/>
        </w:rPr>
      </w:pPr>
      <w:r w:rsidRPr="00E41264">
        <w:rPr>
          <w:rFonts w:eastAsia="Times New Roman" w:cs="Times New Roman"/>
          <w:i/>
          <w:szCs w:val="24"/>
        </w:rPr>
        <w:t>Conversion Factors</w:t>
      </w:r>
    </w:p>
    <w:p w:rsidR="00B374EC" w:rsidRPr="00E41264" w:rsidRDefault="00B374EC" w:rsidP="00B374EC">
      <w:pPr>
        <w:spacing w:line="240" w:lineRule="auto"/>
        <w:rPr>
          <w:rFonts w:eastAsia="Times New Roman" w:cs="Times New Roman"/>
          <w:szCs w:val="24"/>
        </w:rPr>
      </w:pPr>
      <w:r w:rsidRPr="00E41264">
        <w:rPr>
          <w:rFonts w:eastAsia="Times New Roman" w:cs="Times New Roman"/>
          <w:szCs w:val="24"/>
        </w:rPr>
        <w:tab/>
        <w:t>CO</w:t>
      </w:r>
      <w:r w:rsidRPr="00E41264">
        <w:rPr>
          <w:rFonts w:eastAsia="Times New Roman" w:cs="Times New Roman"/>
          <w:szCs w:val="24"/>
          <w:vertAlign w:val="subscript"/>
        </w:rPr>
        <w:t>2</w:t>
      </w:r>
      <w:r w:rsidRPr="00E41264">
        <w:rPr>
          <w:rFonts w:eastAsia="Times New Roman" w:cs="Times New Roman"/>
          <w:szCs w:val="24"/>
        </w:rPr>
        <w:t xml:space="preserve"> </w:t>
      </w:r>
      <w:r w:rsidRPr="00E41264">
        <w:rPr>
          <w:rFonts w:eastAsia="Times New Roman" w:cs="Times New Roman"/>
          <w:szCs w:val="24"/>
        </w:rPr>
        <w:tab/>
      </w:r>
      <w:r w:rsidRPr="00E41264">
        <w:rPr>
          <w:rFonts w:eastAsia="Times New Roman" w:cs="Times New Roman"/>
          <w:szCs w:val="24"/>
        </w:rPr>
        <w:tab/>
      </w:r>
      <w:r w:rsidRPr="00E41264">
        <w:rPr>
          <w:rFonts w:eastAsia="Times New Roman" w:cs="Times New Roman"/>
          <w:szCs w:val="24"/>
        </w:rPr>
        <w:tab/>
        <w:t>8.30543 kg CO</w:t>
      </w:r>
      <w:r w:rsidRPr="00E41264">
        <w:rPr>
          <w:rFonts w:eastAsia="Times New Roman" w:cs="Times New Roman"/>
          <w:szCs w:val="24"/>
          <w:vertAlign w:val="subscript"/>
        </w:rPr>
        <w:t xml:space="preserve">2 </w:t>
      </w:r>
      <w:r w:rsidRPr="00E41264">
        <w:rPr>
          <w:rFonts w:eastAsia="Times New Roman" w:cs="Times New Roman"/>
          <w:szCs w:val="24"/>
        </w:rPr>
        <w:t>/gal</w:t>
      </w:r>
    </w:p>
    <w:p w:rsidR="00B374EC" w:rsidRDefault="00B374EC" w:rsidP="00B374EC">
      <w:pPr>
        <w:spacing w:line="240" w:lineRule="auto"/>
        <w:rPr>
          <w:rFonts w:eastAsia="Times New Roman" w:cs="Times New Roman"/>
          <w:i/>
          <w:szCs w:val="24"/>
        </w:rPr>
      </w:pPr>
      <w:r w:rsidRPr="00E41264">
        <w:rPr>
          <w:rFonts w:eastAsia="Times New Roman" w:cs="Times New Roman"/>
          <w:i/>
          <w:szCs w:val="24"/>
        </w:rPr>
        <w:t>Calculation Method</w:t>
      </w:r>
    </w:p>
    <w:p w:rsidR="00A8102D" w:rsidRPr="00B500C0" w:rsidRDefault="00E44F6A" w:rsidP="00B500C0">
      <w:pPr>
        <w:spacing w:line="240" w:lineRule="auto"/>
        <w:ind w:left="720" w:firstLine="720"/>
        <w:rPr>
          <w:rFonts w:eastAsia="Times New Roman" w:cs="Times New Roman"/>
          <w:i/>
          <w:szCs w:val="24"/>
          <w:lang w:val="es-ES"/>
        </w:rPr>
      </w:pPr>
      <m:oMathPara>
        <m:oMathParaPr>
          <m:jc m:val="left"/>
        </m:oMathParaPr>
        <m:oMath>
          <m:d>
            <m:dPr>
              <m:ctrlPr>
                <w:rPr>
                  <w:rFonts w:ascii="Cambria Math" w:eastAsia="Times New Roman" w:hAnsi="Cambria Math" w:cs="Times New Roman"/>
                  <w:i/>
                  <w:szCs w:val="24"/>
                </w:rPr>
              </m:ctrlPr>
            </m:dPr>
            <m:e>
              <m:r>
                <m:rPr>
                  <m:nor/>
                </m:rPr>
                <w:rPr>
                  <w:rFonts w:eastAsia="Times New Roman" w:cs="Times New Roman"/>
                  <w:szCs w:val="24"/>
                  <w:lang w:val="es-ES"/>
                </w:rPr>
                <m:t>65,600 gal</m:t>
              </m:r>
            </m:e>
          </m:d>
          <m:r>
            <m:rPr>
              <m:nor/>
            </m:rPr>
            <w:rPr>
              <w:rFonts w:eastAsia="Times New Roman" w:cs="Times New Roman"/>
              <w:szCs w:val="24"/>
              <w:lang w:val="es-ES"/>
            </w:rPr>
            <m:t xml:space="preserve"> × </m:t>
          </m:r>
          <m:d>
            <m:dPr>
              <m:ctrlPr>
                <w:rPr>
                  <w:rFonts w:ascii="Cambria Math" w:eastAsia="Times New Roman" w:hAnsi="Cambria Math" w:cs="Times New Roman"/>
                  <w:i/>
                  <w:szCs w:val="24"/>
                </w:rPr>
              </m:ctrlPr>
            </m:dPr>
            <m:e>
              <m:f>
                <m:fPr>
                  <m:ctrlPr>
                    <w:rPr>
                      <w:rFonts w:ascii="Cambria Math" w:eastAsia="Times New Roman" w:hAnsi="Cambria Math" w:cs="Times New Roman"/>
                      <w:i/>
                      <w:szCs w:val="24"/>
                    </w:rPr>
                  </m:ctrlPr>
                </m:fPr>
                <m:num>
                  <m:r>
                    <m:rPr>
                      <m:nor/>
                    </m:rPr>
                    <w:rPr>
                      <w:rFonts w:eastAsia="Times New Roman" w:cs="Times New Roman"/>
                      <w:szCs w:val="24"/>
                      <w:lang w:val="es-ES"/>
                    </w:rPr>
                    <m:t>8.30543 kg C</m:t>
                  </m:r>
                  <m:sSub>
                    <m:sSubPr>
                      <m:ctrlPr>
                        <w:rPr>
                          <w:rFonts w:ascii="Cambria Math" w:eastAsia="Times New Roman" w:hAnsi="Cambria Math" w:cs="Times New Roman"/>
                          <w:i/>
                          <w:szCs w:val="24"/>
                        </w:rPr>
                      </m:ctrlPr>
                    </m:sSubPr>
                    <m:e>
                      <m:r>
                        <m:rPr>
                          <m:nor/>
                        </m:rPr>
                        <w:rPr>
                          <w:rFonts w:eastAsia="Times New Roman" w:cs="Times New Roman"/>
                          <w:szCs w:val="24"/>
                          <w:lang w:val="es-ES"/>
                        </w:rPr>
                        <m:t>O</m:t>
                      </m:r>
                    </m:e>
                    <m:sub>
                      <m:r>
                        <m:rPr>
                          <m:nor/>
                        </m:rPr>
                        <w:rPr>
                          <w:rFonts w:eastAsia="Times New Roman" w:cs="Times New Roman"/>
                          <w:szCs w:val="24"/>
                          <w:lang w:val="es-ES"/>
                        </w:rPr>
                        <m:t>2</m:t>
                      </m:r>
                    </m:sub>
                  </m:sSub>
                </m:num>
                <m:den>
                  <m:r>
                    <m:rPr>
                      <m:nor/>
                    </m:rPr>
                    <w:rPr>
                      <w:rFonts w:eastAsia="Times New Roman" w:cs="Times New Roman"/>
                      <w:szCs w:val="24"/>
                      <w:lang w:val="es-ES"/>
                    </w:rPr>
                    <m:t>1 gal</m:t>
                  </m:r>
                </m:den>
              </m:f>
            </m:e>
          </m:d>
          <m:r>
            <m:rPr>
              <m:nor/>
            </m:rPr>
            <w:rPr>
              <w:rFonts w:eastAsia="Times New Roman" w:cs="Times New Roman"/>
              <w:szCs w:val="24"/>
              <w:lang w:val="es-ES"/>
            </w:rPr>
            <m:t xml:space="preserve"> = 544,836 kg C</m:t>
          </m:r>
          <m:sSub>
            <m:sSubPr>
              <m:ctrlPr>
                <w:rPr>
                  <w:rFonts w:ascii="Cambria Math" w:eastAsia="Times New Roman" w:hAnsi="Cambria Math" w:cs="Times New Roman"/>
                  <w:i/>
                  <w:szCs w:val="24"/>
                </w:rPr>
              </m:ctrlPr>
            </m:sSubPr>
            <m:e>
              <m:r>
                <m:rPr>
                  <m:nor/>
                </m:rPr>
                <w:rPr>
                  <w:rFonts w:eastAsia="Times New Roman" w:cs="Times New Roman"/>
                  <w:szCs w:val="24"/>
                  <w:lang w:val="es-ES"/>
                </w:rPr>
                <m:t>O</m:t>
              </m:r>
            </m:e>
            <m:sub>
              <m:r>
                <m:rPr>
                  <m:nor/>
                </m:rPr>
                <w:rPr>
                  <w:rFonts w:eastAsia="Times New Roman" w:cs="Times New Roman"/>
                  <w:szCs w:val="24"/>
                  <w:lang w:val="es-ES"/>
                </w:rPr>
                <m:t>2</m:t>
              </m:r>
            </m:sub>
          </m:sSub>
        </m:oMath>
      </m:oMathPara>
    </w:p>
    <w:p w:rsidR="002D6615" w:rsidRDefault="002D6615" w:rsidP="00B374EC">
      <w:pPr>
        <w:spacing w:line="240" w:lineRule="auto"/>
        <w:rPr>
          <w:rFonts w:eastAsia="Times New Roman" w:cs="Times New Roman"/>
          <w:b/>
          <w:szCs w:val="24"/>
        </w:rPr>
      </w:pPr>
    </w:p>
    <w:p w:rsidR="002D6615" w:rsidRDefault="002D6615" w:rsidP="00B374EC">
      <w:pPr>
        <w:spacing w:line="240" w:lineRule="auto"/>
        <w:rPr>
          <w:rFonts w:eastAsia="Times New Roman" w:cs="Times New Roman"/>
          <w:b/>
          <w:szCs w:val="24"/>
        </w:rPr>
      </w:pPr>
    </w:p>
    <w:p w:rsidR="002D6615" w:rsidRDefault="002D6615" w:rsidP="00B374EC">
      <w:pPr>
        <w:spacing w:line="240" w:lineRule="auto"/>
        <w:rPr>
          <w:rFonts w:eastAsia="Times New Roman" w:cs="Times New Roman"/>
          <w:b/>
          <w:szCs w:val="24"/>
        </w:rPr>
      </w:pPr>
    </w:p>
    <w:p w:rsidR="002D6615" w:rsidRDefault="002D6615">
      <w:pPr>
        <w:rPr>
          <w:rFonts w:eastAsia="Times New Roman" w:cs="Times New Roman"/>
          <w:b/>
          <w:szCs w:val="24"/>
        </w:rPr>
      </w:pPr>
      <w:r>
        <w:rPr>
          <w:rFonts w:eastAsia="Times New Roman" w:cs="Times New Roman"/>
          <w:b/>
          <w:szCs w:val="24"/>
        </w:rPr>
        <w:br w:type="page"/>
      </w:r>
    </w:p>
    <w:p w:rsidR="00B374EC" w:rsidRPr="00E41264" w:rsidRDefault="00B374EC" w:rsidP="00B374EC">
      <w:pPr>
        <w:spacing w:line="240" w:lineRule="auto"/>
        <w:rPr>
          <w:rFonts w:eastAsia="Times New Roman" w:cs="Times New Roman"/>
          <w:b/>
          <w:szCs w:val="24"/>
        </w:rPr>
      </w:pPr>
      <w:r w:rsidRPr="00E41264">
        <w:rPr>
          <w:rFonts w:eastAsia="Times New Roman" w:cs="Times New Roman"/>
          <w:b/>
          <w:szCs w:val="24"/>
        </w:rPr>
        <w:lastRenderedPageBreak/>
        <w:t>Fertilizer</w:t>
      </w:r>
    </w:p>
    <w:p w:rsidR="00B374EC" w:rsidRPr="00E41264" w:rsidRDefault="00B374EC" w:rsidP="00B374EC">
      <w:pPr>
        <w:spacing w:line="240" w:lineRule="auto"/>
        <w:rPr>
          <w:rFonts w:eastAsia="Times New Roman" w:cs="Times New Roman"/>
          <w:szCs w:val="24"/>
        </w:rPr>
      </w:pPr>
      <w:r w:rsidRPr="00E41264">
        <w:rPr>
          <w:rFonts w:eastAsia="Times New Roman" w:cs="Times New Roman"/>
          <w:szCs w:val="24"/>
        </w:rPr>
        <w:t xml:space="preserve">Fertilizer usage primarily releases traceable amounts of </w:t>
      </w:r>
      <w:r w:rsidR="00E014C2" w:rsidRPr="00E41264">
        <w:rPr>
          <w:rFonts w:eastAsia="Times New Roman" w:cs="Times New Roman"/>
          <w:szCs w:val="24"/>
        </w:rPr>
        <w:t>CO</w:t>
      </w:r>
      <w:r w:rsidR="00E014C2" w:rsidRPr="00E41264">
        <w:rPr>
          <w:rFonts w:eastAsia="Times New Roman" w:cs="Times New Roman"/>
          <w:szCs w:val="24"/>
          <w:vertAlign w:val="subscript"/>
        </w:rPr>
        <w:t>2</w:t>
      </w:r>
      <w:r w:rsidRPr="00E41264">
        <w:rPr>
          <w:rFonts w:eastAsia="Times New Roman" w:cs="Times New Roman"/>
          <w:szCs w:val="24"/>
        </w:rPr>
        <w:t>. Florida Tech minimizes the use of fertilizers by adhering to a strict schedule for its use. Fertilizers are used twice yearly to maintain the campus greenery</w:t>
      </w:r>
      <w:r w:rsidR="000614CC">
        <w:rPr>
          <w:rStyle w:val="FootnoteReference"/>
          <w:rFonts w:eastAsia="Times New Roman" w:cs="Times New Roman"/>
          <w:szCs w:val="24"/>
        </w:rPr>
        <w:footnoteReference w:id="7"/>
      </w:r>
      <w:r w:rsidRPr="00E41264">
        <w:rPr>
          <w:rFonts w:eastAsia="Times New Roman" w:cs="Times New Roman"/>
          <w:szCs w:val="24"/>
        </w:rPr>
        <w:t>.</w:t>
      </w:r>
    </w:p>
    <w:p w:rsidR="009045EA" w:rsidRPr="00E41264" w:rsidRDefault="00B374EC" w:rsidP="00B374EC">
      <w:pPr>
        <w:spacing w:line="240" w:lineRule="auto"/>
        <w:rPr>
          <w:rFonts w:eastAsia="Times New Roman" w:cs="Times New Roman"/>
          <w:i/>
          <w:szCs w:val="24"/>
        </w:rPr>
      </w:pPr>
      <w:r w:rsidRPr="00E41264">
        <w:rPr>
          <w:rFonts w:eastAsia="Times New Roman" w:cs="Times New Roman"/>
          <w:i/>
          <w:szCs w:val="24"/>
        </w:rPr>
        <w:t>Conversion Factors</w:t>
      </w:r>
    </w:p>
    <w:p w:rsidR="00E014C2" w:rsidRPr="00E41264" w:rsidRDefault="00B374EC" w:rsidP="00E014C2">
      <w:pPr>
        <w:spacing w:line="240" w:lineRule="auto"/>
        <w:rPr>
          <w:rFonts w:eastAsia="Times New Roman" w:cs="Times New Roman"/>
          <w:szCs w:val="24"/>
        </w:rPr>
      </w:pPr>
      <w:r w:rsidRPr="00E41264">
        <w:rPr>
          <w:rFonts w:eastAsia="Times New Roman" w:cs="Times New Roman"/>
          <w:szCs w:val="24"/>
        </w:rPr>
        <w:tab/>
      </w:r>
      <w:r w:rsidR="00E014C2" w:rsidRPr="00E41264">
        <w:rPr>
          <w:rFonts w:eastAsia="Times New Roman" w:cs="Times New Roman"/>
          <w:szCs w:val="24"/>
        </w:rPr>
        <w:t>CO</w:t>
      </w:r>
      <w:r w:rsidR="00E014C2" w:rsidRPr="00E41264">
        <w:rPr>
          <w:rFonts w:eastAsia="Times New Roman" w:cs="Times New Roman"/>
          <w:szCs w:val="24"/>
          <w:vertAlign w:val="subscript"/>
        </w:rPr>
        <w:t>2</w:t>
      </w:r>
      <w:r w:rsidR="00E014C2" w:rsidRPr="00E41264">
        <w:rPr>
          <w:rFonts w:eastAsia="Times New Roman" w:cs="Times New Roman"/>
          <w:szCs w:val="24"/>
        </w:rPr>
        <w:t xml:space="preserve"> </w:t>
      </w:r>
      <w:r w:rsidR="00E014C2" w:rsidRPr="00E41264">
        <w:rPr>
          <w:rFonts w:eastAsia="Times New Roman" w:cs="Times New Roman"/>
          <w:szCs w:val="24"/>
        </w:rPr>
        <w:tab/>
      </w:r>
      <w:r w:rsidR="00E014C2" w:rsidRPr="00E41264">
        <w:rPr>
          <w:rFonts w:eastAsia="Times New Roman" w:cs="Times New Roman"/>
          <w:szCs w:val="24"/>
        </w:rPr>
        <w:tab/>
      </w:r>
      <w:r w:rsidR="00E014C2" w:rsidRPr="00E41264">
        <w:rPr>
          <w:rFonts w:eastAsia="Times New Roman" w:cs="Times New Roman"/>
          <w:szCs w:val="24"/>
        </w:rPr>
        <w:tab/>
      </w:r>
      <w:r w:rsidR="00E014C2">
        <w:rPr>
          <w:rFonts w:eastAsia="Times New Roman" w:cs="Times New Roman"/>
          <w:szCs w:val="24"/>
        </w:rPr>
        <w:t xml:space="preserve">0.00053 </w:t>
      </w:r>
      <w:r w:rsidR="00E014C2" w:rsidRPr="00E41264">
        <w:rPr>
          <w:rFonts w:eastAsia="Times New Roman" w:cs="Times New Roman"/>
          <w:szCs w:val="24"/>
        </w:rPr>
        <w:t>kg CO</w:t>
      </w:r>
      <w:r w:rsidR="00E014C2" w:rsidRPr="00E41264">
        <w:rPr>
          <w:rFonts w:eastAsia="Times New Roman" w:cs="Times New Roman"/>
          <w:szCs w:val="24"/>
          <w:vertAlign w:val="subscript"/>
        </w:rPr>
        <w:t xml:space="preserve">2 </w:t>
      </w:r>
      <w:r w:rsidR="00E014C2" w:rsidRPr="00E41264">
        <w:rPr>
          <w:rFonts w:eastAsia="Times New Roman" w:cs="Times New Roman"/>
          <w:szCs w:val="24"/>
        </w:rPr>
        <w:t>/lb</w:t>
      </w:r>
    </w:p>
    <w:p w:rsidR="00B374EC" w:rsidRDefault="00B374EC" w:rsidP="00B374EC">
      <w:pPr>
        <w:spacing w:line="240" w:lineRule="auto"/>
        <w:rPr>
          <w:rFonts w:eastAsia="Times New Roman" w:cs="Times New Roman"/>
          <w:i/>
          <w:szCs w:val="24"/>
        </w:rPr>
      </w:pPr>
      <w:r w:rsidRPr="00E41264">
        <w:rPr>
          <w:rFonts w:eastAsia="Times New Roman" w:cs="Times New Roman"/>
          <w:i/>
          <w:szCs w:val="24"/>
        </w:rPr>
        <w:t>Calculation Method</w:t>
      </w:r>
    </w:p>
    <w:p w:rsidR="00B500C0" w:rsidRPr="001A08D2" w:rsidRDefault="00E44F6A" w:rsidP="001A08D2">
      <w:pPr>
        <w:spacing w:line="240" w:lineRule="auto"/>
        <w:ind w:left="720" w:firstLine="720"/>
        <w:rPr>
          <w:rFonts w:eastAsia="Times New Roman" w:cs="Times New Roman"/>
          <w:i/>
          <w:szCs w:val="24"/>
          <w:lang w:val="es-ES"/>
        </w:rPr>
      </w:pPr>
      <m:oMathPara>
        <m:oMathParaPr>
          <m:jc m:val="left"/>
        </m:oMathParaPr>
        <m:oMath>
          <m:d>
            <m:dPr>
              <m:ctrlPr>
                <w:rPr>
                  <w:rFonts w:ascii="Cambria Math" w:eastAsia="Times New Roman" w:hAnsi="Cambria Math" w:cs="Times New Roman"/>
                  <w:i/>
                  <w:szCs w:val="24"/>
                </w:rPr>
              </m:ctrlPr>
            </m:dPr>
            <m:e>
              <m:r>
                <m:rPr>
                  <m:nor/>
                </m:rPr>
                <w:rPr>
                  <w:rFonts w:eastAsia="Times New Roman" w:cs="Times New Roman"/>
                  <w:szCs w:val="24"/>
                  <w:lang w:val="es-ES"/>
                </w:rPr>
                <m:t>5,250 lb</m:t>
              </m:r>
            </m:e>
          </m:d>
          <m:r>
            <m:rPr>
              <m:nor/>
            </m:rPr>
            <w:rPr>
              <w:rFonts w:eastAsia="Times New Roman" w:cs="Times New Roman"/>
              <w:szCs w:val="24"/>
              <w:lang w:val="es-ES"/>
            </w:rPr>
            <m:t xml:space="preserve"> × </m:t>
          </m:r>
          <m:d>
            <m:dPr>
              <m:ctrlPr>
                <w:rPr>
                  <w:rFonts w:ascii="Cambria Math" w:eastAsia="Times New Roman" w:hAnsi="Cambria Math" w:cs="Times New Roman"/>
                  <w:i/>
                  <w:szCs w:val="24"/>
                </w:rPr>
              </m:ctrlPr>
            </m:dPr>
            <m:e>
              <m:f>
                <m:fPr>
                  <m:ctrlPr>
                    <w:rPr>
                      <w:rFonts w:ascii="Cambria Math" w:eastAsia="Times New Roman" w:hAnsi="Cambria Math" w:cs="Times New Roman"/>
                      <w:i/>
                      <w:szCs w:val="24"/>
                    </w:rPr>
                  </m:ctrlPr>
                </m:fPr>
                <m:num>
                  <m:r>
                    <m:rPr>
                      <m:nor/>
                    </m:rPr>
                    <w:rPr>
                      <w:rFonts w:eastAsia="Times New Roman" w:cs="Times New Roman"/>
                      <w:szCs w:val="24"/>
                      <w:lang w:val="es-ES"/>
                    </w:rPr>
                    <m:t>0.00053 kg C</m:t>
                  </m:r>
                  <m:sSub>
                    <m:sSubPr>
                      <m:ctrlPr>
                        <w:rPr>
                          <w:rFonts w:ascii="Cambria Math" w:eastAsia="Times New Roman" w:hAnsi="Cambria Math" w:cs="Times New Roman"/>
                          <w:i/>
                          <w:szCs w:val="24"/>
                        </w:rPr>
                      </m:ctrlPr>
                    </m:sSubPr>
                    <m:e>
                      <m:r>
                        <m:rPr>
                          <m:nor/>
                        </m:rPr>
                        <w:rPr>
                          <w:rFonts w:eastAsia="Times New Roman" w:cs="Times New Roman"/>
                          <w:szCs w:val="24"/>
                          <w:lang w:val="es-ES"/>
                        </w:rPr>
                        <m:t>O</m:t>
                      </m:r>
                    </m:e>
                    <m:sub>
                      <m:r>
                        <m:rPr>
                          <m:nor/>
                        </m:rPr>
                        <w:rPr>
                          <w:rFonts w:eastAsia="Times New Roman" w:cs="Times New Roman"/>
                          <w:szCs w:val="24"/>
                          <w:lang w:val="es-ES"/>
                        </w:rPr>
                        <m:t>2</m:t>
                      </m:r>
                    </m:sub>
                  </m:sSub>
                </m:num>
                <m:den>
                  <m:r>
                    <m:rPr>
                      <m:nor/>
                    </m:rPr>
                    <w:rPr>
                      <w:rFonts w:eastAsia="Times New Roman" w:cs="Times New Roman"/>
                      <w:szCs w:val="24"/>
                      <w:lang w:val="es-ES"/>
                    </w:rPr>
                    <m:t>1 lb</m:t>
                  </m:r>
                </m:den>
              </m:f>
            </m:e>
          </m:d>
          <m:r>
            <m:rPr>
              <m:nor/>
            </m:rPr>
            <w:rPr>
              <w:rFonts w:eastAsia="Times New Roman" w:cs="Times New Roman"/>
              <w:szCs w:val="24"/>
              <w:lang w:val="es-ES"/>
            </w:rPr>
            <m:t xml:space="preserve"> = 2.83 kg C</m:t>
          </m:r>
          <m:sSub>
            <m:sSubPr>
              <m:ctrlPr>
                <w:rPr>
                  <w:rFonts w:ascii="Cambria Math" w:eastAsia="Times New Roman" w:hAnsi="Cambria Math" w:cs="Times New Roman"/>
                  <w:i/>
                  <w:szCs w:val="24"/>
                </w:rPr>
              </m:ctrlPr>
            </m:sSubPr>
            <m:e>
              <m:r>
                <m:rPr>
                  <m:nor/>
                </m:rPr>
                <w:rPr>
                  <w:rFonts w:eastAsia="Times New Roman" w:cs="Times New Roman"/>
                  <w:szCs w:val="24"/>
                  <w:lang w:val="es-ES"/>
                </w:rPr>
                <m:t>O</m:t>
              </m:r>
            </m:e>
            <m:sub>
              <m:r>
                <m:rPr>
                  <m:nor/>
                </m:rPr>
                <w:rPr>
                  <w:rFonts w:eastAsia="Times New Roman" w:cs="Times New Roman"/>
                  <w:szCs w:val="24"/>
                  <w:lang w:val="es-ES"/>
                </w:rPr>
                <m:t>2</m:t>
              </m:r>
            </m:sub>
          </m:sSub>
        </m:oMath>
      </m:oMathPara>
    </w:p>
    <w:p w:rsidR="00B374EC" w:rsidRDefault="00B374EC" w:rsidP="00B374EC">
      <w:pPr>
        <w:spacing w:line="240" w:lineRule="auto"/>
        <w:rPr>
          <w:rFonts w:eastAsia="Times New Roman" w:cs="Times New Roman"/>
          <w:b/>
          <w:szCs w:val="24"/>
        </w:rPr>
      </w:pPr>
    </w:p>
    <w:p w:rsidR="00895586" w:rsidRPr="00E41264" w:rsidRDefault="00895586" w:rsidP="00B374EC">
      <w:pPr>
        <w:spacing w:line="240" w:lineRule="auto"/>
        <w:rPr>
          <w:rFonts w:eastAsia="Times New Roman" w:cs="Times New Roman"/>
          <w:b/>
          <w:szCs w:val="24"/>
        </w:rPr>
      </w:pPr>
    </w:p>
    <w:p w:rsidR="00B374EC" w:rsidRPr="00E41264" w:rsidRDefault="00B374EC" w:rsidP="00B374EC">
      <w:pPr>
        <w:spacing w:line="240" w:lineRule="auto"/>
        <w:rPr>
          <w:rFonts w:eastAsia="Times New Roman" w:cs="Times New Roman"/>
          <w:b/>
          <w:szCs w:val="24"/>
        </w:rPr>
      </w:pPr>
      <w:r w:rsidRPr="00E41264">
        <w:rPr>
          <w:rFonts w:eastAsia="Times New Roman" w:cs="Times New Roman"/>
          <w:b/>
          <w:szCs w:val="24"/>
        </w:rPr>
        <w:t>Ref</w:t>
      </w:r>
      <w:r w:rsidR="003F2BAD" w:rsidRPr="00E41264">
        <w:rPr>
          <w:rFonts w:eastAsia="Times New Roman" w:cs="Times New Roman"/>
          <w:b/>
          <w:szCs w:val="24"/>
        </w:rPr>
        <w:t>rigerants</w:t>
      </w:r>
    </w:p>
    <w:p w:rsidR="003F2BAD" w:rsidRPr="00E41264" w:rsidRDefault="008B7CBC" w:rsidP="003F2BAD">
      <w:pPr>
        <w:spacing w:line="240" w:lineRule="auto"/>
        <w:rPr>
          <w:rFonts w:eastAsia="Times New Roman" w:cs="Times New Roman"/>
          <w:szCs w:val="24"/>
        </w:rPr>
      </w:pPr>
      <w:r>
        <w:rPr>
          <w:rFonts w:eastAsia="Times New Roman" w:cs="Times New Roman"/>
          <w:szCs w:val="24"/>
        </w:rPr>
        <w:t>Refri</w:t>
      </w:r>
      <w:r w:rsidR="00441D40" w:rsidRPr="00E41264">
        <w:rPr>
          <w:rFonts w:eastAsia="Times New Roman" w:cs="Times New Roman"/>
          <w:szCs w:val="24"/>
        </w:rPr>
        <w:t>gerants and chemicals that are used on campus in the operations of HVAC</w:t>
      </w:r>
      <w:r>
        <w:rPr>
          <w:rFonts w:eastAsia="Times New Roman" w:cs="Times New Roman"/>
          <w:szCs w:val="24"/>
        </w:rPr>
        <w:t xml:space="preserve"> systems include multiple refri</w:t>
      </w:r>
      <w:r w:rsidR="00441D40" w:rsidRPr="00E41264">
        <w:rPr>
          <w:rFonts w:eastAsia="Times New Roman" w:cs="Times New Roman"/>
          <w:szCs w:val="24"/>
        </w:rPr>
        <w:t>gerant agents that comply with current laws and standards. The inventory of these refrigerants is based on the capacity of the current building HVAC unit inventory, our chilled water plants, and other refrigeration units</w:t>
      </w:r>
      <w:r w:rsidR="000614CC">
        <w:rPr>
          <w:rStyle w:val="FootnoteReference"/>
          <w:rFonts w:eastAsia="Times New Roman" w:cs="Times New Roman"/>
          <w:szCs w:val="24"/>
        </w:rPr>
        <w:footnoteReference w:id="8"/>
      </w:r>
      <w:r w:rsidR="00441D40" w:rsidRPr="00E41264">
        <w:rPr>
          <w:rFonts w:eastAsia="Times New Roman" w:cs="Times New Roman"/>
          <w:szCs w:val="24"/>
        </w:rPr>
        <w:t xml:space="preserve">. </w:t>
      </w:r>
    </w:p>
    <w:p w:rsidR="003F2BAD" w:rsidRPr="00E41264" w:rsidRDefault="003F2BAD" w:rsidP="003F2BAD">
      <w:pPr>
        <w:spacing w:line="240" w:lineRule="auto"/>
        <w:rPr>
          <w:rFonts w:eastAsia="Times New Roman" w:cs="Times New Roman"/>
          <w:i/>
          <w:szCs w:val="24"/>
        </w:rPr>
      </w:pPr>
      <w:r w:rsidRPr="00E41264">
        <w:rPr>
          <w:rFonts w:eastAsia="Times New Roman" w:cs="Times New Roman"/>
          <w:i/>
          <w:szCs w:val="24"/>
        </w:rPr>
        <w:t>Conversion Factors</w:t>
      </w:r>
    </w:p>
    <w:p w:rsidR="003F2BAD" w:rsidRPr="00E41264" w:rsidRDefault="003F2BAD" w:rsidP="003F2BAD">
      <w:pPr>
        <w:spacing w:line="240" w:lineRule="auto"/>
        <w:rPr>
          <w:rFonts w:eastAsia="Times New Roman" w:cs="Times New Roman"/>
          <w:szCs w:val="24"/>
        </w:rPr>
      </w:pPr>
      <w:r w:rsidRPr="00E41264">
        <w:rPr>
          <w:rFonts w:eastAsia="Times New Roman" w:cs="Times New Roman"/>
          <w:szCs w:val="24"/>
        </w:rPr>
        <w:tab/>
      </w:r>
      <w:r w:rsidR="00E014C2" w:rsidRPr="00E41264">
        <w:rPr>
          <w:rFonts w:eastAsia="Times New Roman" w:cs="Times New Roman"/>
          <w:szCs w:val="24"/>
        </w:rPr>
        <w:t>CO</w:t>
      </w:r>
      <w:r w:rsidR="00E014C2" w:rsidRPr="00E41264">
        <w:rPr>
          <w:rFonts w:eastAsia="Times New Roman" w:cs="Times New Roman"/>
          <w:szCs w:val="24"/>
          <w:vertAlign w:val="subscript"/>
        </w:rPr>
        <w:t>2</w:t>
      </w:r>
      <w:r w:rsidR="00E014C2" w:rsidRPr="00E41264">
        <w:rPr>
          <w:rFonts w:eastAsia="Times New Roman" w:cs="Times New Roman"/>
          <w:szCs w:val="24"/>
        </w:rPr>
        <w:t xml:space="preserve"> </w:t>
      </w:r>
      <w:r w:rsidR="00E014C2" w:rsidRPr="00E41264">
        <w:rPr>
          <w:rFonts w:eastAsia="Times New Roman" w:cs="Times New Roman"/>
          <w:szCs w:val="24"/>
        </w:rPr>
        <w:tab/>
      </w:r>
      <w:r w:rsidR="00E014C2" w:rsidRPr="00E41264">
        <w:rPr>
          <w:rFonts w:eastAsia="Times New Roman" w:cs="Times New Roman"/>
          <w:szCs w:val="24"/>
        </w:rPr>
        <w:tab/>
      </w:r>
      <w:r w:rsidR="00E014C2" w:rsidRPr="00E41264">
        <w:rPr>
          <w:rFonts w:eastAsia="Times New Roman" w:cs="Times New Roman"/>
          <w:szCs w:val="24"/>
        </w:rPr>
        <w:tab/>
      </w:r>
      <w:r w:rsidR="00E014C2">
        <w:rPr>
          <w:rFonts w:eastAsia="Times New Roman" w:cs="Times New Roman"/>
          <w:szCs w:val="24"/>
        </w:rPr>
        <w:t xml:space="preserve">0.86084 </w:t>
      </w:r>
      <w:r w:rsidR="00E014C2" w:rsidRPr="00E41264">
        <w:rPr>
          <w:rFonts w:eastAsia="Times New Roman" w:cs="Times New Roman"/>
          <w:szCs w:val="24"/>
        </w:rPr>
        <w:t>kg CO</w:t>
      </w:r>
      <w:r w:rsidR="00E014C2" w:rsidRPr="00E41264">
        <w:rPr>
          <w:rFonts w:eastAsia="Times New Roman" w:cs="Times New Roman"/>
          <w:szCs w:val="24"/>
          <w:vertAlign w:val="subscript"/>
        </w:rPr>
        <w:t xml:space="preserve">2 </w:t>
      </w:r>
      <w:r w:rsidR="00E014C2" w:rsidRPr="00E41264">
        <w:rPr>
          <w:rFonts w:eastAsia="Times New Roman" w:cs="Times New Roman"/>
          <w:szCs w:val="24"/>
        </w:rPr>
        <w:t>/</w:t>
      </w:r>
      <w:r w:rsidRPr="00E41264">
        <w:rPr>
          <w:rFonts w:eastAsia="Times New Roman" w:cs="Times New Roman"/>
          <w:szCs w:val="24"/>
        </w:rPr>
        <w:t>lb</w:t>
      </w:r>
    </w:p>
    <w:p w:rsidR="003F2BAD" w:rsidRDefault="003F2BAD" w:rsidP="003F2BAD">
      <w:pPr>
        <w:spacing w:line="240" w:lineRule="auto"/>
        <w:rPr>
          <w:rFonts w:eastAsia="Times New Roman" w:cs="Times New Roman"/>
          <w:i/>
          <w:szCs w:val="24"/>
        </w:rPr>
      </w:pPr>
      <w:r w:rsidRPr="00E41264">
        <w:rPr>
          <w:rFonts w:eastAsia="Times New Roman" w:cs="Times New Roman"/>
          <w:i/>
          <w:szCs w:val="24"/>
        </w:rPr>
        <w:t>Calculation Method</w:t>
      </w:r>
    </w:p>
    <w:p w:rsidR="001A08D2" w:rsidRPr="00BE5D2A" w:rsidRDefault="00E44F6A" w:rsidP="00BE5D2A">
      <w:pPr>
        <w:spacing w:line="240" w:lineRule="auto"/>
        <w:ind w:left="720" w:firstLine="720"/>
        <w:rPr>
          <w:rFonts w:eastAsia="Times New Roman" w:cs="Times New Roman"/>
          <w:i/>
          <w:szCs w:val="24"/>
          <w:lang w:val="es-ES"/>
        </w:rPr>
      </w:pPr>
      <m:oMathPara>
        <m:oMathParaPr>
          <m:jc m:val="left"/>
        </m:oMathParaPr>
        <m:oMath>
          <m:d>
            <m:dPr>
              <m:ctrlPr>
                <w:rPr>
                  <w:rFonts w:ascii="Cambria Math" w:eastAsia="Times New Roman" w:hAnsi="Cambria Math" w:cs="Times New Roman"/>
                  <w:i/>
                  <w:szCs w:val="24"/>
                </w:rPr>
              </m:ctrlPr>
            </m:dPr>
            <m:e>
              <m:r>
                <m:rPr>
                  <m:nor/>
                </m:rPr>
                <w:rPr>
                  <w:rFonts w:eastAsia="Times New Roman" w:cs="Times New Roman"/>
                  <w:szCs w:val="24"/>
                  <w:lang w:val="es-ES"/>
                </w:rPr>
                <m:t>365 lb</m:t>
              </m:r>
            </m:e>
          </m:d>
          <m:r>
            <m:rPr>
              <m:nor/>
            </m:rPr>
            <w:rPr>
              <w:rFonts w:eastAsia="Times New Roman" w:cs="Times New Roman"/>
              <w:szCs w:val="24"/>
              <w:lang w:val="es-ES"/>
            </w:rPr>
            <m:t xml:space="preserve"> × </m:t>
          </m:r>
          <m:d>
            <m:dPr>
              <m:ctrlPr>
                <w:rPr>
                  <w:rFonts w:ascii="Cambria Math" w:eastAsia="Times New Roman" w:hAnsi="Cambria Math" w:cs="Times New Roman"/>
                  <w:i/>
                  <w:szCs w:val="24"/>
                </w:rPr>
              </m:ctrlPr>
            </m:dPr>
            <m:e>
              <m:f>
                <m:fPr>
                  <m:ctrlPr>
                    <w:rPr>
                      <w:rFonts w:ascii="Cambria Math" w:eastAsia="Times New Roman" w:hAnsi="Cambria Math" w:cs="Times New Roman"/>
                      <w:i/>
                      <w:szCs w:val="24"/>
                    </w:rPr>
                  </m:ctrlPr>
                </m:fPr>
                <m:num>
                  <m:r>
                    <m:rPr>
                      <m:nor/>
                    </m:rPr>
                    <w:rPr>
                      <w:rFonts w:eastAsia="Times New Roman" w:cs="Times New Roman"/>
                      <w:szCs w:val="24"/>
                      <w:lang w:val="es-ES"/>
                    </w:rPr>
                    <m:t>0.86084 kg C</m:t>
                  </m:r>
                  <m:sSub>
                    <m:sSubPr>
                      <m:ctrlPr>
                        <w:rPr>
                          <w:rFonts w:ascii="Cambria Math" w:eastAsia="Times New Roman" w:hAnsi="Cambria Math" w:cs="Times New Roman"/>
                          <w:i/>
                          <w:szCs w:val="24"/>
                        </w:rPr>
                      </m:ctrlPr>
                    </m:sSubPr>
                    <m:e>
                      <m:r>
                        <m:rPr>
                          <m:nor/>
                        </m:rPr>
                        <w:rPr>
                          <w:rFonts w:eastAsia="Times New Roman" w:cs="Times New Roman"/>
                          <w:szCs w:val="24"/>
                          <w:lang w:val="es-ES"/>
                        </w:rPr>
                        <m:t>O</m:t>
                      </m:r>
                    </m:e>
                    <m:sub>
                      <m:r>
                        <m:rPr>
                          <m:nor/>
                        </m:rPr>
                        <w:rPr>
                          <w:rFonts w:eastAsia="Times New Roman" w:cs="Times New Roman"/>
                          <w:szCs w:val="24"/>
                          <w:lang w:val="es-ES"/>
                        </w:rPr>
                        <m:t>2</m:t>
                      </m:r>
                    </m:sub>
                  </m:sSub>
                </m:num>
                <m:den>
                  <m:r>
                    <m:rPr>
                      <m:nor/>
                    </m:rPr>
                    <w:rPr>
                      <w:rFonts w:eastAsia="Times New Roman" w:cs="Times New Roman"/>
                      <w:szCs w:val="24"/>
                      <w:lang w:val="es-ES"/>
                    </w:rPr>
                    <m:t>1 lb</m:t>
                  </m:r>
                </m:den>
              </m:f>
            </m:e>
          </m:d>
          <m:r>
            <m:rPr>
              <m:nor/>
            </m:rPr>
            <w:rPr>
              <w:rFonts w:ascii="Cambria Math" w:eastAsia="Times New Roman" w:cs="Times New Roman"/>
              <w:szCs w:val="24"/>
              <w:lang w:val="es-ES"/>
            </w:rPr>
            <m:t xml:space="preserve"> </m:t>
          </m:r>
          <m:r>
            <m:rPr>
              <m:nor/>
            </m:rPr>
            <w:rPr>
              <w:rFonts w:eastAsia="Times New Roman" w:cs="Times New Roman"/>
              <w:szCs w:val="24"/>
              <w:lang w:val="es-ES"/>
            </w:rPr>
            <m:t>=</m:t>
          </m:r>
          <m:r>
            <m:rPr>
              <m:nor/>
            </m:rPr>
            <w:rPr>
              <w:rFonts w:ascii="Cambria Math" w:eastAsia="Times New Roman" w:cs="Times New Roman"/>
              <w:szCs w:val="24"/>
              <w:lang w:val="es-ES"/>
            </w:rPr>
            <m:t xml:space="preserve"> </m:t>
          </m:r>
          <m:r>
            <m:rPr>
              <m:nor/>
            </m:rPr>
            <w:rPr>
              <w:rFonts w:eastAsia="Times New Roman" w:cs="Times New Roman"/>
              <w:szCs w:val="24"/>
              <w:lang w:val="es-ES"/>
            </w:rPr>
            <m:t>314.21 kg C</m:t>
          </m:r>
          <m:sSub>
            <m:sSubPr>
              <m:ctrlPr>
                <w:rPr>
                  <w:rFonts w:ascii="Cambria Math" w:eastAsia="Times New Roman" w:hAnsi="Cambria Math" w:cs="Times New Roman"/>
                  <w:i/>
                  <w:szCs w:val="24"/>
                </w:rPr>
              </m:ctrlPr>
            </m:sSubPr>
            <m:e>
              <m:r>
                <m:rPr>
                  <m:nor/>
                </m:rPr>
                <w:rPr>
                  <w:rFonts w:eastAsia="Times New Roman" w:cs="Times New Roman"/>
                  <w:szCs w:val="24"/>
                  <w:lang w:val="es-ES"/>
                </w:rPr>
                <m:t>O</m:t>
              </m:r>
            </m:e>
            <m:sub>
              <m:r>
                <m:rPr>
                  <m:nor/>
                </m:rPr>
                <w:rPr>
                  <w:rFonts w:eastAsia="Times New Roman" w:cs="Times New Roman"/>
                  <w:szCs w:val="24"/>
                  <w:lang w:val="es-ES"/>
                </w:rPr>
                <m:t>2</m:t>
              </m:r>
            </m:sub>
          </m:sSub>
        </m:oMath>
      </m:oMathPara>
    </w:p>
    <w:p w:rsidR="00E014C2" w:rsidRDefault="00E014C2">
      <w:pPr>
        <w:rPr>
          <w:rFonts w:eastAsia="Arial" w:cs="Arial"/>
          <w:b/>
          <w:color w:val="C00000"/>
          <w:sz w:val="32"/>
        </w:rPr>
      </w:pPr>
      <w:r>
        <w:br w:type="page"/>
      </w:r>
    </w:p>
    <w:p w:rsidR="003F2BAD" w:rsidRPr="00E41264" w:rsidRDefault="003F2BAD" w:rsidP="003F2BAD">
      <w:pPr>
        <w:pStyle w:val="Heading1"/>
      </w:pPr>
      <w:bookmarkStart w:id="9" w:name="_Toc35933045"/>
      <w:r w:rsidRPr="00E41264">
        <w:lastRenderedPageBreak/>
        <w:t>Scope 2 Emissions Inventory</w:t>
      </w:r>
      <w:bookmarkEnd w:id="9"/>
    </w:p>
    <w:p w:rsidR="003F2BAD" w:rsidRPr="00E41264" w:rsidRDefault="003F2BAD" w:rsidP="003F2BAD"/>
    <w:p w:rsidR="003F2BAD" w:rsidRPr="00E41264" w:rsidRDefault="003F2BAD" w:rsidP="003F2BAD">
      <w:pPr>
        <w:spacing w:line="240" w:lineRule="auto"/>
        <w:rPr>
          <w:rFonts w:eastAsia="Times New Roman" w:cs="Times New Roman"/>
          <w:b/>
          <w:szCs w:val="24"/>
        </w:rPr>
      </w:pPr>
      <w:r w:rsidRPr="00E41264">
        <w:rPr>
          <w:rFonts w:eastAsia="Times New Roman" w:cs="Times New Roman"/>
          <w:b/>
          <w:szCs w:val="24"/>
        </w:rPr>
        <w:t>Purchased Electricity</w:t>
      </w:r>
    </w:p>
    <w:p w:rsidR="003F2BAD" w:rsidRPr="00E41264" w:rsidRDefault="003F2BAD" w:rsidP="003F2BAD">
      <w:pPr>
        <w:spacing w:line="240" w:lineRule="auto"/>
        <w:rPr>
          <w:rFonts w:eastAsia="Times New Roman" w:cs="Times New Roman"/>
          <w:szCs w:val="24"/>
        </w:rPr>
      </w:pPr>
      <w:r w:rsidRPr="00E41264">
        <w:rPr>
          <w:rFonts w:eastAsia="Times New Roman" w:cs="Times New Roman"/>
          <w:szCs w:val="24"/>
        </w:rPr>
        <w:t>Emissions related to purchased electricity are calculated with respect to how much kWh the campus consumes. Florida Institute of Technology acquires their electricity from Florida Power and Light (FPL), more specifically the Cape Canaveral Plant, which runs on Natural Gas</w:t>
      </w:r>
      <w:r w:rsidR="000614CC">
        <w:rPr>
          <w:rStyle w:val="FootnoteReference"/>
          <w:rFonts w:eastAsia="Times New Roman" w:cs="Times New Roman"/>
          <w:szCs w:val="24"/>
        </w:rPr>
        <w:footnoteReference w:id="9"/>
      </w:r>
      <w:r w:rsidRPr="00E41264">
        <w:rPr>
          <w:rFonts w:eastAsia="Times New Roman" w:cs="Times New Roman"/>
          <w:szCs w:val="24"/>
        </w:rPr>
        <w:t xml:space="preserve">. </w:t>
      </w:r>
    </w:p>
    <w:p w:rsidR="003F2BAD" w:rsidRPr="00E41264" w:rsidRDefault="003F2BAD" w:rsidP="003F2BAD">
      <w:pPr>
        <w:spacing w:line="240" w:lineRule="auto"/>
        <w:rPr>
          <w:rFonts w:eastAsia="Times New Roman" w:cs="Times New Roman"/>
          <w:szCs w:val="24"/>
        </w:rPr>
      </w:pPr>
    </w:p>
    <w:p w:rsidR="003F2BAD" w:rsidRPr="00E41264" w:rsidRDefault="003F2BAD" w:rsidP="00FF5505">
      <w:pPr>
        <w:spacing w:line="240" w:lineRule="auto"/>
        <w:rPr>
          <w:rFonts w:eastAsia="Times New Roman" w:cs="Times New Roman"/>
          <w:i/>
          <w:szCs w:val="24"/>
        </w:rPr>
      </w:pPr>
      <w:r w:rsidRPr="00E41264">
        <w:rPr>
          <w:rFonts w:eastAsia="Times New Roman" w:cs="Times New Roman"/>
          <w:i/>
          <w:szCs w:val="24"/>
        </w:rPr>
        <w:t xml:space="preserve">Conversion Factors </w:t>
      </w:r>
    </w:p>
    <w:p w:rsidR="003F2BAD" w:rsidRPr="00E41264" w:rsidRDefault="00FF5505" w:rsidP="003F2BAD">
      <w:pPr>
        <w:spacing w:line="240" w:lineRule="auto"/>
        <w:rPr>
          <w:rFonts w:eastAsia="Times New Roman" w:cs="Times New Roman"/>
          <w:szCs w:val="24"/>
        </w:rPr>
      </w:pPr>
      <w:r w:rsidRPr="00E41264">
        <w:rPr>
          <w:rFonts w:eastAsia="Times New Roman" w:cs="Times New Roman"/>
          <w:szCs w:val="24"/>
        </w:rPr>
        <w:tab/>
        <w:t>CO</w:t>
      </w:r>
      <w:r w:rsidRPr="00E41264">
        <w:rPr>
          <w:rFonts w:eastAsia="Times New Roman" w:cs="Times New Roman"/>
          <w:szCs w:val="24"/>
          <w:vertAlign w:val="subscript"/>
        </w:rPr>
        <w:t>2</w:t>
      </w:r>
      <w:r w:rsidRPr="00E41264">
        <w:rPr>
          <w:rFonts w:eastAsia="Times New Roman" w:cs="Times New Roman"/>
          <w:szCs w:val="24"/>
        </w:rPr>
        <w:t xml:space="preserve"> </w:t>
      </w:r>
      <w:r w:rsidRPr="00E41264">
        <w:rPr>
          <w:rFonts w:eastAsia="Times New Roman" w:cs="Times New Roman"/>
          <w:szCs w:val="24"/>
        </w:rPr>
        <w:tab/>
      </w:r>
      <w:r w:rsidRPr="00E41264">
        <w:rPr>
          <w:rFonts w:eastAsia="Times New Roman" w:cs="Times New Roman"/>
          <w:szCs w:val="24"/>
        </w:rPr>
        <w:tab/>
      </w:r>
      <w:r w:rsidRPr="00E41264">
        <w:rPr>
          <w:rFonts w:eastAsia="Times New Roman" w:cs="Times New Roman"/>
          <w:szCs w:val="24"/>
        </w:rPr>
        <w:tab/>
        <w:t>0.</w:t>
      </w:r>
      <w:r w:rsidR="00E422C5">
        <w:rPr>
          <w:rFonts w:eastAsia="Times New Roman" w:cs="Times New Roman"/>
          <w:szCs w:val="24"/>
        </w:rPr>
        <w:t>49956</w:t>
      </w:r>
      <w:r w:rsidRPr="00E41264">
        <w:rPr>
          <w:rFonts w:eastAsia="Times New Roman" w:cs="Times New Roman"/>
          <w:szCs w:val="24"/>
        </w:rPr>
        <w:t xml:space="preserve"> kg CO</w:t>
      </w:r>
      <w:r w:rsidRPr="00E41264">
        <w:rPr>
          <w:rFonts w:eastAsia="Times New Roman" w:cs="Times New Roman"/>
          <w:szCs w:val="24"/>
          <w:vertAlign w:val="subscript"/>
        </w:rPr>
        <w:t xml:space="preserve">2 </w:t>
      </w:r>
      <w:r w:rsidRPr="00E41264">
        <w:rPr>
          <w:rFonts w:eastAsia="Times New Roman" w:cs="Times New Roman"/>
          <w:szCs w:val="24"/>
        </w:rPr>
        <w:t>/kWh</w:t>
      </w:r>
    </w:p>
    <w:p w:rsidR="003F2BAD" w:rsidRDefault="003F2BAD" w:rsidP="003F2BAD">
      <w:pPr>
        <w:spacing w:line="240" w:lineRule="auto"/>
        <w:rPr>
          <w:rFonts w:eastAsia="Times New Roman" w:cs="Times New Roman"/>
          <w:i/>
          <w:szCs w:val="24"/>
        </w:rPr>
      </w:pPr>
      <w:r w:rsidRPr="00E41264">
        <w:rPr>
          <w:rFonts w:eastAsia="Times New Roman" w:cs="Times New Roman"/>
          <w:i/>
          <w:szCs w:val="24"/>
        </w:rPr>
        <w:t>Calculation Method</w:t>
      </w:r>
    </w:p>
    <w:p w:rsidR="00BE5D2A" w:rsidRPr="0008462E" w:rsidRDefault="00E44F6A" w:rsidP="00C82B48">
      <w:pPr>
        <w:spacing w:line="240" w:lineRule="auto"/>
        <w:ind w:left="720" w:firstLine="720"/>
        <w:rPr>
          <w:rFonts w:eastAsia="Times New Roman" w:cs="Times New Roman"/>
          <w:i/>
          <w:szCs w:val="24"/>
          <w:lang w:val="es-ES"/>
        </w:rPr>
      </w:pPr>
      <m:oMathPara>
        <m:oMathParaPr>
          <m:jc m:val="left"/>
        </m:oMathParaPr>
        <m:oMath>
          <m:d>
            <m:dPr>
              <m:ctrlPr>
                <w:rPr>
                  <w:rFonts w:ascii="Cambria Math" w:eastAsia="Times New Roman" w:hAnsi="Cambria Math" w:cs="Times New Roman"/>
                  <w:i/>
                  <w:szCs w:val="24"/>
                </w:rPr>
              </m:ctrlPr>
            </m:dPr>
            <m:e>
              <m:r>
                <m:rPr>
                  <m:nor/>
                </m:rPr>
                <w:rPr>
                  <w:rFonts w:eastAsia="Times New Roman" w:cs="Times New Roman"/>
                  <w:szCs w:val="24"/>
                  <w:lang w:val="es-ES"/>
                </w:rPr>
                <m:t>28,012,030 kWh</m:t>
              </m:r>
            </m:e>
          </m:d>
          <m:r>
            <m:rPr>
              <m:nor/>
            </m:rPr>
            <w:rPr>
              <w:rFonts w:eastAsia="Times New Roman" w:cs="Times New Roman"/>
              <w:szCs w:val="24"/>
              <w:lang w:val="es-ES"/>
            </w:rPr>
            <m:t xml:space="preserve"> × </m:t>
          </m:r>
          <m:d>
            <m:dPr>
              <m:ctrlPr>
                <w:rPr>
                  <w:rFonts w:ascii="Cambria Math" w:eastAsia="Times New Roman" w:hAnsi="Cambria Math" w:cs="Times New Roman"/>
                  <w:i/>
                  <w:szCs w:val="24"/>
                </w:rPr>
              </m:ctrlPr>
            </m:dPr>
            <m:e>
              <m:f>
                <m:fPr>
                  <m:ctrlPr>
                    <w:rPr>
                      <w:rFonts w:ascii="Cambria Math" w:eastAsia="Times New Roman" w:hAnsi="Cambria Math" w:cs="Times New Roman"/>
                      <w:i/>
                      <w:szCs w:val="24"/>
                    </w:rPr>
                  </m:ctrlPr>
                </m:fPr>
                <m:num>
                  <m:r>
                    <m:rPr>
                      <m:nor/>
                    </m:rPr>
                    <w:rPr>
                      <w:rFonts w:eastAsia="Times New Roman" w:cs="Times New Roman"/>
                      <w:szCs w:val="24"/>
                      <w:lang w:val="es-ES"/>
                    </w:rPr>
                    <m:t>499.56 g C</m:t>
                  </m:r>
                  <m:sSub>
                    <m:sSubPr>
                      <m:ctrlPr>
                        <w:rPr>
                          <w:rFonts w:ascii="Cambria Math" w:eastAsia="Times New Roman" w:hAnsi="Cambria Math" w:cs="Times New Roman"/>
                          <w:i/>
                          <w:szCs w:val="24"/>
                        </w:rPr>
                      </m:ctrlPr>
                    </m:sSubPr>
                    <m:e>
                      <m:r>
                        <m:rPr>
                          <m:nor/>
                        </m:rPr>
                        <w:rPr>
                          <w:rFonts w:eastAsia="Times New Roman" w:cs="Times New Roman"/>
                          <w:szCs w:val="24"/>
                          <w:lang w:val="es-ES"/>
                        </w:rPr>
                        <m:t>O</m:t>
                      </m:r>
                    </m:e>
                    <m:sub>
                      <m:r>
                        <m:rPr>
                          <m:nor/>
                        </m:rPr>
                        <w:rPr>
                          <w:rFonts w:eastAsia="Times New Roman" w:cs="Times New Roman"/>
                          <w:szCs w:val="24"/>
                          <w:lang w:val="es-ES"/>
                        </w:rPr>
                        <m:t>2</m:t>
                      </m:r>
                    </m:sub>
                  </m:sSub>
                </m:num>
                <m:den>
                  <m:r>
                    <m:rPr>
                      <m:nor/>
                    </m:rPr>
                    <w:rPr>
                      <w:rFonts w:eastAsia="Times New Roman" w:cs="Times New Roman"/>
                      <w:szCs w:val="24"/>
                      <w:lang w:val="es-ES"/>
                    </w:rPr>
                    <m:t>1 kWh</m:t>
                  </m:r>
                </m:den>
              </m:f>
            </m:e>
          </m:d>
          <m:r>
            <m:rPr>
              <m:nor/>
            </m:rPr>
            <w:rPr>
              <w:rFonts w:eastAsia="Times New Roman" w:cs="Times New Roman"/>
              <w:szCs w:val="24"/>
              <w:lang w:val="es-ES"/>
            </w:rPr>
            <m:t xml:space="preserve"> × </m:t>
          </m:r>
          <m:d>
            <m:dPr>
              <m:ctrlPr>
                <w:rPr>
                  <w:rFonts w:ascii="Cambria Math" w:eastAsia="Times New Roman" w:hAnsi="Cambria Math" w:cs="Times New Roman"/>
                  <w:i/>
                  <w:szCs w:val="24"/>
                </w:rPr>
              </m:ctrlPr>
            </m:dPr>
            <m:e>
              <m:f>
                <m:fPr>
                  <m:ctrlPr>
                    <w:rPr>
                      <w:rFonts w:ascii="Cambria Math" w:eastAsia="Times New Roman" w:hAnsi="Cambria Math" w:cs="Times New Roman"/>
                      <w:i/>
                      <w:szCs w:val="24"/>
                    </w:rPr>
                  </m:ctrlPr>
                </m:fPr>
                <m:num>
                  <m:r>
                    <m:rPr>
                      <m:nor/>
                    </m:rPr>
                    <w:rPr>
                      <w:rFonts w:eastAsia="Times New Roman" w:cs="Times New Roman"/>
                      <w:szCs w:val="24"/>
                      <w:lang w:val="es-ES"/>
                    </w:rPr>
                    <m:t>1</m:t>
                  </m:r>
                </m:num>
                <m:den>
                  <m:r>
                    <m:rPr>
                      <m:nor/>
                    </m:rPr>
                    <w:rPr>
                      <w:rFonts w:eastAsia="Times New Roman" w:cs="Times New Roman"/>
                      <w:szCs w:val="24"/>
                      <w:lang w:val="es-ES"/>
                    </w:rPr>
                    <m:t xml:space="preserve">1,000,000 </m:t>
                  </m:r>
                  <m:f>
                    <m:fPr>
                      <m:type m:val="skw"/>
                      <m:ctrlPr>
                        <w:rPr>
                          <w:rFonts w:ascii="Cambria Math" w:eastAsia="Times New Roman" w:hAnsi="Cambria Math" w:cs="Times New Roman"/>
                          <w:i/>
                          <w:szCs w:val="24"/>
                        </w:rPr>
                      </m:ctrlPr>
                    </m:fPr>
                    <m:num>
                      <m:r>
                        <m:rPr>
                          <m:nor/>
                        </m:rPr>
                        <w:rPr>
                          <w:rFonts w:eastAsia="Times New Roman" w:cs="Times New Roman"/>
                          <w:szCs w:val="24"/>
                          <w:lang w:val="es-ES"/>
                        </w:rPr>
                        <m:t>g</m:t>
                      </m:r>
                    </m:num>
                    <m:den>
                      <m:r>
                        <m:rPr>
                          <m:nor/>
                        </m:rPr>
                        <w:rPr>
                          <w:rFonts w:eastAsia="Times New Roman" w:cs="Times New Roman"/>
                          <w:szCs w:val="24"/>
                          <w:lang w:val="es-ES"/>
                        </w:rPr>
                        <m:t>eMT</m:t>
                      </m:r>
                    </m:den>
                  </m:f>
                </m:den>
              </m:f>
            </m:e>
          </m:d>
          <m:r>
            <m:rPr>
              <m:nor/>
            </m:rPr>
            <w:rPr>
              <w:rFonts w:eastAsia="Times New Roman" w:cs="Times New Roman"/>
              <w:szCs w:val="24"/>
              <w:lang w:val="es-ES"/>
            </w:rPr>
            <m:t xml:space="preserve"> = 13,993.88 eMT C</m:t>
          </m:r>
          <m:sSub>
            <m:sSubPr>
              <m:ctrlPr>
                <w:rPr>
                  <w:rFonts w:ascii="Cambria Math" w:eastAsia="Times New Roman" w:hAnsi="Cambria Math" w:cs="Times New Roman"/>
                  <w:i/>
                  <w:szCs w:val="24"/>
                </w:rPr>
              </m:ctrlPr>
            </m:sSubPr>
            <m:e>
              <m:r>
                <m:rPr>
                  <m:nor/>
                </m:rPr>
                <w:rPr>
                  <w:rFonts w:eastAsia="Times New Roman" w:cs="Times New Roman"/>
                  <w:szCs w:val="24"/>
                  <w:lang w:val="es-ES"/>
                </w:rPr>
                <m:t>O</m:t>
              </m:r>
            </m:e>
            <m:sub>
              <m:r>
                <m:rPr>
                  <m:nor/>
                </m:rPr>
                <w:rPr>
                  <w:rFonts w:eastAsia="Times New Roman" w:cs="Times New Roman"/>
                  <w:szCs w:val="24"/>
                  <w:lang w:val="es-ES"/>
                </w:rPr>
                <m:t>2</m:t>
              </m:r>
            </m:sub>
          </m:sSub>
        </m:oMath>
      </m:oMathPara>
    </w:p>
    <w:p w:rsidR="00C55FC3" w:rsidRPr="0008462E" w:rsidRDefault="00C55FC3" w:rsidP="003F2BAD">
      <w:pPr>
        <w:rPr>
          <w:lang w:val="es-ES"/>
        </w:rPr>
      </w:pPr>
    </w:p>
    <w:p w:rsidR="003F2BAD" w:rsidRPr="00E41264" w:rsidRDefault="00D41F08" w:rsidP="003F2BAD">
      <w:pPr>
        <w:rPr>
          <w:b/>
        </w:rPr>
      </w:pPr>
      <w:r w:rsidRPr="00E41264">
        <w:rPr>
          <w:b/>
        </w:rPr>
        <w:t>Generated Alternative Energy – Solar Production</w:t>
      </w:r>
    </w:p>
    <w:p w:rsidR="00FF5505" w:rsidRPr="00E41264" w:rsidRDefault="00FF5505" w:rsidP="00FF5505">
      <w:pPr>
        <w:spacing w:line="240" w:lineRule="auto"/>
        <w:rPr>
          <w:rFonts w:eastAsia="Times New Roman" w:cs="Times New Roman"/>
          <w:szCs w:val="24"/>
        </w:rPr>
      </w:pPr>
      <w:r w:rsidRPr="00E41264">
        <w:rPr>
          <w:rFonts w:eastAsia="Times New Roman" w:cs="Times New Roman"/>
          <w:szCs w:val="24"/>
        </w:rPr>
        <w:t>Emissions related to sold alternative-produced electricity are calculated with respect to how much kWh the campus produces and returns to the grid. Florida Institute of Technology produces solar energy utilizing two arrays: a small array on the Facilities Transportation Depot and a larger o</w:t>
      </w:r>
      <w:r w:rsidR="008B7CBC">
        <w:rPr>
          <w:rFonts w:eastAsia="Times New Roman" w:cs="Times New Roman"/>
          <w:szCs w:val="24"/>
        </w:rPr>
        <w:t>n the Olin Engineering Complex r</w:t>
      </w:r>
      <w:r w:rsidRPr="00E41264">
        <w:rPr>
          <w:rFonts w:eastAsia="Times New Roman" w:cs="Times New Roman"/>
          <w:szCs w:val="24"/>
        </w:rPr>
        <w:t xml:space="preserve">oof. The </w:t>
      </w:r>
      <w:r w:rsidR="00C407C1" w:rsidRPr="00E41264">
        <w:rPr>
          <w:rFonts w:eastAsia="Times New Roman" w:cs="Times New Roman"/>
          <w:szCs w:val="24"/>
        </w:rPr>
        <w:t xml:space="preserve">annual </w:t>
      </w:r>
      <w:r w:rsidRPr="00E41264">
        <w:rPr>
          <w:rFonts w:eastAsia="Times New Roman" w:cs="Times New Roman"/>
          <w:szCs w:val="24"/>
        </w:rPr>
        <w:t xml:space="preserve">capacity of each array are </w:t>
      </w:r>
      <w:r w:rsidR="00C407C1" w:rsidRPr="00E41264">
        <w:rPr>
          <w:rFonts w:eastAsia="Times New Roman" w:cs="Times New Roman"/>
          <w:szCs w:val="24"/>
        </w:rPr>
        <w:t>14,773</w:t>
      </w:r>
      <w:r w:rsidRPr="00E41264">
        <w:rPr>
          <w:rFonts w:eastAsia="Times New Roman" w:cs="Times New Roman"/>
          <w:szCs w:val="24"/>
        </w:rPr>
        <w:t xml:space="preserve"> and </w:t>
      </w:r>
      <w:r w:rsidR="00C407C1" w:rsidRPr="00E41264">
        <w:rPr>
          <w:rFonts w:eastAsia="Times New Roman" w:cs="Times New Roman"/>
          <w:szCs w:val="24"/>
        </w:rPr>
        <w:t>16,782 kWh</w:t>
      </w:r>
      <w:r w:rsidRPr="00E41264">
        <w:rPr>
          <w:rFonts w:eastAsia="Times New Roman" w:cs="Times New Roman"/>
          <w:szCs w:val="24"/>
        </w:rPr>
        <w:t xml:space="preserve"> respectively. Data on the Average production of the panels utilizing weather, location, and historical trends was calculated using PVWatts Calculator from the National Renewable Energy Laboratory</w:t>
      </w:r>
      <w:r w:rsidR="000614CC">
        <w:rPr>
          <w:rStyle w:val="FootnoteReference"/>
          <w:rFonts w:eastAsia="Times New Roman" w:cs="Times New Roman"/>
          <w:szCs w:val="24"/>
        </w:rPr>
        <w:footnoteReference w:id="10"/>
      </w:r>
      <w:r w:rsidRPr="00E41264">
        <w:rPr>
          <w:rFonts w:eastAsia="Times New Roman" w:cs="Times New Roman"/>
          <w:szCs w:val="24"/>
        </w:rPr>
        <w:t xml:space="preserve">. </w:t>
      </w:r>
    </w:p>
    <w:p w:rsidR="00FF5505" w:rsidRPr="00E41264" w:rsidRDefault="00FF5505" w:rsidP="00FF5505">
      <w:pPr>
        <w:spacing w:line="240" w:lineRule="auto"/>
        <w:rPr>
          <w:rFonts w:eastAsia="Times New Roman" w:cs="Times New Roman"/>
          <w:szCs w:val="24"/>
        </w:rPr>
      </w:pPr>
    </w:p>
    <w:p w:rsidR="00FF5505" w:rsidRPr="00E41264" w:rsidRDefault="00FF5505" w:rsidP="00FF5505">
      <w:pPr>
        <w:spacing w:line="240" w:lineRule="auto"/>
        <w:rPr>
          <w:rFonts w:eastAsia="Times New Roman" w:cs="Times New Roman"/>
          <w:i/>
          <w:szCs w:val="24"/>
        </w:rPr>
      </w:pPr>
      <w:r w:rsidRPr="00E41264">
        <w:rPr>
          <w:rFonts w:eastAsia="Times New Roman" w:cs="Times New Roman"/>
          <w:i/>
          <w:szCs w:val="24"/>
        </w:rPr>
        <w:t xml:space="preserve">Conversion Factors </w:t>
      </w:r>
    </w:p>
    <w:p w:rsidR="00FF5505" w:rsidRPr="00E41264" w:rsidRDefault="00FF5505" w:rsidP="00FF5505">
      <w:pPr>
        <w:spacing w:line="240" w:lineRule="auto"/>
        <w:rPr>
          <w:rFonts w:eastAsia="Times New Roman" w:cs="Times New Roman"/>
          <w:szCs w:val="24"/>
        </w:rPr>
      </w:pPr>
      <w:r w:rsidRPr="00E41264">
        <w:rPr>
          <w:rFonts w:eastAsia="Times New Roman" w:cs="Times New Roman"/>
          <w:szCs w:val="24"/>
        </w:rPr>
        <w:tab/>
        <w:t>CO</w:t>
      </w:r>
      <w:r w:rsidRPr="00E41264">
        <w:rPr>
          <w:rFonts w:eastAsia="Times New Roman" w:cs="Times New Roman"/>
          <w:szCs w:val="24"/>
          <w:vertAlign w:val="subscript"/>
        </w:rPr>
        <w:t>2</w:t>
      </w:r>
      <w:r w:rsidRPr="00E41264">
        <w:rPr>
          <w:rFonts w:eastAsia="Times New Roman" w:cs="Times New Roman"/>
          <w:szCs w:val="24"/>
        </w:rPr>
        <w:t xml:space="preserve"> </w:t>
      </w:r>
      <w:r w:rsidRPr="00E41264">
        <w:rPr>
          <w:rFonts w:eastAsia="Times New Roman" w:cs="Times New Roman"/>
          <w:szCs w:val="24"/>
        </w:rPr>
        <w:tab/>
      </w:r>
      <w:r w:rsidRPr="00E41264">
        <w:rPr>
          <w:rFonts w:eastAsia="Times New Roman" w:cs="Times New Roman"/>
          <w:szCs w:val="24"/>
        </w:rPr>
        <w:tab/>
      </w:r>
      <w:r w:rsidRPr="00E41264">
        <w:rPr>
          <w:rFonts w:eastAsia="Times New Roman" w:cs="Times New Roman"/>
          <w:szCs w:val="24"/>
        </w:rPr>
        <w:tab/>
        <w:t>0.</w:t>
      </w:r>
      <w:r w:rsidR="00E422C5">
        <w:rPr>
          <w:rFonts w:eastAsia="Times New Roman" w:cs="Times New Roman"/>
          <w:szCs w:val="24"/>
        </w:rPr>
        <w:t>49956</w:t>
      </w:r>
      <w:r w:rsidRPr="00E41264">
        <w:rPr>
          <w:rFonts w:eastAsia="Times New Roman" w:cs="Times New Roman"/>
          <w:szCs w:val="24"/>
        </w:rPr>
        <w:t xml:space="preserve"> kg CO</w:t>
      </w:r>
      <w:r w:rsidRPr="00E41264">
        <w:rPr>
          <w:rFonts w:eastAsia="Times New Roman" w:cs="Times New Roman"/>
          <w:szCs w:val="24"/>
          <w:vertAlign w:val="subscript"/>
        </w:rPr>
        <w:t xml:space="preserve">2 </w:t>
      </w:r>
      <w:r w:rsidRPr="00E41264">
        <w:rPr>
          <w:rFonts w:eastAsia="Times New Roman" w:cs="Times New Roman"/>
          <w:szCs w:val="24"/>
        </w:rPr>
        <w:t>/kWh</w:t>
      </w:r>
    </w:p>
    <w:p w:rsidR="00FF5505" w:rsidRDefault="00FF5505" w:rsidP="00FF5505">
      <w:pPr>
        <w:spacing w:line="240" w:lineRule="auto"/>
        <w:rPr>
          <w:rFonts w:eastAsia="Times New Roman" w:cs="Times New Roman"/>
          <w:i/>
          <w:szCs w:val="24"/>
        </w:rPr>
      </w:pPr>
      <w:r w:rsidRPr="00E41264">
        <w:rPr>
          <w:rFonts w:eastAsia="Times New Roman" w:cs="Times New Roman"/>
          <w:i/>
          <w:szCs w:val="24"/>
        </w:rPr>
        <w:t>Calculation Method</w:t>
      </w:r>
    </w:p>
    <w:p w:rsidR="00B8784B" w:rsidRPr="0008462E" w:rsidRDefault="00E44F6A" w:rsidP="0008462E">
      <w:pPr>
        <w:spacing w:line="240" w:lineRule="auto"/>
        <w:ind w:left="720" w:firstLine="720"/>
        <w:rPr>
          <w:rFonts w:eastAsia="Times New Roman" w:cs="Times New Roman"/>
          <w:i/>
          <w:szCs w:val="24"/>
          <w:lang w:val="es-ES"/>
        </w:rPr>
      </w:pPr>
      <m:oMathPara>
        <m:oMathParaPr>
          <m:jc m:val="left"/>
        </m:oMathParaPr>
        <m:oMath>
          <m:d>
            <m:dPr>
              <m:ctrlPr>
                <w:rPr>
                  <w:rFonts w:ascii="Cambria Math" w:eastAsia="Times New Roman" w:hAnsi="Cambria Math" w:cs="Times New Roman"/>
                  <w:i/>
                  <w:szCs w:val="24"/>
                </w:rPr>
              </m:ctrlPr>
            </m:dPr>
            <m:e>
              <m:r>
                <m:rPr>
                  <m:nor/>
                </m:rPr>
                <w:rPr>
                  <w:rFonts w:eastAsia="Times New Roman" w:cs="Times New Roman"/>
                  <w:szCs w:val="24"/>
                  <w:lang w:val="es-ES"/>
                </w:rPr>
                <m:t>-31,555 kWh</m:t>
              </m:r>
            </m:e>
          </m:d>
          <m:r>
            <m:rPr>
              <m:nor/>
            </m:rPr>
            <w:rPr>
              <w:rFonts w:eastAsia="Times New Roman" w:cs="Times New Roman"/>
              <w:szCs w:val="24"/>
              <w:lang w:val="es-ES"/>
            </w:rPr>
            <m:t xml:space="preserve"> ×</m:t>
          </m:r>
          <m:r>
            <w:rPr>
              <w:rFonts w:ascii="Cambria Math" w:eastAsia="Times New Roman" w:hAnsi="Cambria Math" w:cs="Times New Roman"/>
              <w:szCs w:val="24"/>
              <w:lang w:val="es-ES"/>
            </w:rPr>
            <m:t xml:space="preserve"> </m:t>
          </m:r>
          <m:d>
            <m:dPr>
              <m:ctrlPr>
                <w:rPr>
                  <w:rFonts w:ascii="Cambria Math" w:eastAsia="Times New Roman" w:hAnsi="Cambria Math" w:cs="Times New Roman"/>
                  <w:i/>
                  <w:szCs w:val="24"/>
                </w:rPr>
              </m:ctrlPr>
            </m:dPr>
            <m:e>
              <m:f>
                <m:fPr>
                  <m:ctrlPr>
                    <w:rPr>
                      <w:rFonts w:ascii="Cambria Math" w:eastAsia="Times New Roman" w:hAnsi="Cambria Math" w:cs="Times New Roman"/>
                      <w:i/>
                      <w:szCs w:val="24"/>
                    </w:rPr>
                  </m:ctrlPr>
                </m:fPr>
                <m:num>
                  <m:r>
                    <m:rPr>
                      <m:nor/>
                    </m:rPr>
                    <w:rPr>
                      <w:rFonts w:eastAsia="Times New Roman" w:cs="Times New Roman"/>
                      <w:szCs w:val="24"/>
                      <w:lang w:val="es-ES"/>
                    </w:rPr>
                    <m:t>499.56 C</m:t>
                  </m:r>
                  <m:sSub>
                    <m:sSubPr>
                      <m:ctrlPr>
                        <w:rPr>
                          <w:rFonts w:ascii="Cambria Math" w:eastAsia="Times New Roman" w:hAnsi="Cambria Math" w:cs="Times New Roman"/>
                          <w:i/>
                          <w:szCs w:val="24"/>
                        </w:rPr>
                      </m:ctrlPr>
                    </m:sSubPr>
                    <m:e>
                      <m:r>
                        <m:rPr>
                          <m:nor/>
                        </m:rPr>
                        <w:rPr>
                          <w:rFonts w:eastAsia="Times New Roman" w:cs="Times New Roman"/>
                          <w:szCs w:val="24"/>
                          <w:lang w:val="es-ES"/>
                        </w:rPr>
                        <m:t>O</m:t>
                      </m:r>
                    </m:e>
                    <m:sub>
                      <m:r>
                        <m:rPr>
                          <m:nor/>
                        </m:rPr>
                        <w:rPr>
                          <w:rFonts w:eastAsia="Times New Roman" w:cs="Times New Roman"/>
                          <w:szCs w:val="24"/>
                          <w:lang w:val="es-ES"/>
                        </w:rPr>
                        <m:t>2</m:t>
                      </m:r>
                    </m:sub>
                  </m:sSub>
                </m:num>
                <m:den>
                  <m:r>
                    <m:rPr>
                      <m:nor/>
                    </m:rPr>
                    <w:rPr>
                      <w:rFonts w:eastAsia="Times New Roman" w:cs="Times New Roman"/>
                      <w:szCs w:val="24"/>
                      <w:lang w:val="es-ES"/>
                    </w:rPr>
                    <m:t>1 kWh</m:t>
                  </m:r>
                </m:den>
              </m:f>
            </m:e>
          </m:d>
          <m:r>
            <m:rPr>
              <m:nor/>
            </m:rPr>
            <w:rPr>
              <w:rFonts w:eastAsia="Times New Roman" w:cs="Times New Roman"/>
              <w:szCs w:val="24"/>
              <w:lang w:val="es-ES"/>
            </w:rPr>
            <m:t xml:space="preserve"> ×</m:t>
          </m:r>
          <m:r>
            <w:rPr>
              <w:rFonts w:ascii="Cambria Math" w:eastAsia="Times New Roman" w:hAnsi="Cambria Math" w:cs="Times New Roman"/>
              <w:szCs w:val="24"/>
              <w:lang w:val="es-ES"/>
            </w:rPr>
            <m:t xml:space="preserve"> </m:t>
          </m:r>
          <m:d>
            <m:dPr>
              <m:ctrlPr>
                <w:rPr>
                  <w:rFonts w:ascii="Cambria Math" w:eastAsia="Times New Roman" w:hAnsi="Cambria Math" w:cs="Times New Roman"/>
                  <w:i/>
                  <w:szCs w:val="24"/>
                </w:rPr>
              </m:ctrlPr>
            </m:dPr>
            <m:e>
              <m:f>
                <m:fPr>
                  <m:ctrlPr>
                    <w:rPr>
                      <w:rFonts w:ascii="Cambria Math" w:eastAsia="Times New Roman" w:hAnsi="Cambria Math" w:cs="Times New Roman"/>
                      <w:i/>
                      <w:szCs w:val="24"/>
                    </w:rPr>
                  </m:ctrlPr>
                </m:fPr>
                <m:num>
                  <m:r>
                    <m:rPr>
                      <m:nor/>
                    </m:rPr>
                    <w:rPr>
                      <w:rFonts w:eastAsia="Times New Roman" w:cs="Times New Roman"/>
                      <w:szCs w:val="24"/>
                      <w:lang w:val="es-ES"/>
                    </w:rPr>
                    <m:t>1</m:t>
                  </m:r>
                </m:num>
                <m:den>
                  <m:r>
                    <m:rPr>
                      <m:nor/>
                    </m:rPr>
                    <w:rPr>
                      <w:rFonts w:eastAsia="Times New Roman" w:cs="Times New Roman"/>
                      <w:szCs w:val="24"/>
                      <w:lang w:val="es-ES"/>
                    </w:rPr>
                    <m:t>1,000,000</m:t>
                  </m:r>
                  <m:r>
                    <w:rPr>
                      <w:rFonts w:ascii="Cambria Math" w:eastAsia="Times New Roman" w:hAnsi="Cambria Math" w:cs="Times New Roman"/>
                      <w:szCs w:val="24"/>
                      <w:lang w:val="es-ES"/>
                    </w:rPr>
                    <m:t xml:space="preserve"> </m:t>
                  </m:r>
                  <m:f>
                    <m:fPr>
                      <m:type m:val="skw"/>
                      <m:ctrlPr>
                        <w:rPr>
                          <w:rFonts w:ascii="Cambria Math" w:eastAsia="Times New Roman" w:hAnsi="Cambria Math" w:cs="Times New Roman"/>
                          <w:i/>
                          <w:szCs w:val="24"/>
                        </w:rPr>
                      </m:ctrlPr>
                    </m:fPr>
                    <m:num>
                      <m:r>
                        <m:rPr>
                          <m:nor/>
                        </m:rPr>
                        <w:rPr>
                          <w:rFonts w:eastAsia="Times New Roman" w:cs="Times New Roman"/>
                          <w:szCs w:val="24"/>
                          <w:lang w:val="es-ES"/>
                        </w:rPr>
                        <m:t>g</m:t>
                      </m:r>
                    </m:num>
                    <m:den>
                      <m:r>
                        <m:rPr>
                          <m:nor/>
                        </m:rPr>
                        <w:rPr>
                          <w:rFonts w:eastAsia="Times New Roman" w:cs="Times New Roman"/>
                          <w:szCs w:val="24"/>
                          <w:lang w:val="es-ES"/>
                        </w:rPr>
                        <m:t>eMT</m:t>
                      </m:r>
                    </m:den>
                  </m:f>
                </m:den>
              </m:f>
            </m:e>
          </m:d>
          <m:r>
            <m:rPr>
              <m:nor/>
            </m:rPr>
            <w:rPr>
              <w:rFonts w:eastAsia="Times New Roman" w:cs="Times New Roman"/>
              <w:szCs w:val="24"/>
              <w:lang w:val="es-ES"/>
            </w:rPr>
            <m:t xml:space="preserve"> = -17.35 eMT C</m:t>
          </m:r>
          <m:sSub>
            <m:sSubPr>
              <m:ctrlPr>
                <w:rPr>
                  <w:rFonts w:ascii="Cambria Math" w:eastAsia="Times New Roman" w:hAnsi="Cambria Math" w:cs="Times New Roman"/>
                  <w:i/>
                  <w:szCs w:val="24"/>
                </w:rPr>
              </m:ctrlPr>
            </m:sSubPr>
            <m:e>
              <m:r>
                <m:rPr>
                  <m:nor/>
                </m:rPr>
                <w:rPr>
                  <w:rFonts w:eastAsia="Times New Roman" w:cs="Times New Roman"/>
                  <w:szCs w:val="24"/>
                  <w:lang w:val="es-ES"/>
                </w:rPr>
                <m:t>O</m:t>
              </m:r>
            </m:e>
            <m:sub>
              <m:r>
                <m:rPr>
                  <m:nor/>
                </m:rPr>
                <w:rPr>
                  <w:rFonts w:eastAsia="Times New Roman" w:cs="Times New Roman"/>
                  <w:szCs w:val="24"/>
                  <w:lang w:val="es-ES"/>
                </w:rPr>
                <m:t>2</m:t>
              </m:r>
            </m:sub>
          </m:sSub>
        </m:oMath>
      </m:oMathPara>
    </w:p>
    <w:p w:rsidR="00D41F08" w:rsidRPr="0008462E" w:rsidRDefault="00D41F08">
      <w:pPr>
        <w:rPr>
          <w:b/>
          <w:lang w:val="es-ES"/>
        </w:rPr>
      </w:pPr>
      <w:r w:rsidRPr="0008462E">
        <w:rPr>
          <w:b/>
          <w:lang w:val="es-ES"/>
        </w:rPr>
        <w:br w:type="page"/>
      </w:r>
    </w:p>
    <w:p w:rsidR="00D41F08" w:rsidRPr="00E41264" w:rsidRDefault="00D41F08" w:rsidP="0008462E">
      <w:pPr>
        <w:pStyle w:val="Heading1"/>
        <w:jc w:val="left"/>
      </w:pPr>
      <w:bookmarkStart w:id="10" w:name="_Toc35933046"/>
      <w:r w:rsidRPr="00E41264">
        <w:lastRenderedPageBreak/>
        <w:t>Scope 3 Emissions Inventory</w:t>
      </w:r>
      <w:bookmarkEnd w:id="10"/>
    </w:p>
    <w:p w:rsidR="00D41F08" w:rsidRPr="00E41264" w:rsidRDefault="00D41F08" w:rsidP="00D41F08"/>
    <w:p w:rsidR="00D41F08" w:rsidRPr="00E41264" w:rsidRDefault="003475D6" w:rsidP="00D41F08">
      <w:pPr>
        <w:rPr>
          <w:b/>
        </w:rPr>
      </w:pPr>
      <w:r w:rsidRPr="00E41264">
        <w:rPr>
          <w:b/>
        </w:rPr>
        <w:t xml:space="preserve">Faculty &amp; Staff </w:t>
      </w:r>
      <w:r w:rsidR="00D41F08" w:rsidRPr="00E41264">
        <w:rPr>
          <w:b/>
        </w:rPr>
        <w:t>Commuting</w:t>
      </w:r>
    </w:p>
    <w:p w:rsidR="00D41F08" w:rsidRPr="00E41264" w:rsidRDefault="00441D40" w:rsidP="00D41F08">
      <w:r w:rsidRPr="00E41264">
        <w:t>This category of emissions is based on the best available data, campus experience, and professional recommen</w:t>
      </w:r>
      <w:r w:rsidR="008B7CBC">
        <w:t>dations that several department</w:t>
      </w:r>
      <w:r w:rsidRPr="00E41264">
        <w:t>s</w:t>
      </w:r>
      <w:r w:rsidR="008B7CBC">
        <w:t xml:space="preserve"> </w:t>
      </w:r>
      <w:r w:rsidRPr="00E41264">
        <w:t>on campus were able to provide. We estimate that of our faculty, staff, and students whom commute to and from campus daily that the below conversion factors are as accurate as possible</w:t>
      </w:r>
      <w:r w:rsidR="000614CC">
        <w:rPr>
          <w:rStyle w:val="FootnoteReference"/>
        </w:rPr>
        <w:footnoteReference w:id="11"/>
      </w:r>
      <w:r w:rsidRPr="00E41264">
        <w:t xml:space="preserve">. </w:t>
      </w:r>
    </w:p>
    <w:p w:rsidR="00441D40" w:rsidRPr="00E41264" w:rsidRDefault="00441D40" w:rsidP="00D41F08">
      <w:pPr>
        <w:rPr>
          <w:i/>
        </w:rPr>
      </w:pPr>
      <w:r w:rsidRPr="00E41264">
        <w:rPr>
          <w:i/>
        </w:rPr>
        <w:t>Conversion Factors</w:t>
      </w:r>
    </w:p>
    <w:p w:rsidR="00441D40" w:rsidRPr="009A3F46" w:rsidRDefault="00441D40" w:rsidP="00D41F08">
      <w:pPr>
        <w:rPr>
          <w:lang w:val="es-ES"/>
        </w:rPr>
      </w:pPr>
      <w:r w:rsidRPr="00E41264">
        <w:tab/>
      </w:r>
      <w:proofErr w:type="spellStart"/>
      <w:r w:rsidRPr="009A3F46">
        <w:rPr>
          <w:lang w:val="es-ES"/>
        </w:rPr>
        <w:t>Automobile</w:t>
      </w:r>
      <w:proofErr w:type="spellEnd"/>
      <w:r w:rsidRPr="009A3F46">
        <w:rPr>
          <w:lang w:val="es-ES"/>
        </w:rPr>
        <w:t>: 92.5%</w:t>
      </w:r>
      <w:r w:rsidR="009A3F46" w:rsidRPr="009A3F46">
        <w:rPr>
          <w:lang w:val="es-ES"/>
        </w:rPr>
        <w:t xml:space="preserve"> -</w:t>
      </w:r>
      <w:r w:rsidRPr="009A3F46">
        <w:rPr>
          <w:lang w:val="es-ES"/>
        </w:rPr>
        <w:t xml:space="preserve"> 20 mi/</w:t>
      </w:r>
      <w:proofErr w:type="spellStart"/>
      <w:r w:rsidRPr="009A3F46">
        <w:rPr>
          <w:lang w:val="es-ES"/>
        </w:rPr>
        <w:t>trip</w:t>
      </w:r>
      <w:proofErr w:type="spellEnd"/>
    </w:p>
    <w:p w:rsidR="00441D40" w:rsidRPr="009A3F46" w:rsidRDefault="00441D40" w:rsidP="00D41F08">
      <w:pPr>
        <w:rPr>
          <w:lang w:val="es-ES"/>
        </w:rPr>
      </w:pPr>
      <w:r w:rsidRPr="009A3F46">
        <w:rPr>
          <w:lang w:val="es-ES"/>
        </w:rPr>
        <w:tab/>
      </w:r>
      <w:proofErr w:type="spellStart"/>
      <w:r w:rsidRPr="009A3F46">
        <w:rPr>
          <w:lang w:val="es-ES"/>
        </w:rPr>
        <w:t>Bicycle</w:t>
      </w:r>
      <w:proofErr w:type="spellEnd"/>
      <w:r w:rsidRPr="009A3F46">
        <w:rPr>
          <w:lang w:val="es-ES"/>
        </w:rPr>
        <w:t>: 4%</w:t>
      </w:r>
      <w:r w:rsidR="009A3F46" w:rsidRPr="009A3F46">
        <w:rPr>
          <w:lang w:val="es-ES"/>
        </w:rPr>
        <w:t xml:space="preserve"> -</w:t>
      </w:r>
      <w:r w:rsidRPr="009A3F46">
        <w:rPr>
          <w:lang w:val="es-ES"/>
        </w:rPr>
        <w:t xml:space="preserve"> 5 mi/</w:t>
      </w:r>
      <w:proofErr w:type="spellStart"/>
      <w:r w:rsidRPr="009A3F46">
        <w:rPr>
          <w:lang w:val="es-ES"/>
        </w:rPr>
        <w:t>trip</w:t>
      </w:r>
      <w:proofErr w:type="spellEnd"/>
    </w:p>
    <w:p w:rsidR="00441D40" w:rsidRPr="00E41264" w:rsidRDefault="00441D40" w:rsidP="00D41F08">
      <w:r w:rsidRPr="009A3F46">
        <w:rPr>
          <w:lang w:val="es-ES"/>
        </w:rPr>
        <w:tab/>
      </w:r>
      <w:r w:rsidRPr="00E41264">
        <w:t>Carpool: 1%</w:t>
      </w:r>
      <w:r w:rsidR="009A3F46">
        <w:t xml:space="preserve"> -</w:t>
      </w:r>
      <w:r w:rsidRPr="00E41264">
        <w:t xml:space="preserve"> 20 mi/trip</w:t>
      </w:r>
    </w:p>
    <w:p w:rsidR="00441D40" w:rsidRPr="00E41264" w:rsidRDefault="00441D40" w:rsidP="00D41F08">
      <w:r w:rsidRPr="00E41264">
        <w:tab/>
        <w:t>Commuter Rail: 0%</w:t>
      </w:r>
      <w:r w:rsidR="009A3F46">
        <w:t xml:space="preserve"> -</w:t>
      </w:r>
      <w:r w:rsidRPr="00E41264">
        <w:t xml:space="preserve"> 0 mi/trip</w:t>
      </w:r>
    </w:p>
    <w:p w:rsidR="00441D40" w:rsidRPr="00E41264" w:rsidRDefault="00441D40" w:rsidP="00D41F08">
      <w:r w:rsidRPr="00E41264">
        <w:tab/>
        <w:t>Light Rail: 0%</w:t>
      </w:r>
      <w:r w:rsidR="009A3F46">
        <w:t xml:space="preserve"> -</w:t>
      </w:r>
      <w:r w:rsidRPr="00E41264">
        <w:t xml:space="preserve"> 0 mi/trip</w:t>
      </w:r>
    </w:p>
    <w:p w:rsidR="00441D40" w:rsidRPr="00E41264" w:rsidRDefault="00441D40" w:rsidP="00D41F08">
      <w:r w:rsidRPr="00E41264">
        <w:tab/>
        <w:t>Public Bus: 2%</w:t>
      </w:r>
      <w:r w:rsidR="009A3F46">
        <w:t xml:space="preserve"> -</w:t>
      </w:r>
      <w:r w:rsidRPr="00E41264">
        <w:t xml:space="preserve"> 15 mi/trip</w:t>
      </w:r>
    </w:p>
    <w:p w:rsidR="00441D40" w:rsidRPr="00E41264" w:rsidRDefault="00441D40" w:rsidP="00D41F08">
      <w:r w:rsidRPr="00E41264">
        <w:tab/>
        <w:t>Walk: 0.5%</w:t>
      </w:r>
      <w:r w:rsidR="009A3F46">
        <w:t xml:space="preserve"> -</w:t>
      </w:r>
      <w:r w:rsidRPr="00E41264">
        <w:t xml:space="preserve"> 5 mi/trip</w:t>
      </w:r>
    </w:p>
    <w:p w:rsidR="003475D6" w:rsidRPr="00E41264" w:rsidRDefault="00441D40" w:rsidP="00D41F08">
      <w:r w:rsidRPr="00E41264">
        <w:t>Faculty Com</w:t>
      </w:r>
      <w:r w:rsidR="003475D6" w:rsidRPr="00E41264">
        <w:t>muters (400)</w:t>
      </w:r>
    </w:p>
    <w:p w:rsidR="003475D6" w:rsidRDefault="00441D40" w:rsidP="00D41F08">
      <w:r w:rsidRPr="00E41264">
        <w:t>Staff Commuters (</w:t>
      </w:r>
      <w:r w:rsidR="003475D6" w:rsidRPr="00E41264">
        <w:t>800)</w:t>
      </w:r>
    </w:p>
    <w:p w:rsidR="00E422C5" w:rsidRPr="00E41264" w:rsidRDefault="00E422C5" w:rsidP="00D41F08">
      <w:r>
        <w:t>Student Commuters (2286)</w:t>
      </w:r>
    </w:p>
    <w:p w:rsidR="003475D6" w:rsidRPr="00E41264" w:rsidRDefault="00441D40" w:rsidP="00D41F08">
      <w:r w:rsidRPr="00E41264">
        <w:t>Weekly Commuting Trips (10)</w:t>
      </w:r>
    </w:p>
    <w:p w:rsidR="00441D40" w:rsidRPr="00E41264" w:rsidRDefault="00441D40" w:rsidP="00D41F08">
      <w:r w:rsidRPr="00E41264">
        <w:t>Commuting Weeks (45)</w:t>
      </w:r>
    </w:p>
    <w:p w:rsidR="003475D6" w:rsidRPr="00E41264" w:rsidRDefault="003475D6" w:rsidP="00D41F08"/>
    <w:p w:rsidR="00441D40" w:rsidRPr="00E41264" w:rsidRDefault="003475D6" w:rsidP="00D41F08">
      <w:pPr>
        <w:rPr>
          <w:i/>
        </w:rPr>
      </w:pPr>
      <w:r w:rsidRPr="00E41264">
        <w:rPr>
          <w:i/>
        </w:rPr>
        <w:t xml:space="preserve">Total Estimated GHG MTCDE: </w:t>
      </w:r>
      <w:r w:rsidR="00E422C5">
        <w:t>7</w:t>
      </w:r>
      <w:r w:rsidR="0059069D">
        <w:t>,573.54</w:t>
      </w:r>
      <w:r w:rsidRPr="00E41264">
        <w:rPr>
          <w:i/>
        </w:rPr>
        <w:t xml:space="preserve"> </w:t>
      </w:r>
    </w:p>
    <w:p w:rsidR="003475D6" w:rsidRPr="00E41264" w:rsidRDefault="003475D6" w:rsidP="00D41F08"/>
    <w:p w:rsidR="003475D6" w:rsidRPr="00E41264" w:rsidRDefault="003475D6">
      <w:pPr>
        <w:rPr>
          <w:b/>
        </w:rPr>
      </w:pPr>
      <w:r w:rsidRPr="00E41264">
        <w:rPr>
          <w:b/>
        </w:rPr>
        <w:br w:type="page"/>
      </w:r>
    </w:p>
    <w:p w:rsidR="003475D6" w:rsidRPr="00E41264" w:rsidRDefault="003475D6" w:rsidP="003475D6">
      <w:pPr>
        <w:rPr>
          <w:b/>
        </w:rPr>
      </w:pPr>
      <w:r w:rsidRPr="00E41264">
        <w:rPr>
          <w:b/>
        </w:rPr>
        <w:lastRenderedPageBreak/>
        <w:t>Student Travel</w:t>
      </w:r>
    </w:p>
    <w:p w:rsidR="003475D6" w:rsidRPr="00E41264" w:rsidRDefault="003475D6" w:rsidP="003475D6">
      <w:r w:rsidRPr="00E41264">
        <w:t>This category of emissions is based on the best available data, campus experience, and professional recommen</w:t>
      </w:r>
      <w:r w:rsidR="008B7CBC">
        <w:t>dations that several department</w:t>
      </w:r>
      <w:r w:rsidRPr="00E41264">
        <w:t>s</w:t>
      </w:r>
      <w:r w:rsidR="008B7CBC">
        <w:t xml:space="preserve"> </w:t>
      </w:r>
      <w:r w:rsidRPr="00E41264">
        <w:t>on campus were able to provide. We have estimated the</w:t>
      </w:r>
      <w:r w:rsidR="008B7CBC">
        <w:t xml:space="preserve"> average yearly</w:t>
      </w:r>
      <w:r w:rsidRPr="00E41264">
        <w:t xml:space="preserve"> </w:t>
      </w:r>
      <w:r w:rsidR="008B7CBC">
        <w:t>traveling methods</w:t>
      </w:r>
      <w:r w:rsidRPr="00E41264">
        <w:t xml:space="preserve"> of our</w:t>
      </w:r>
      <w:r w:rsidR="008B7CBC">
        <w:t xml:space="preserve"> on-campus</w:t>
      </w:r>
      <w:r w:rsidRPr="00E41264">
        <w:t xml:space="preserve"> student population </w:t>
      </w:r>
      <w:r w:rsidR="008B7CBC">
        <w:t xml:space="preserve">who </w:t>
      </w:r>
      <w:r w:rsidRPr="00E41264">
        <w:t>travel to and from home between semesters</w:t>
      </w:r>
      <w:r w:rsidR="000614CC">
        <w:rPr>
          <w:rStyle w:val="FootnoteReference"/>
        </w:rPr>
        <w:footnoteReference w:id="12"/>
      </w:r>
      <w:r w:rsidRPr="00E41264">
        <w:t xml:space="preserve">. </w:t>
      </w:r>
    </w:p>
    <w:p w:rsidR="003475D6" w:rsidRPr="00E41264" w:rsidRDefault="003475D6" w:rsidP="003475D6">
      <w:pPr>
        <w:rPr>
          <w:i/>
        </w:rPr>
      </w:pPr>
      <w:r w:rsidRPr="00E41264">
        <w:rPr>
          <w:i/>
        </w:rPr>
        <w:t>Conversion Factors</w:t>
      </w:r>
    </w:p>
    <w:p w:rsidR="000B557E" w:rsidRDefault="003475D6" w:rsidP="003475D6">
      <w:r w:rsidRPr="00E41264">
        <w:tab/>
      </w:r>
      <w:r w:rsidR="000B557E">
        <w:t xml:space="preserve">Air Travel: 67% </w:t>
      </w:r>
    </w:p>
    <w:p w:rsidR="003475D6" w:rsidRPr="00E41264" w:rsidRDefault="003475D6" w:rsidP="000B557E">
      <w:pPr>
        <w:ind w:firstLine="720"/>
      </w:pPr>
      <w:r w:rsidRPr="00E41264">
        <w:t xml:space="preserve">Automobile: </w:t>
      </w:r>
      <w:r w:rsidR="000B557E">
        <w:t>20</w:t>
      </w:r>
      <w:r w:rsidRPr="00E41264">
        <w:t>%</w:t>
      </w:r>
      <w:r w:rsidR="009A3F46">
        <w:t xml:space="preserve"> -</w:t>
      </w:r>
      <w:r w:rsidRPr="00E41264">
        <w:t xml:space="preserve"> 900 mi/trip</w:t>
      </w:r>
      <w:r w:rsidR="009A3F46">
        <w:t xml:space="preserve"> -</w:t>
      </w:r>
      <w:r w:rsidRPr="00E41264">
        <w:t xml:space="preserve"> 6 trips annually</w:t>
      </w:r>
    </w:p>
    <w:p w:rsidR="003475D6" w:rsidRPr="00E41264" w:rsidRDefault="003475D6" w:rsidP="003475D6">
      <w:r w:rsidRPr="00E41264">
        <w:tab/>
        <w:t xml:space="preserve">Carpool: </w:t>
      </w:r>
      <w:r w:rsidRPr="000B557E">
        <w:t>10%</w:t>
      </w:r>
      <w:r w:rsidR="009A3F46">
        <w:t xml:space="preserve"> -</w:t>
      </w:r>
      <w:r w:rsidRPr="00E41264">
        <w:t xml:space="preserve"> 900 mi/trip</w:t>
      </w:r>
      <w:r w:rsidR="009A3F46">
        <w:t xml:space="preserve"> -</w:t>
      </w:r>
      <w:r w:rsidRPr="00E41264">
        <w:t xml:space="preserve"> 6 trips annually</w:t>
      </w:r>
    </w:p>
    <w:p w:rsidR="003475D6" w:rsidRPr="00E41264" w:rsidRDefault="003475D6" w:rsidP="003475D6">
      <w:r w:rsidRPr="00E41264">
        <w:tab/>
        <w:t>Rail: 2%</w:t>
      </w:r>
      <w:r w:rsidR="009A3F46">
        <w:t xml:space="preserve"> -</w:t>
      </w:r>
      <w:r w:rsidRPr="00E41264">
        <w:t xml:space="preserve"> 900 mi/trip</w:t>
      </w:r>
      <w:r w:rsidR="009A3F46">
        <w:t xml:space="preserve"> -</w:t>
      </w:r>
      <w:r w:rsidRPr="00E41264">
        <w:t xml:space="preserve"> 6 trips annually</w:t>
      </w:r>
    </w:p>
    <w:p w:rsidR="003475D6" w:rsidRPr="00E41264" w:rsidRDefault="003475D6" w:rsidP="003475D6">
      <w:r w:rsidRPr="00E41264">
        <w:tab/>
        <w:t>Public Bus: 1%</w:t>
      </w:r>
      <w:r w:rsidR="009A3F46">
        <w:t xml:space="preserve"> -</w:t>
      </w:r>
      <w:r w:rsidRPr="00E41264">
        <w:t xml:space="preserve"> 900 mi/trip</w:t>
      </w:r>
      <w:r w:rsidR="009A3F46">
        <w:t xml:space="preserve"> -</w:t>
      </w:r>
      <w:r w:rsidRPr="00E41264">
        <w:t xml:space="preserve"> 6 trips annually</w:t>
      </w:r>
    </w:p>
    <w:p w:rsidR="003475D6" w:rsidRPr="00E41264" w:rsidRDefault="003475D6" w:rsidP="003475D6">
      <w:r w:rsidRPr="00E41264">
        <w:t>Student Commuters (1648)</w:t>
      </w:r>
    </w:p>
    <w:p w:rsidR="003475D6" w:rsidRPr="00E41264" w:rsidRDefault="003475D6" w:rsidP="003475D6"/>
    <w:p w:rsidR="003475D6" w:rsidRPr="00E41264" w:rsidRDefault="003475D6" w:rsidP="003475D6">
      <w:pPr>
        <w:rPr>
          <w:i/>
        </w:rPr>
      </w:pPr>
      <w:r w:rsidRPr="00E41264">
        <w:rPr>
          <w:i/>
        </w:rPr>
        <w:t xml:space="preserve">Total Estimated GHG MTCDE: </w:t>
      </w:r>
      <w:r w:rsidRPr="00E41264">
        <w:t>3,766</w:t>
      </w:r>
      <w:r w:rsidRPr="00E41264">
        <w:rPr>
          <w:i/>
        </w:rPr>
        <w:t xml:space="preserve"> </w:t>
      </w:r>
    </w:p>
    <w:p w:rsidR="003475D6" w:rsidRPr="00E41264" w:rsidRDefault="003475D6">
      <w:r w:rsidRPr="00E41264">
        <w:br w:type="page"/>
      </w:r>
    </w:p>
    <w:p w:rsidR="003475D6" w:rsidRPr="00E41264" w:rsidRDefault="00D41F08" w:rsidP="00D41F08">
      <w:pPr>
        <w:rPr>
          <w:b/>
        </w:rPr>
      </w:pPr>
      <w:r w:rsidRPr="00E41264">
        <w:rPr>
          <w:b/>
        </w:rPr>
        <w:lastRenderedPageBreak/>
        <w:t>Food</w:t>
      </w:r>
      <w:r w:rsidR="003475D6" w:rsidRPr="00E41264">
        <w:rPr>
          <w:b/>
        </w:rPr>
        <w:t xml:space="preserve"> Purchasing &amp; Usage</w:t>
      </w:r>
    </w:p>
    <w:p w:rsidR="003475D6" w:rsidRPr="00E41264" w:rsidRDefault="003475D6" w:rsidP="00D41F08">
      <w:r w:rsidRPr="00E41264">
        <w:t xml:space="preserve">The food purchasing and overall usage by a university campus is substantial, and </w:t>
      </w:r>
      <w:r w:rsidR="008B7CBC">
        <w:t xml:space="preserve">it’s </w:t>
      </w:r>
      <w:r w:rsidRPr="00E41264">
        <w:t xml:space="preserve">very difficult to track </w:t>
      </w:r>
      <w:r w:rsidR="0010018E" w:rsidRPr="00E41264">
        <w:t>the exact amount of meats, fruits,</w:t>
      </w:r>
      <w:r w:rsidR="008B7CBC">
        <w:t xml:space="preserve"> and</w:t>
      </w:r>
      <w:r w:rsidR="0010018E" w:rsidRPr="00E41264">
        <w:t xml:space="preserve"> vegetables</w:t>
      </w:r>
      <w:r w:rsidR="008B7CBC">
        <w:t xml:space="preserve"> arriving</w:t>
      </w:r>
      <w:r w:rsidR="0010018E" w:rsidRPr="00E41264">
        <w:t xml:space="preserve"> from multiple vendors at multiple sites. Utilizing data from Dining Services</w:t>
      </w:r>
      <w:r w:rsidR="00671602">
        <w:t>,</w:t>
      </w:r>
      <w:r w:rsidR="0010018E" w:rsidRPr="00E41264">
        <w:t xml:space="preserve"> we were able to account for 80% of our food purchasing for the fiscal year </w:t>
      </w:r>
      <w:r w:rsidR="00671602">
        <w:t>in a semi-detailed format with</w:t>
      </w:r>
      <w:r w:rsidR="0010018E" w:rsidRPr="00E41264">
        <w:t xml:space="preserve"> general shipped weights of the food stuffs ordered</w:t>
      </w:r>
      <w:r w:rsidR="000614CC">
        <w:rPr>
          <w:rStyle w:val="FootnoteReference"/>
        </w:rPr>
        <w:footnoteReference w:id="13"/>
      </w:r>
      <w:r w:rsidR="0010018E" w:rsidRPr="00E41264">
        <w:t>. The conversion factors are listed below:</w:t>
      </w:r>
    </w:p>
    <w:p w:rsidR="0010018E" w:rsidRPr="00E41264" w:rsidRDefault="0010018E" w:rsidP="00D41F08">
      <w:pPr>
        <w:rPr>
          <w:i/>
        </w:rPr>
      </w:pPr>
      <w:r w:rsidRPr="00E41264">
        <w:rPr>
          <w:i/>
        </w:rPr>
        <w:t>Conversion Factors</w:t>
      </w:r>
    </w:p>
    <w:p w:rsidR="0010018E" w:rsidRPr="00E41264" w:rsidRDefault="0010018E" w:rsidP="00D41F08">
      <w:r w:rsidRPr="00E41264">
        <w:tab/>
        <w:t>Beans: 0.78000</w:t>
      </w:r>
      <w:r w:rsidR="009C162E" w:rsidRPr="00E41264">
        <w:t xml:space="preserve"> kg eCO</w:t>
      </w:r>
      <w:r w:rsidR="009C162E" w:rsidRPr="00AF44C8">
        <w:rPr>
          <w:vertAlign w:val="subscript"/>
        </w:rPr>
        <w:t>2</w:t>
      </w:r>
      <w:r w:rsidR="009C162E" w:rsidRPr="00E41264">
        <w:t>/kg food</w:t>
      </w:r>
    </w:p>
    <w:p w:rsidR="0010018E" w:rsidRPr="00E41264" w:rsidRDefault="0010018E" w:rsidP="00D41F08">
      <w:r w:rsidRPr="00E41264">
        <w:tab/>
        <w:t>Beef: 26.45000</w:t>
      </w:r>
      <w:r w:rsidR="009C162E" w:rsidRPr="00E41264">
        <w:t xml:space="preserve"> kg </w:t>
      </w:r>
      <w:r w:rsidR="00AF44C8" w:rsidRPr="00E41264">
        <w:t>eCO</w:t>
      </w:r>
      <w:r w:rsidR="00AF44C8" w:rsidRPr="00AF44C8">
        <w:rPr>
          <w:vertAlign w:val="subscript"/>
        </w:rPr>
        <w:t>2</w:t>
      </w:r>
      <w:r w:rsidR="009C162E" w:rsidRPr="00E41264">
        <w:t>/kg food</w:t>
      </w:r>
    </w:p>
    <w:p w:rsidR="0010018E" w:rsidRPr="00E41264" w:rsidRDefault="0010018E" w:rsidP="00D41F08">
      <w:r w:rsidRPr="00E41264">
        <w:tab/>
        <w:t>Cheese: 9.78000</w:t>
      </w:r>
      <w:r w:rsidR="009C162E" w:rsidRPr="00E41264">
        <w:t xml:space="preserve"> kg eCO</w:t>
      </w:r>
      <w:r w:rsidR="009C162E" w:rsidRPr="00AF44C8">
        <w:rPr>
          <w:vertAlign w:val="subscript"/>
        </w:rPr>
        <w:t>2</w:t>
      </w:r>
      <w:r w:rsidR="009C162E" w:rsidRPr="00E41264">
        <w:t>/kg food</w:t>
      </w:r>
    </w:p>
    <w:p w:rsidR="0010018E" w:rsidRPr="00E41264" w:rsidRDefault="0010018E" w:rsidP="00D41F08">
      <w:r w:rsidRPr="00E41264">
        <w:tab/>
        <w:t>Coffee &amp; Tea: 5.05000</w:t>
      </w:r>
      <w:r w:rsidR="009C162E" w:rsidRPr="00E41264">
        <w:t xml:space="preserve"> kg eCO</w:t>
      </w:r>
      <w:r w:rsidR="009C162E" w:rsidRPr="00AF44C8">
        <w:rPr>
          <w:vertAlign w:val="subscript"/>
        </w:rPr>
        <w:t>2</w:t>
      </w:r>
      <w:r w:rsidR="009C162E" w:rsidRPr="00E41264">
        <w:t>/kg food</w:t>
      </w:r>
    </w:p>
    <w:p w:rsidR="0010018E" w:rsidRPr="00E41264" w:rsidRDefault="0010018E" w:rsidP="00D41F08">
      <w:r w:rsidRPr="00E41264">
        <w:tab/>
        <w:t>Eggs: 3.54000</w:t>
      </w:r>
      <w:r w:rsidR="009C162E" w:rsidRPr="00E41264">
        <w:t xml:space="preserve"> kg eCO</w:t>
      </w:r>
      <w:r w:rsidR="009C162E" w:rsidRPr="00AF44C8">
        <w:rPr>
          <w:vertAlign w:val="subscript"/>
        </w:rPr>
        <w:t>2</w:t>
      </w:r>
      <w:r w:rsidR="009C162E" w:rsidRPr="00E41264">
        <w:t>/kg food</w:t>
      </w:r>
    </w:p>
    <w:p w:rsidR="0010018E" w:rsidRPr="00E41264" w:rsidRDefault="0010018E" w:rsidP="00D41F08">
      <w:r w:rsidRPr="00E41264">
        <w:tab/>
        <w:t>Fish:</w:t>
      </w:r>
      <w:r w:rsidR="009C162E" w:rsidRPr="00E41264">
        <w:t xml:space="preserve"> 3.83000 kg eCO</w:t>
      </w:r>
      <w:r w:rsidR="009C162E" w:rsidRPr="00AF44C8">
        <w:rPr>
          <w:vertAlign w:val="subscript"/>
        </w:rPr>
        <w:t>2</w:t>
      </w:r>
      <w:r w:rsidR="009C162E" w:rsidRPr="00E41264">
        <w:t>/kg food</w:t>
      </w:r>
    </w:p>
    <w:p w:rsidR="0010018E" w:rsidRPr="00E41264" w:rsidRDefault="0010018E" w:rsidP="00D41F08">
      <w:r w:rsidRPr="00E41264">
        <w:tab/>
        <w:t>Fruits:</w:t>
      </w:r>
      <w:r w:rsidR="009C162E" w:rsidRPr="00E41264">
        <w:t xml:space="preserve"> 0.36000 kg eCO</w:t>
      </w:r>
      <w:r w:rsidR="0049749D">
        <w:softHyphen/>
      </w:r>
      <w:r w:rsidR="0049749D" w:rsidRPr="0049749D">
        <w:rPr>
          <w:vertAlign w:val="subscript"/>
        </w:rPr>
        <w:t>2</w:t>
      </w:r>
      <w:r w:rsidR="009C162E" w:rsidRPr="00E41264">
        <w:t>/kg food</w:t>
      </w:r>
    </w:p>
    <w:p w:rsidR="0010018E" w:rsidRPr="00E41264" w:rsidRDefault="0010018E" w:rsidP="00D41F08">
      <w:r w:rsidRPr="00E41264">
        <w:tab/>
        <w:t>Grains:</w:t>
      </w:r>
      <w:r w:rsidR="009C162E" w:rsidRPr="00E41264">
        <w:t xml:space="preserve"> 0.86000 kg eCO</w:t>
      </w:r>
      <w:r w:rsidR="009C162E" w:rsidRPr="0049749D">
        <w:rPr>
          <w:vertAlign w:val="subscript"/>
        </w:rPr>
        <w:t>2</w:t>
      </w:r>
      <w:r w:rsidR="009C162E" w:rsidRPr="00E41264">
        <w:t>/kg food</w:t>
      </w:r>
    </w:p>
    <w:p w:rsidR="0010018E" w:rsidRPr="00E41264" w:rsidRDefault="0010018E" w:rsidP="00D41F08">
      <w:r w:rsidRPr="00E41264">
        <w:tab/>
        <w:t>Liquids:</w:t>
      </w:r>
      <w:r w:rsidR="009C162E" w:rsidRPr="00E41264">
        <w:t xml:space="preserve"> 1.03000 kg eCO</w:t>
      </w:r>
      <w:r w:rsidR="009C162E" w:rsidRPr="0049749D">
        <w:rPr>
          <w:vertAlign w:val="subscript"/>
        </w:rPr>
        <w:t>2</w:t>
      </w:r>
      <w:r w:rsidR="009C162E" w:rsidRPr="00E41264">
        <w:t>/kg food</w:t>
      </w:r>
    </w:p>
    <w:p w:rsidR="0010018E" w:rsidRPr="00E41264" w:rsidRDefault="0010018E" w:rsidP="00D41F08">
      <w:r w:rsidRPr="00E41264">
        <w:tab/>
        <w:t>Milk:</w:t>
      </w:r>
      <w:r w:rsidR="009C162E" w:rsidRPr="00E41264">
        <w:t xml:space="preserve"> 1.34000 kg eCO</w:t>
      </w:r>
      <w:r w:rsidR="009C162E" w:rsidRPr="00FD3408">
        <w:rPr>
          <w:vertAlign w:val="subscript"/>
        </w:rPr>
        <w:t>2</w:t>
      </w:r>
      <w:r w:rsidR="009C162E" w:rsidRPr="00E41264">
        <w:t>/kg food</w:t>
      </w:r>
    </w:p>
    <w:p w:rsidR="0010018E" w:rsidRPr="00E41264" w:rsidRDefault="0010018E" w:rsidP="00D41F08">
      <w:r w:rsidRPr="00E41264">
        <w:tab/>
        <w:t>Nuts</w:t>
      </w:r>
      <w:r w:rsidR="009C162E" w:rsidRPr="00E41264">
        <w:t>: 1.17000 kg eCO</w:t>
      </w:r>
      <w:r w:rsidR="009C162E" w:rsidRPr="00FD3408">
        <w:rPr>
          <w:vertAlign w:val="subscript"/>
        </w:rPr>
        <w:t>2</w:t>
      </w:r>
      <w:r w:rsidR="009C162E" w:rsidRPr="00E41264">
        <w:t>/kg food</w:t>
      </w:r>
    </w:p>
    <w:p w:rsidR="0010018E" w:rsidRPr="00E41264" w:rsidRDefault="0010018E" w:rsidP="00D41F08">
      <w:r w:rsidRPr="00E41264">
        <w:tab/>
        <w:t>Pork:</w:t>
      </w:r>
      <w:r w:rsidR="009C162E" w:rsidRPr="00E41264">
        <w:t xml:space="preserve"> 6.87000 kg eCO</w:t>
      </w:r>
      <w:r w:rsidR="009C162E" w:rsidRPr="00FD3408">
        <w:rPr>
          <w:vertAlign w:val="subscript"/>
        </w:rPr>
        <w:t>2</w:t>
      </w:r>
      <w:r w:rsidR="009C162E" w:rsidRPr="00E41264">
        <w:t>/kg food</w:t>
      </w:r>
    </w:p>
    <w:p w:rsidR="0010018E" w:rsidRPr="00E41264" w:rsidRDefault="0010018E" w:rsidP="00D41F08">
      <w:r w:rsidRPr="00E41264">
        <w:tab/>
        <w:t>Potatoes:</w:t>
      </w:r>
      <w:r w:rsidR="009C162E" w:rsidRPr="00E41264">
        <w:t xml:space="preserve"> 0.21000 kg eCO</w:t>
      </w:r>
      <w:r w:rsidR="009C162E" w:rsidRPr="00FD3408">
        <w:rPr>
          <w:vertAlign w:val="subscript"/>
        </w:rPr>
        <w:t>2</w:t>
      </w:r>
      <w:r w:rsidR="00FD3408">
        <w:t>/</w:t>
      </w:r>
      <w:r w:rsidR="009C162E" w:rsidRPr="00E41264">
        <w:t>kg food</w:t>
      </w:r>
    </w:p>
    <w:p w:rsidR="0010018E" w:rsidRPr="00E41264" w:rsidRDefault="0010018E" w:rsidP="00D41F08">
      <w:r w:rsidRPr="00E41264">
        <w:tab/>
        <w:t>Spices:</w:t>
      </w:r>
      <w:r w:rsidR="009C162E" w:rsidRPr="00E41264">
        <w:t xml:space="preserve"> 0.73000 kg eCO</w:t>
      </w:r>
      <w:r w:rsidR="009C162E" w:rsidRPr="00FD3408">
        <w:rPr>
          <w:vertAlign w:val="subscript"/>
        </w:rPr>
        <w:t>2</w:t>
      </w:r>
      <w:r w:rsidR="009C162E" w:rsidRPr="00E41264">
        <w:t>/kg food</w:t>
      </w:r>
    </w:p>
    <w:p w:rsidR="009C162E" w:rsidRPr="00E41264" w:rsidRDefault="0010018E" w:rsidP="00D41F08">
      <w:r w:rsidRPr="00E41264">
        <w:tab/>
        <w:t>Sugars:</w:t>
      </w:r>
      <w:r w:rsidR="009C7041">
        <w:t xml:space="preserve"> </w:t>
      </w:r>
      <w:r w:rsidR="009C162E" w:rsidRPr="00E41264">
        <w:t>0.93000 kg eCO</w:t>
      </w:r>
      <w:r w:rsidR="009C162E" w:rsidRPr="00FD3408">
        <w:rPr>
          <w:vertAlign w:val="subscript"/>
        </w:rPr>
        <w:t>2</w:t>
      </w:r>
      <w:r w:rsidR="009C162E" w:rsidRPr="00E41264">
        <w:t>/kg food</w:t>
      </w:r>
    </w:p>
    <w:p w:rsidR="0010018E" w:rsidRDefault="0010018E" w:rsidP="00D41F08">
      <w:r w:rsidRPr="00E41264">
        <w:tab/>
        <w:t>Vegetables:</w:t>
      </w:r>
      <w:r w:rsidR="009C162E" w:rsidRPr="00E41264">
        <w:t xml:space="preserve"> 0.73000 kg eCO</w:t>
      </w:r>
      <w:r w:rsidR="009C162E" w:rsidRPr="00FD3408">
        <w:rPr>
          <w:vertAlign w:val="subscript"/>
        </w:rPr>
        <w:t>2</w:t>
      </w:r>
      <w:r w:rsidR="00FD3408">
        <w:t>/</w:t>
      </w:r>
      <w:r w:rsidR="009C162E" w:rsidRPr="00E41264">
        <w:t>kg food</w:t>
      </w:r>
    </w:p>
    <w:p w:rsidR="000C665A" w:rsidRPr="00E41264" w:rsidRDefault="000C665A" w:rsidP="00D41F08"/>
    <w:p w:rsidR="0010018E" w:rsidRPr="00E41264" w:rsidRDefault="0010018E" w:rsidP="00D41F08">
      <w:r w:rsidRPr="00E41264">
        <w:t>Overall food purchased:</w:t>
      </w:r>
      <w:r w:rsidR="009C162E" w:rsidRPr="00E41264">
        <w:t xml:space="preserve"> </w:t>
      </w:r>
      <w:r w:rsidR="009C162E" w:rsidRPr="00E41264">
        <w:rPr>
          <w:rFonts w:cs="Times New Roman"/>
        </w:rPr>
        <w:t xml:space="preserve">1,068,707 lb </w:t>
      </w:r>
      <m:oMath>
        <m:r>
          <m:rPr>
            <m:nor/>
          </m:rPr>
          <w:rPr>
            <w:rFonts w:eastAsia="Times New Roman" w:cs="Times New Roman"/>
            <w:szCs w:val="24"/>
          </w:rPr>
          <m:t>×</m:t>
        </m:r>
      </m:oMath>
      <w:r w:rsidR="009C162E" w:rsidRPr="00E41264">
        <w:rPr>
          <w:rFonts w:cs="Times New Roman"/>
        </w:rPr>
        <w:t xml:space="preserve"> 0.453592 kg/lb = 484757.341</w:t>
      </w:r>
    </w:p>
    <w:p w:rsidR="000C665A" w:rsidRDefault="0010018E" w:rsidP="00D41F08">
      <w:r w:rsidRPr="00E41264">
        <w:t>Overall GHG MTCDE:</w:t>
      </w:r>
      <w:r w:rsidR="009C162E" w:rsidRPr="00E41264">
        <w:t xml:space="preserve"> </w:t>
      </w:r>
      <w:r w:rsidR="0059069D">
        <w:t>2,548.42</w:t>
      </w:r>
      <w:r w:rsidR="009C162E" w:rsidRPr="00E41264">
        <w:t xml:space="preserve"> </w:t>
      </w:r>
    </w:p>
    <w:p w:rsidR="00B946B8" w:rsidRDefault="000C665A" w:rsidP="00B946B8">
      <w:pPr>
        <w:keepNext/>
      </w:pPr>
      <w:r w:rsidRPr="000C665A">
        <w:rPr>
          <w:noProof/>
        </w:rPr>
        <w:lastRenderedPageBreak/>
        <w:drawing>
          <wp:inline distT="0" distB="0" distL="0" distR="0" wp14:anchorId="0B8FEDC1" wp14:editId="2BA0B033">
            <wp:extent cx="5943600" cy="5093970"/>
            <wp:effectExtent l="0" t="0" r="0" b="0"/>
            <wp:docPr id="2" name="Picture 2" descr="C:\Users\qduffy2014\Downloads\new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duffy2014\Downloads\newplo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093970"/>
                    </a:xfrm>
                    <a:prstGeom prst="rect">
                      <a:avLst/>
                    </a:prstGeom>
                    <a:noFill/>
                    <a:ln>
                      <a:noFill/>
                    </a:ln>
                  </pic:spPr>
                </pic:pic>
              </a:graphicData>
            </a:graphic>
          </wp:inline>
        </w:drawing>
      </w:r>
    </w:p>
    <w:p w:rsidR="0010018E" w:rsidRDefault="00B946B8" w:rsidP="00B946B8">
      <w:pPr>
        <w:pStyle w:val="Caption"/>
      </w:pPr>
      <w:bookmarkStart w:id="11" w:name="_Toc35933063"/>
      <w:r>
        <w:t xml:space="preserve">Figure </w:t>
      </w:r>
      <w:fldSimple w:instr=" SEQ Figure \* ARABIC ">
        <w:r>
          <w:rPr>
            <w:noProof/>
          </w:rPr>
          <w:t>1</w:t>
        </w:r>
      </w:fldSimple>
      <w:r>
        <w:t>: FY-2019 Food Weight Breakdown</w:t>
      </w:r>
      <w:bookmarkEnd w:id="11"/>
    </w:p>
    <w:p w:rsidR="00B946B8" w:rsidRDefault="000C665A" w:rsidP="00B946B8">
      <w:pPr>
        <w:keepNext/>
      </w:pPr>
      <w:r w:rsidRPr="000C665A">
        <w:rPr>
          <w:noProof/>
        </w:rPr>
        <w:lastRenderedPageBreak/>
        <w:drawing>
          <wp:inline distT="0" distB="0" distL="0" distR="0" wp14:anchorId="3E888790" wp14:editId="16C583A5">
            <wp:extent cx="5943600" cy="5093970"/>
            <wp:effectExtent l="0" t="0" r="0" b="0"/>
            <wp:docPr id="4" name="Picture 4" descr="C:\Users\qduffy2014\Downloads\newplo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qduffy2014\Downloads\newplot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093970"/>
                    </a:xfrm>
                    <a:prstGeom prst="rect">
                      <a:avLst/>
                    </a:prstGeom>
                    <a:noFill/>
                    <a:ln>
                      <a:noFill/>
                    </a:ln>
                  </pic:spPr>
                </pic:pic>
              </a:graphicData>
            </a:graphic>
          </wp:inline>
        </w:drawing>
      </w:r>
    </w:p>
    <w:p w:rsidR="000C665A" w:rsidRPr="00E41264" w:rsidRDefault="00B946B8" w:rsidP="00B946B8">
      <w:pPr>
        <w:pStyle w:val="Caption"/>
      </w:pPr>
      <w:bookmarkStart w:id="12" w:name="_Toc35933064"/>
      <w:r>
        <w:t xml:space="preserve">Figure </w:t>
      </w:r>
      <w:fldSimple w:instr=" SEQ Figure \* ARABIC ">
        <w:r>
          <w:rPr>
            <w:noProof/>
          </w:rPr>
          <w:t>2</w:t>
        </w:r>
      </w:fldSimple>
      <w:r w:rsidRPr="003D543B">
        <w:t xml:space="preserve">: FY-2019 Food </w:t>
      </w:r>
      <w:r>
        <w:t>Carbon Emissions Breakdown</w:t>
      </w:r>
      <w:bookmarkEnd w:id="12"/>
    </w:p>
    <w:p w:rsidR="00D41F08" w:rsidRPr="00E41264" w:rsidRDefault="00D41F08" w:rsidP="00D41F08"/>
    <w:p w:rsidR="009C162E" w:rsidRPr="00E41264" w:rsidRDefault="009C162E" w:rsidP="00D41F08"/>
    <w:p w:rsidR="009C162E" w:rsidRPr="00E41264" w:rsidRDefault="009C162E">
      <w:r w:rsidRPr="00E41264">
        <w:br w:type="page"/>
      </w:r>
    </w:p>
    <w:p w:rsidR="009C162E" w:rsidRPr="00E41264" w:rsidRDefault="00D41F08" w:rsidP="00D41F08">
      <w:pPr>
        <w:rPr>
          <w:b/>
        </w:rPr>
      </w:pPr>
      <w:r w:rsidRPr="00E41264">
        <w:rPr>
          <w:b/>
        </w:rPr>
        <w:lastRenderedPageBreak/>
        <w:t>Paper</w:t>
      </w:r>
      <w:r w:rsidR="009C162E" w:rsidRPr="00E41264">
        <w:rPr>
          <w:b/>
        </w:rPr>
        <w:t xml:space="preserve"> Purchasing</w:t>
      </w:r>
    </w:p>
    <w:p w:rsidR="009C162E" w:rsidRPr="00E41264" w:rsidRDefault="009C162E" w:rsidP="00D41F08">
      <w:r w:rsidRPr="00E41264">
        <w:t>The data collected from the campus community on paper purchasing is reflected by the total quantity of paper used by the University in reams. Data was collected from our campus printer/copier fleet and the Copy Center ordering information. We are confident that this will account for more than 90% of our paper purchasing less the units that are not registered on the campus system. Below are the conversion factors for paper purchasing</w:t>
      </w:r>
      <w:r w:rsidR="000614CC">
        <w:rPr>
          <w:rStyle w:val="FootnoteReference"/>
        </w:rPr>
        <w:footnoteReference w:id="14"/>
      </w:r>
      <w:r w:rsidRPr="00E41264">
        <w:t>.</w:t>
      </w:r>
    </w:p>
    <w:p w:rsidR="006D6D00" w:rsidRPr="00E41264" w:rsidRDefault="006D6D00" w:rsidP="006D6D00">
      <w:pPr>
        <w:spacing w:line="240" w:lineRule="auto"/>
        <w:rPr>
          <w:rFonts w:eastAsia="Times New Roman" w:cs="Times New Roman"/>
          <w:i/>
          <w:szCs w:val="24"/>
        </w:rPr>
      </w:pPr>
      <w:r w:rsidRPr="00E41264">
        <w:rPr>
          <w:rFonts w:eastAsia="Times New Roman" w:cs="Times New Roman"/>
          <w:i/>
          <w:szCs w:val="24"/>
        </w:rPr>
        <w:t xml:space="preserve">Conversion Factors </w:t>
      </w:r>
    </w:p>
    <w:p w:rsidR="006D6D00" w:rsidRPr="00E41264" w:rsidRDefault="006D6D00" w:rsidP="006D6D00">
      <w:pPr>
        <w:spacing w:line="240" w:lineRule="auto"/>
        <w:rPr>
          <w:rFonts w:eastAsia="Times New Roman" w:cs="Times New Roman"/>
          <w:szCs w:val="24"/>
        </w:rPr>
      </w:pPr>
      <w:r w:rsidRPr="00E41264">
        <w:rPr>
          <w:rFonts w:eastAsia="Times New Roman" w:cs="Times New Roman"/>
          <w:szCs w:val="24"/>
        </w:rPr>
        <w:tab/>
        <w:t>CO</w:t>
      </w:r>
      <w:r w:rsidRPr="00E41264">
        <w:rPr>
          <w:rFonts w:eastAsia="Times New Roman" w:cs="Times New Roman"/>
          <w:szCs w:val="24"/>
          <w:vertAlign w:val="subscript"/>
        </w:rPr>
        <w:t>2</w:t>
      </w:r>
      <w:r w:rsidRPr="00E41264">
        <w:rPr>
          <w:rFonts w:eastAsia="Times New Roman" w:cs="Times New Roman"/>
          <w:szCs w:val="24"/>
        </w:rPr>
        <w:t xml:space="preserve"> </w:t>
      </w:r>
      <w:r w:rsidRPr="00E41264">
        <w:rPr>
          <w:rFonts w:eastAsia="Times New Roman" w:cs="Times New Roman"/>
          <w:szCs w:val="24"/>
        </w:rPr>
        <w:tab/>
      </w:r>
      <w:r w:rsidRPr="00E41264">
        <w:rPr>
          <w:rFonts w:eastAsia="Times New Roman" w:cs="Times New Roman"/>
          <w:szCs w:val="24"/>
        </w:rPr>
        <w:tab/>
      </w:r>
      <w:r w:rsidRPr="00E41264">
        <w:rPr>
          <w:rFonts w:eastAsia="Times New Roman" w:cs="Times New Roman"/>
          <w:szCs w:val="24"/>
        </w:rPr>
        <w:tab/>
        <w:t>0.00593 kg CO</w:t>
      </w:r>
      <w:r w:rsidRPr="00E41264">
        <w:rPr>
          <w:rFonts w:eastAsia="Times New Roman" w:cs="Times New Roman"/>
          <w:szCs w:val="24"/>
          <w:vertAlign w:val="subscript"/>
        </w:rPr>
        <w:t xml:space="preserve">2 </w:t>
      </w:r>
      <w:r w:rsidRPr="00E41264">
        <w:rPr>
          <w:rFonts w:eastAsia="Times New Roman" w:cs="Times New Roman"/>
          <w:szCs w:val="24"/>
        </w:rPr>
        <w:t>/ream</w:t>
      </w:r>
    </w:p>
    <w:p w:rsidR="006D6D00" w:rsidRDefault="006D6D00" w:rsidP="006D6D00">
      <w:pPr>
        <w:spacing w:line="240" w:lineRule="auto"/>
        <w:rPr>
          <w:rFonts w:eastAsia="Times New Roman" w:cs="Times New Roman"/>
          <w:i/>
          <w:szCs w:val="24"/>
        </w:rPr>
      </w:pPr>
      <w:r w:rsidRPr="00E41264">
        <w:rPr>
          <w:rFonts w:eastAsia="Times New Roman" w:cs="Times New Roman"/>
          <w:i/>
          <w:szCs w:val="24"/>
        </w:rPr>
        <w:t>Calculation Method</w:t>
      </w:r>
    </w:p>
    <w:p w:rsidR="00FD3408" w:rsidRPr="00FD3408" w:rsidRDefault="00E44F6A" w:rsidP="00FD3408">
      <w:pPr>
        <w:spacing w:line="240" w:lineRule="auto"/>
        <w:ind w:left="720" w:firstLine="720"/>
        <w:rPr>
          <w:rFonts w:eastAsia="Times New Roman" w:cs="Times New Roman"/>
          <w:i/>
          <w:szCs w:val="24"/>
        </w:rPr>
      </w:pPr>
      <m:oMathPara>
        <m:oMathParaPr>
          <m:jc m:val="left"/>
        </m:oMathParaPr>
        <m:oMath>
          <m:d>
            <m:dPr>
              <m:ctrlPr>
                <w:rPr>
                  <w:rFonts w:ascii="Cambria Math" w:eastAsia="Times New Roman" w:hAnsi="Cambria Math" w:cs="Times New Roman"/>
                  <w:i/>
                  <w:szCs w:val="24"/>
                </w:rPr>
              </m:ctrlPr>
            </m:dPr>
            <m:e>
              <m:r>
                <m:rPr>
                  <m:nor/>
                </m:rPr>
                <w:rPr>
                  <w:rFonts w:eastAsia="Times New Roman" w:cs="Times New Roman"/>
                  <w:szCs w:val="24"/>
                </w:rPr>
                <m:t>5642 reams</m:t>
              </m:r>
            </m:e>
          </m:d>
          <m:r>
            <m:rPr>
              <m:nor/>
            </m:rPr>
            <w:rPr>
              <w:rFonts w:eastAsia="Times New Roman" w:cs="Times New Roman"/>
              <w:szCs w:val="24"/>
            </w:rPr>
            <m:t xml:space="preserve"> × </m:t>
          </m:r>
          <m:d>
            <m:dPr>
              <m:ctrlPr>
                <w:rPr>
                  <w:rFonts w:ascii="Cambria Math" w:eastAsia="Times New Roman" w:hAnsi="Cambria Math" w:cs="Times New Roman"/>
                  <w:i/>
                  <w:szCs w:val="24"/>
                </w:rPr>
              </m:ctrlPr>
            </m:dPr>
            <m:e>
              <m:f>
                <m:fPr>
                  <m:ctrlPr>
                    <w:rPr>
                      <w:rFonts w:ascii="Cambria Math" w:eastAsia="Times New Roman" w:hAnsi="Cambria Math" w:cs="Times New Roman"/>
                      <w:i/>
                      <w:szCs w:val="24"/>
                    </w:rPr>
                  </m:ctrlPr>
                </m:fPr>
                <m:num>
                  <m:r>
                    <m:rPr>
                      <m:nor/>
                    </m:rPr>
                    <w:rPr>
                      <w:rFonts w:eastAsia="Times New Roman" w:cs="Times New Roman"/>
                      <w:szCs w:val="24"/>
                    </w:rPr>
                    <m:t>0.00593 kg C</m:t>
                  </m:r>
                  <m:sSub>
                    <m:sSubPr>
                      <m:ctrlPr>
                        <w:rPr>
                          <w:rFonts w:ascii="Cambria Math" w:eastAsia="Times New Roman" w:hAnsi="Cambria Math" w:cs="Times New Roman"/>
                          <w:i/>
                          <w:szCs w:val="24"/>
                        </w:rPr>
                      </m:ctrlPr>
                    </m:sSubPr>
                    <m:e>
                      <m:r>
                        <m:rPr>
                          <m:nor/>
                        </m:rPr>
                        <w:rPr>
                          <w:rFonts w:eastAsia="Times New Roman" w:cs="Times New Roman"/>
                          <w:szCs w:val="24"/>
                        </w:rPr>
                        <m:t>O</m:t>
                      </m:r>
                    </m:e>
                    <m:sub>
                      <m:r>
                        <m:rPr>
                          <m:nor/>
                        </m:rPr>
                        <w:rPr>
                          <w:rFonts w:eastAsia="Times New Roman" w:cs="Times New Roman"/>
                          <w:szCs w:val="24"/>
                        </w:rPr>
                        <m:t>2</m:t>
                      </m:r>
                    </m:sub>
                  </m:sSub>
                </m:num>
                <m:den>
                  <m:r>
                    <m:rPr>
                      <m:nor/>
                    </m:rPr>
                    <w:rPr>
                      <w:rFonts w:eastAsia="Times New Roman" w:cs="Times New Roman"/>
                      <w:szCs w:val="24"/>
                    </w:rPr>
                    <m:t>1 ream</m:t>
                  </m:r>
                </m:den>
              </m:f>
            </m:e>
          </m:d>
          <m:r>
            <m:rPr>
              <m:nor/>
            </m:rPr>
            <w:rPr>
              <w:rFonts w:eastAsia="Times New Roman" w:cs="Times New Roman"/>
              <w:szCs w:val="24"/>
            </w:rPr>
            <m:t>=</m:t>
          </m:r>
          <m:r>
            <m:rPr>
              <m:nor/>
            </m:rPr>
            <w:rPr>
              <w:rFonts w:ascii="Cambria Math" w:eastAsia="Times New Roman" w:cs="Times New Roman"/>
              <w:szCs w:val="24"/>
            </w:rPr>
            <m:t xml:space="preserve"> </m:t>
          </m:r>
          <m:r>
            <m:rPr>
              <m:nor/>
            </m:rPr>
            <w:rPr>
              <w:rFonts w:eastAsia="Times New Roman" w:cs="Times New Roman"/>
              <w:szCs w:val="24"/>
            </w:rPr>
            <m:t>34 eMT C</m:t>
          </m:r>
          <m:sSub>
            <m:sSubPr>
              <m:ctrlPr>
                <w:rPr>
                  <w:rFonts w:ascii="Cambria Math" w:eastAsia="Times New Roman" w:hAnsi="Cambria Math" w:cs="Times New Roman"/>
                  <w:i/>
                  <w:szCs w:val="24"/>
                </w:rPr>
              </m:ctrlPr>
            </m:sSubPr>
            <m:e>
              <m:r>
                <m:rPr>
                  <m:nor/>
                </m:rPr>
                <w:rPr>
                  <w:rFonts w:eastAsia="Times New Roman" w:cs="Times New Roman"/>
                  <w:szCs w:val="24"/>
                </w:rPr>
                <m:t>O</m:t>
              </m:r>
            </m:e>
            <m:sub>
              <m:r>
                <m:rPr>
                  <m:nor/>
                </m:rPr>
                <w:rPr>
                  <w:rFonts w:eastAsia="Times New Roman" w:cs="Times New Roman"/>
                  <w:szCs w:val="24"/>
                </w:rPr>
                <m:t>2</m:t>
              </m:r>
            </m:sub>
          </m:sSub>
        </m:oMath>
      </m:oMathPara>
    </w:p>
    <w:p w:rsidR="009C162E" w:rsidRPr="00E41264" w:rsidRDefault="009C162E"/>
    <w:p w:rsidR="00D41F08" w:rsidRPr="00536EF7" w:rsidRDefault="00D41F08" w:rsidP="00D41F08">
      <w:pPr>
        <w:rPr>
          <w:b/>
        </w:rPr>
      </w:pPr>
      <w:r w:rsidRPr="00E41264">
        <w:rPr>
          <w:b/>
        </w:rPr>
        <w:t>Waste &amp; Wastewater</w:t>
      </w:r>
    </w:p>
    <w:p w:rsidR="006D6D00" w:rsidRPr="00E41264" w:rsidRDefault="006D6D00" w:rsidP="00D41F08">
      <w:r w:rsidRPr="00E41264">
        <w:t>Waste and wastewater data is collected from the production and collection of landfill waste and central treatment bound wastewater. Our primary sources of data are the City of Melbourne and Waste Management. The treatment plant is classified as aerobic and the landfill in our county is a non-CH</w:t>
      </w:r>
      <w:r w:rsidRPr="00834DA3">
        <w:rPr>
          <w:vertAlign w:val="subscript"/>
        </w:rPr>
        <w:t>4</w:t>
      </w:r>
      <w:r w:rsidRPr="00E41264">
        <w:t xml:space="preserve"> recovery landfill. The conversion factors are listed below</w:t>
      </w:r>
      <w:r w:rsidR="000614CC">
        <w:rPr>
          <w:rStyle w:val="FootnoteReference"/>
        </w:rPr>
        <w:footnoteReference w:id="15"/>
      </w:r>
      <w:r w:rsidRPr="00E41264">
        <w:t>.</w:t>
      </w:r>
    </w:p>
    <w:p w:rsidR="006D6D00" w:rsidRPr="00E41264" w:rsidRDefault="006D6D00" w:rsidP="006D6D00">
      <w:pPr>
        <w:spacing w:line="240" w:lineRule="auto"/>
        <w:rPr>
          <w:rFonts w:eastAsia="Times New Roman" w:cs="Times New Roman"/>
          <w:i/>
          <w:szCs w:val="24"/>
        </w:rPr>
      </w:pPr>
    </w:p>
    <w:p w:rsidR="006D6D00" w:rsidRPr="00E41264" w:rsidRDefault="006D6D00" w:rsidP="006D6D00">
      <w:pPr>
        <w:spacing w:line="240" w:lineRule="auto"/>
        <w:rPr>
          <w:rFonts w:eastAsia="Times New Roman" w:cs="Times New Roman"/>
          <w:i/>
          <w:szCs w:val="24"/>
        </w:rPr>
      </w:pPr>
      <w:r w:rsidRPr="00E41264">
        <w:rPr>
          <w:rFonts w:eastAsia="Times New Roman" w:cs="Times New Roman"/>
          <w:i/>
          <w:szCs w:val="24"/>
        </w:rPr>
        <w:t xml:space="preserve">Conversion Factors </w:t>
      </w:r>
    </w:p>
    <w:p w:rsidR="006D6D00" w:rsidRPr="00E41264" w:rsidRDefault="006D6D00" w:rsidP="006D6D00">
      <w:pPr>
        <w:spacing w:line="240" w:lineRule="auto"/>
        <w:rPr>
          <w:rFonts w:eastAsia="Times New Roman" w:cs="Times New Roman"/>
          <w:szCs w:val="24"/>
        </w:rPr>
      </w:pPr>
      <w:r w:rsidRPr="00E41264">
        <w:rPr>
          <w:rFonts w:eastAsia="Times New Roman" w:cs="Times New Roman"/>
          <w:szCs w:val="24"/>
        </w:rPr>
        <w:tab/>
      </w:r>
      <w:r w:rsidR="0059069D" w:rsidRPr="00E41264">
        <w:rPr>
          <w:rFonts w:eastAsia="Times New Roman" w:cs="Times New Roman"/>
          <w:szCs w:val="24"/>
        </w:rPr>
        <w:t>CO</w:t>
      </w:r>
      <w:r w:rsidR="0059069D" w:rsidRPr="00E41264">
        <w:rPr>
          <w:rFonts w:eastAsia="Times New Roman" w:cs="Times New Roman"/>
          <w:szCs w:val="24"/>
          <w:vertAlign w:val="subscript"/>
        </w:rPr>
        <w:t>2</w:t>
      </w:r>
      <w:r w:rsidRPr="00E41264">
        <w:rPr>
          <w:rFonts w:eastAsia="Times New Roman" w:cs="Times New Roman"/>
          <w:szCs w:val="24"/>
        </w:rPr>
        <w:tab/>
      </w:r>
      <w:r w:rsidRPr="00E41264">
        <w:rPr>
          <w:rFonts w:eastAsia="Times New Roman" w:cs="Times New Roman"/>
          <w:szCs w:val="24"/>
        </w:rPr>
        <w:tab/>
      </w:r>
      <w:r w:rsidRPr="00E41264">
        <w:rPr>
          <w:rFonts w:eastAsia="Times New Roman" w:cs="Times New Roman"/>
          <w:szCs w:val="24"/>
        </w:rPr>
        <w:tab/>
      </w:r>
      <w:r w:rsidR="006377E9" w:rsidRPr="00E41264">
        <w:rPr>
          <w:rFonts w:eastAsia="Times New Roman" w:cs="Times New Roman"/>
          <w:szCs w:val="24"/>
        </w:rPr>
        <w:t>0.</w:t>
      </w:r>
      <w:r w:rsidR="0059069D">
        <w:rPr>
          <w:rFonts w:eastAsia="Times New Roman" w:cs="Times New Roman"/>
          <w:szCs w:val="24"/>
        </w:rPr>
        <w:t>000000432</w:t>
      </w:r>
      <w:r w:rsidR="006377E9" w:rsidRPr="00E41264">
        <w:rPr>
          <w:rFonts w:eastAsia="Times New Roman" w:cs="Times New Roman"/>
          <w:szCs w:val="24"/>
        </w:rPr>
        <w:t xml:space="preserve"> </w:t>
      </w:r>
      <w:r w:rsidRPr="00E41264">
        <w:rPr>
          <w:rFonts w:eastAsia="Times New Roman" w:cs="Times New Roman"/>
          <w:szCs w:val="24"/>
        </w:rPr>
        <w:t xml:space="preserve">kg </w:t>
      </w:r>
      <w:r w:rsidR="0059069D" w:rsidRPr="00E41264">
        <w:rPr>
          <w:rFonts w:eastAsia="Times New Roman" w:cs="Times New Roman"/>
          <w:szCs w:val="24"/>
        </w:rPr>
        <w:t>CO</w:t>
      </w:r>
      <w:r w:rsidR="0059069D" w:rsidRPr="00E41264">
        <w:rPr>
          <w:rFonts w:eastAsia="Times New Roman" w:cs="Times New Roman"/>
          <w:szCs w:val="24"/>
          <w:vertAlign w:val="subscript"/>
        </w:rPr>
        <w:t>2</w:t>
      </w:r>
      <w:r w:rsidRPr="00E41264">
        <w:rPr>
          <w:rFonts w:eastAsia="Times New Roman" w:cs="Times New Roman"/>
          <w:szCs w:val="24"/>
          <w:vertAlign w:val="subscript"/>
        </w:rPr>
        <w:t xml:space="preserve"> </w:t>
      </w:r>
      <w:r w:rsidRPr="00E41264">
        <w:rPr>
          <w:rFonts w:eastAsia="Times New Roman" w:cs="Times New Roman"/>
          <w:szCs w:val="24"/>
        </w:rPr>
        <w:t>/gallon</w:t>
      </w:r>
    </w:p>
    <w:p w:rsidR="006D6D00" w:rsidRPr="00E41264" w:rsidRDefault="0059069D" w:rsidP="006D6D00">
      <w:pPr>
        <w:spacing w:line="240" w:lineRule="auto"/>
        <w:ind w:firstLine="720"/>
        <w:rPr>
          <w:rFonts w:eastAsia="Times New Roman" w:cs="Times New Roman"/>
          <w:szCs w:val="24"/>
        </w:rPr>
      </w:pPr>
      <w:r w:rsidRPr="00E41264">
        <w:rPr>
          <w:rFonts w:eastAsia="Times New Roman" w:cs="Times New Roman"/>
          <w:szCs w:val="24"/>
        </w:rPr>
        <w:t>CO</w:t>
      </w:r>
      <w:r w:rsidRPr="00E41264">
        <w:rPr>
          <w:rFonts w:eastAsia="Times New Roman" w:cs="Times New Roman"/>
          <w:szCs w:val="24"/>
          <w:vertAlign w:val="subscript"/>
        </w:rPr>
        <w:t>2</w:t>
      </w:r>
      <w:r w:rsidR="006D6D00" w:rsidRPr="00E41264">
        <w:rPr>
          <w:rFonts w:eastAsia="Times New Roman" w:cs="Times New Roman"/>
          <w:szCs w:val="24"/>
        </w:rPr>
        <w:tab/>
      </w:r>
      <w:r w:rsidR="006D6D00" w:rsidRPr="00E41264">
        <w:rPr>
          <w:rFonts w:eastAsia="Times New Roman" w:cs="Times New Roman"/>
          <w:szCs w:val="24"/>
        </w:rPr>
        <w:tab/>
      </w:r>
      <w:r>
        <w:rPr>
          <w:rFonts w:eastAsia="Times New Roman" w:cs="Times New Roman"/>
          <w:szCs w:val="24"/>
        </w:rPr>
        <w:t xml:space="preserve">            0.0001736</w:t>
      </w:r>
      <w:r w:rsidR="006D6D00" w:rsidRPr="00E41264">
        <w:rPr>
          <w:rFonts w:eastAsia="Times New Roman" w:cs="Times New Roman"/>
          <w:szCs w:val="24"/>
        </w:rPr>
        <w:t xml:space="preserve"> kg </w:t>
      </w:r>
      <w:r w:rsidRPr="00E41264">
        <w:rPr>
          <w:rFonts w:eastAsia="Times New Roman" w:cs="Times New Roman"/>
          <w:szCs w:val="24"/>
        </w:rPr>
        <w:t>CO</w:t>
      </w:r>
      <w:r w:rsidRPr="00E41264">
        <w:rPr>
          <w:rFonts w:eastAsia="Times New Roman" w:cs="Times New Roman"/>
          <w:szCs w:val="24"/>
          <w:vertAlign w:val="subscript"/>
        </w:rPr>
        <w:t>2</w:t>
      </w:r>
      <w:r w:rsidR="006D6D00" w:rsidRPr="00E41264">
        <w:rPr>
          <w:rFonts w:eastAsia="Times New Roman" w:cs="Times New Roman"/>
          <w:szCs w:val="24"/>
          <w:vertAlign w:val="subscript"/>
        </w:rPr>
        <w:t xml:space="preserve"> </w:t>
      </w:r>
      <w:r w:rsidR="006D6D00" w:rsidRPr="00E41264">
        <w:rPr>
          <w:rFonts w:eastAsia="Times New Roman" w:cs="Times New Roman"/>
          <w:szCs w:val="24"/>
        </w:rPr>
        <w:t>/pound</w:t>
      </w:r>
    </w:p>
    <w:p w:rsidR="006D6D00" w:rsidRDefault="006D6D00" w:rsidP="006D6D00">
      <w:pPr>
        <w:spacing w:line="240" w:lineRule="auto"/>
        <w:rPr>
          <w:rFonts w:eastAsia="Times New Roman" w:cs="Times New Roman"/>
          <w:i/>
          <w:szCs w:val="24"/>
        </w:rPr>
      </w:pPr>
      <w:r w:rsidRPr="00E41264">
        <w:rPr>
          <w:rFonts w:eastAsia="Times New Roman" w:cs="Times New Roman"/>
          <w:i/>
          <w:szCs w:val="24"/>
        </w:rPr>
        <w:t>Calculation Method</w:t>
      </w:r>
    </w:p>
    <w:p w:rsidR="00FD3408" w:rsidRPr="00851C30" w:rsidRDefault="00E44F6A" w:rsidP="00BE648A">
      <w:pPr>
        <w:spacing w:line="240" w:lineRule="auto"/>
        <w:ind w:left="720" w:firstLine="720"/>
        <w:rPr>
          <w:rFonts w:eastAsia="Times New Roman" w:cs="Times New Roman"/>
          <w:i/>
          <w:szCs w:val="24"/>
          <w:lang w:val="es-ES"/>
        </w:rPr>
      </w:pPr>
      <m:oMathPara>
        <m:oMathParaPr>
          <m:jc m:val="left"/>
        </m:oMathParaPr>
        <m:oMath>
          <m:d>
            <m:dPr>
              <m:ctrlPr>
                <w:rPr>
                  <w:rFonts w:ascii="Cambria Math" w:eastAsia="Times New Roman" w:hAnsi="Cambria Math" w:cs="Times New Roman"/>
                  <w:i/>
                  <w:szCs w:val="24"/>
                </w:rPr>
              </m:ctrlPr>
            </m:dPr>
            <m:e>
              <m:r>
                <m:rPr>
                  <m:nor/>
                </m:rPr>
                <w:rPr>
                  <w:rFonts w:eastAsia="Times New Roman" w:cs="Times New Roman"/>
                  <w:szCs w:val="24"/>
                  <w:lang w:val="es-ES"/>
                </w:rPr>
                <m:t>49,072,400 gallon</m:t>
              </m:r>
            </m:e>
          </m:d>
          <m:r>
            <m:rPr>
              <m:nor/>
            </m:rPr>
            <w:rPr>
              <w:rFonts w:eastAsia="Times New Roman" w:cs="Times New Roman"/>
              <w:szCs w:val="24"/>
              <w:lang w:val="es-ES"/>
            </w:rPr>
            <m:t xml:space="preserve"> × </m:t>
          </m:r>
          <m:d>
            <m:dPr>
              <m:ctrlPr>
                <w:rPr>
                  <w:rFonts w:ascii="Cambria Math" w:eastAsia="Times New Roman" w:hAnsi="Cambria Math" w:cs="Times New Roman"/>
                  <w:i/>
                  <w:szCs w:val="24"/>
                </w:rPr>
              </m:ctrlPr>
            </m:dPr>
            <m:e>
              <m:f>
                <m:fPr>
                  <m:ctrlPr>
                    <w:rPr>
                      <w:rFonts w:ascii="Cambria Math" w:eastAsia="Times New Roman" w:hAnsi="Cambria Math" w:cs="Times New Roman"/>
                      <w:i/>
                      <w:szCs w:val="24"/>
                    </w:rPr>
                  </m:ctrlPr>
                </m:fPr>
                <m:num>
                  <m:r>
                    <m:rPr>
                      <m:nor/>
                    </m:rPr>
                    <w:rPr>
                      <w:rFonts w:eastAsia="Times New Roman" w:cs="Times New Roman"/>
                      <w:szCs w:val="24"/>
                      <w:lang w:val="es-ES"/>
                    </w:rPr>
                    <m:t>0.000000432 kg C</m:t>
                  </m:r>
                  <m:sSub>
                    <m:sSubPr>
                      <m:ctrlPr>
                        <w:rPr>
                          <w:rFonts w:ascii="Cambria Math" w:eastAsia="Times New Roman" w:hAnsi="Cambria Math" w:cs="Times New Roman"/>
                          <w:i/>
                          <w:szCs w:val="24"/>
                        </w:rPr>
                      </m:ctrlPr>
                    </m:sSubPr>
                    <m:e>
                      <m:r>
                        <m:rPr>
                          <m:nor/>
                        </m:rPr>
                        <w:rPr>
                          <w:rFonts w:eastAsia="Times New Roman" w:cs="Times New Roman"/>
                          <w:szCs w:val="24"/>
                          <w:lang w:val="es-ES"/>
                        </w:rPr>
                        <m:t>O</m:t>
                      </m:r>
                    </m:e>
                    <m:sub>
                      <m:r>
                        <m:rPr>
                          <m:nor/>
                        </m:rPr>
                        <w:rPr>
                          <w:rFonts w:eastAsia="Times New Roman" w:cs="Times New Roman"/>
                          <w:szCs w:val="24"/>
                          <w:lang w:val="es-ES"/>
                        </w:rPr>
                        <m:t>2</m:t>
                      </m:r>
                    </m:sub>
                  </m:sSub>
                </m:num>
                <m:den>
                  <m:r>
                    <m:rPr>
                      <m:nor/>
                    </m:rPr>
                    <w:rPr>
                      <w:rFonts w:eastAsia="Times New Roman" w:cs="Times New Roman"/>
                      <w:szCs w:val="24"/>
                      <w:lang w:val="es-ES"/>
                    </w:rPr>
                    <m:t>1 gal</m:t>
                  </m:r>
                </m:den>
              </m:f>
            </m:e>
          </m:d>
          <m:r>
            <m:rPr>
              <m:nor/>
            </m:rPr>
            <w:rPr>
              <w:rFonts w:ascii="Cambria Math" w:eastAsia="Times New Roman" w:cs="Times New Roman"/>
              <w:szCs w:val="24"/>
              <w:lang w:val="es-ES"/>
            </w:rPr>
            <m:t xml:space="preserve"> </m:t>
          </m:r>
          <m:r>
            <m:rPr>
              <m:nor/>
            </m:rPr>
            <w:rPr>
              <w:rFonts w:eastAsia="Times New Roman" w:cs="Times New Roman"/>
              <w:szCs w:val="24"/>
              <w:lang w:val="es-ES"/>
            </w:rPr>
            <m:t>=</m:t>
          </m:r>
          <m:r>
            <m:rPr>
              <m:nor/>
            </m:rPr>
            <w:rPr>
              <w:rFonts w:ascii="Cambria Math" w:eastAsia="Times New Roman" w:cs="Times New Roman"/>
              <w:szCs w:val="24"/>
              <w:lang w:val="es-ES"/>
            </w:rPr>
            <m:t xml:space="preserve"> </m:t>
          </m:r>
          <m:r>
            <m:rPr>
              <m:nor/>
            </m:rPr>
            <w:rPr>
              <w:rFonts w:eastAsia="Times New Roman" w:cs="Times New Roman"/>
              <w:szCs w:val="24"/>
              <w:lang w:val="es-ES"/>
            </w:rPr>
            <m:t>21.21 kg C</m:t>
          </m:r>
          <m:sSub>
            <m:sSubPr>
              <m:ctrlPr>
                <w:rPr>
                  <w:rFonts w:ascii="Cambria Math" w:eastAsia="Times New Roman" w:hAnsi="Cambria Math" w:cs="Times New Roman"/>
                  <w:i/>
                  <w:szCs w:val="24"/>
                </w:rPr>
              </m:ctrlPr>
            </m:sSubPr>
            <m:e>
              <m:r>
                <m:rPr>
                  <m:nor/>
                </m:rPr>
                <w:rPr>
                  <w:rFonts w:eastAsia="Times New Roman" w:cs="Times New Roman"/>
                  <w:szCs w:val="24"/>
                  <w:lang w:val="es-ES"/>
                </w:rPr>
                <m:t>O</m:t>
              </m:r>
            </m:e>
            <m:sub>
              <m:r>
                <m:rPr>
                  <m:nor/>
                </m:rPr>
                <w:rPr>
                  <w:rFonts w:eastAsia="Times New Roman" w:cs="Times New Roman"/>
                  <w:szCs w:val="24"/>
                  <w:lang w:val="es-ES"/>
                </w:rPr>
                <m:t>2</m:t>
              </m:r>
            </m:sub>
          </m:sSub>
          <m:r>
            <m:rPr>
              <m:nor/>
            </m:rPr>
            <w:rPr>
              <w:rFonts w:eastAsia="Times New Roman" w:cs="Times New Roman"/>
              <w:szCs w:val="24"/>
              <w:lang w:val="es-ES"/>
            </w:rPr>
            <m:t xml:space="preserve"> </m:t>
          </m:r>
          <w:proofErr w:type="spellStart"/>
          <m:r>
            <m:rPr>
              <m:nor/>
            </m:rPr>
            <w:rPr>
              <w:rFonts w:eastAsia="Times New Roman" w:cs="Times New Roman"/>
              <w:szCs w:val="24"/>
              <w:lang w:val="es-ES"/>
            </w:rPr>
            <m:t>Wastewater</m:t>
          </m:r>
        </m:oMath>
      </m:oMathPara>
      <w:proofErr w:type="spellEnd"/>
    </w:p>
    <w:p w:rsidR="00851C30" w:rsidRPr="00BE648A" w:rsidRDefault="00851C30" w:rsidP="00BE648A">
      <w:pPr>
        <w:spacing w:line="240" w:lineRule="auto"/>
        <w:ind w:left="720" w:firstLine="720"/>
        <w:rPr>
          <w:rFonts w:eastAsia="Times New Roman" w:cs="Times New Roman"/>
          <w:i/>
          <w:szCs w:val="24"/>
          <w:lang w:val="es-ES"/>
        </w:rPr>
      </w:pPr>
    </w:p>
    <w:p w:rsidR="00BE648A" w:rsidRPr="00BE648A" w:rsidRDefault="00E44F6A" w:rsidP="00BE648A">
      <w:pPr>
        <w:spacing w:line="240" w:lineRule="auto"/>
        <w:ind w:left="720" w:firstLine="720"/>
        <w:rPr>
          <w:rFonts w:eastAsia="Times New Roman" w:cs="Times New Roman"/>
          <w:i/>
          <w:szCs w:val="24"/>
          <w:lang w:val="es-ES"/>
        </w:rPr>
      </w:pPr>
      <m:oMathPara>
        <m:oMathParaPr>
          <m:jc m:val="left"/>
        </m:oMathParaPr>
        <m:oMath>
          <m:d>
            <m:dPr>
              <m:ctrlPr>
                <w:rPr>
                  <w:rFonts w:ascii="Cambria Math" w:eastAsia="Times New Roman" w:hAnsi="Cambria Math" w:cs="Times New Roman"/>
                  <w:i/>
                  <w:szCs w:val="24"/>
                </w:rPr>
              </m:ctrlPr>
            </m:dPr>
            <m:e>
              <m:r>
                <m:rPr>
                  <m:nor/>
                </m:rPr>
                <w:rPr>
                  <w:rFonts w:eastAsia="Times New Roman" w:cs="Times New Roman"/>
                  <w:szCs w:val="24"/>
                  <w:lang w:val="es-ES"/>
                </w:rPr>
                <m:t>2,486,400 lb</m:t>
              </m:r>
            </m:e>
          </m:d>
          <m:r>
            <m:rPr>
              <m:nor/>
            </m:rPr>
            <w:rPr>
              <w:rFonts w:eastAsia="Times New Roman" w:cs="Times New Roman"/>
              <w:szCs w:val="24"/>
              <w:lang w:val="es-ES"/>
            </w:rPr>
            <m:t xml:space="preserve"> × </m:t>
          </m:r>
          <m:d>
            <m:dPr>
              <m:ctrlPr>
                <w:rPr>
                  <w:rFonts w:ascii="Cambria Math" w:eastAsia="Times New Roman" w:hAnsi="Cambria Math" w:cs="Times New Roman"/>
                  <w:i/>
                  <w:szCs w:val="24"/>
                </w:rPr>
              </m:ctrlPr>
            </m:dPr>
            <m:e>
              <m:f>
                <m:fPr>
                  <m:ctrlPr>
                    <w:rPr>
                      <w:rFonts w:ascii="Cambria Math" w:eastAsia="Times New Roman" w:hAnsi="Cambria Math" w:cs="Times New Roman"/>
                      <w:i/>
                      <w:szCs w:val="24"/>
                    </w:rPr>
                  </m:ctrlPr>
                </m:fPr>
                <m:num>
                  <m:r>
                    <m:rPr>
                      <m:nor/>
                    </m:rPr>
                    <w:rPr>
                      <w:rFonts w:eastAsia="Times New Roman" w:cs="Times New Roman"/>
                      <w:szCs w:val="24"/>
                      <w:lang w:val="es-ES"/>
                    </w:rPr>
                    <m:t>0.0001736 kg C</m:t>
                  </m:r>
                  <m:sSub>
                    <m:sSubPr>
                      <m:ctrlPr>
                        <w:rPr>
                          <w:rFonts w:ascii="Cambria Math" w:eastAsia="Times New Roman" w:hAnsi="Cambria Math" w:cs="Times New Roman"/>
                          <w:i/>
                          <w:szCs w:val="24"/>
                        </w:rPr>
                      </m:ctrlPr>
                    </m:sSubPr>
                    <m:e>
                      <m:r>
                        <m:rPr>
                          <m:nor/>
                        </m:rPr>
                        <w:rPr>
                          <w:rFonts w:eastAsia="Times New Roman" w:cs="Times New Roman"/>
                          <w:szCs w:val="24"/>
                          <w:lang w:val="es-ES"/>
                        </w:rPr>
                        <m:t>O</m:t>
                      </m:r>
                    </m:e>
                    <m:sub>
                      <m:r>
                        <m:rPr>
                          <m:nor/>
                        </m:rPr>
                        <w:rPr>
                          <w:rFonts w:eastAsia="Times New Roman" w:cs="Times New Roman"/>
                          <w:szCs w:val="24"/>
                          <w:lang w:val="es-ES"/>
                        </w:rPr>
                        <m:t>2</m:t>
                      </m:r>
                    </m:sub>
                  </m:sSub>
                </m:num>
                <m:den>
                  <m:r>
                    <m:rPr>
                      <m:nor/>
                    </m:rPr>
                    <w:rPr>
                      <w:rFonts w:ascii="Cambria Math" w:eastAsia="Times New Roman" w:cs="Times New Roman"/>
                      <w:szCs w:val="24"/>
                      <w:lang w:val="es-ES"/>
                    </w:rPr>
                    <m:t xml:space="preserve">1 </m:t>
                  </m:r>
                  <m:r>
                    <m:rPr>
                      <m:nor/>
                    </m:rPr>
                    <w:rPr>
                      <w:rFonts w:eastAsia="Times New Roman" w:cs="Times New Roman"/>
                      <w:szCs w:val="24"/>
                      <w:lang w:val="es-ES"/>
                    </w:rPr>
                    <m:t>lb</m:t>
                  </m:r>
                </m:den>
              </m:f>
            </m:e>
          </m:d>
          <m:r>
            <m:rPr>
              <m:nor/>
            </m:rPr>
            <w:rPr>
              <w:rFonts w:ascii="Cambria Math" w:eastAsia="Times New Roman" w:cs="Times New Roman"/>
              <w:szCs w:val="24"/>
              <w:lang w:val="es-ES"/>
            </w:rPr>
            <m:t xml:space="preserve"> </m:t>
          </m:r>
          <m:r>
            <m:rPr>
              <m:nor/>
            </m:rPr>
            <w:rPr>
              <w:rFonts w:eastAsia="Times New Roman" w:cs="Times New Roman"/>
              <w:szCs w:val="24"/>
              <w:lang w:val="es-ES"/>
            </w:rPr>
            <m:t>=</m:t>
          </m:r>
          <m:r>
            <m:rPr>
              <m:nor/>
            </m:rPr>
            <w:rPr>
              <w:rFonts w:ascii="Cambria Math" w:eastAsia="Times New Roman" w:cs="Times New Roman"/>
              <w:szCs w:val="24"/>
              <w:lang w:val="es-ES"/>
            </w:rPr>
            <m:t xml:space="preserve"> </m:t>
          </m:r>
          <m:r>
            <m:rPr>
              <m:nor/>
            </m:rPr>
            <w:rPr>
              <w:rFonts w:eastAsia="Times New Roman" w:cs="Times New Roman"/>
              <w:szCs w:val="24"/>
              <w:lang w:val="es-ES"/>
            </w:rPr>
            <m:t>431.64 kg C</m:t>
          </m:r>
          <m:sSub>
            <m:sSubPr>
              <m:ctrlPr>
                <w:rPr>
                  <w:rFonts w:ascii="Cambria Math" w:eastAsia="Times New Roman" w:hAnsi="Cambria Math" w:cs="Times New Roman"/>
                  <w:i/>
                  <w:szCs w:val="24"/>
                </w:rPr>
              </m:ctrlPr>
            </m:sSubPr>
            <m:e>
              <m:r>
                <m:rPr>
                  <m:nor/>
                </m:rPr>
                <w:rPr>
                  <w:rFonts w:eastAsia="Times New Roman" w:cs="Times New Roman"/>
                  <w:szCs w:val="24"/>
                  <w:lang w:val="es-ES"/>
                </w:rPr>
                <m:t>O</m:t>
              </m:r>
            </m:e>
            <m:sub>
              <m:r>
                <m:rPr>
                  <m:nor/>
                </m:rPr>
                <w:rPr>
                  <w:rFonts w:eastAsia="Times New Roman" w:cs="Times New Roman"/>
                  <w:szCs w:val="24"/>
                  <w:lang w:val="es-ES"/>
                </w:rPr>
                <m:t>2</m:t>
              </m:r>
            </m:sub>
          </m:sSub>
          <m:r>
            <m:rPr>
              <m:nor/>
            </m:rPr>
            <w:rPr>
              <w:rFonts w:eastAsia="Times New Roman" w:cs="Times New Roman"/>
              <w:szCs w:val="24"/>
              <w:lang w:val="es-ES"/>
            </w:rPr>
            <m:t xml:space="preserve"> </m:t>
          </m:r>
          <w:proofErr w:type="spellStart"/>
          <m:r>
            <m:rPr>
              <m:nor/>
            </m:rPr>
            <w:rPr>
              <w:rFonts w:eastAsia="Times New Roman" w:cs="Times New Roman"/>
              <w:szCs w:val="24"/>
              <w:lang w:val="es-ES"/>
            </w:rPr>
            <m:t>Waste</m:t>
          </m:r>
        </m:oMath>
      </m:oMathPara>
      <w:proofErr w:type="spellEnd"/>
    </w:p>
    <w:p w:rsidR="006D6D00" w:rsidRPr="00851C30" w:rsidRDefault="006D6D00" w:rsidP="006D6D00">
      <w:pPr>
        <w:spacing w:line="240" w:lineRule="auto"/>
        <w:rPr>
          <w:b/>
          <w:lang w:val="es-ES"/>
        </w:rPr>
      </w:pPr>
    </w:p>
    <w:p w:rsidR="006D6D00" w:rsidRPr="00851C30" w:rsidRDefault="006D6D00" w:rsidP="00D41F08">
      <w:pPr>
        <w:rPr>
          <w:lang w:val="es-ES"/>
        </w:rPr>
      </w:pPr>
    </w:p>
    <w:p w:rsidR="00D41F08" w:rsidRPr="00851C30" w:rsidRDefault="00D41F08" w:rsidP="00D41F08">
      <w:pPr>
        <w:rPr>
          <w:lang w:val="es-ES"/>
        </w:rPr>
      </w:pPr>
    </w:p>
    <w:p w:rsidR="00D41F08" w:rsidRPr="00E41264" w:rsidRDefault="00D41F08" w:rsidP="00D41F08">
      <w:pPr>
        <w:pStyle w:val="Heading1"/>
      </w:pPr>
      <w:bookmarkStart w:id="13" w:name="_Toc35933047"/>
      <w:r w:rsidRPr="00E41264">
        <w:lastRenderedPageBreak/>
        <w:t>Carbon Sinks &amp; Sequestration</w:t>
      </w:r>
      <w:bookmarkEnd w:id="13"/>
    </w:p>
    <w:p w:rsidR="00D41F08" w:rsidRPr="00E41264" w:rsidRDefault="00D41F08" w:rsidP="00D41F08"/>
    <w:p w:rsidR="00217CB3" w:rsidRPr="00536EF7" w:rsidRDefault="00D41F08" w:rsidP="00A76910">
      <w:pPr>
        <w:rPr>
          <w:b/>
        </w:rPr>
      </w:pPr>
      <w:r w:rsidRPr="00E41264">
        <w:rPr>
          <w:b/>
        </w:rPr>
        <w:t>Non-Additional Sequestration</w:t>
      </w:r>
    </w:p>
    <w:p w:rsidR="00A76910" w:rsidRPr="00E41264" w:rsidRDefault="00A76910" w:rsidP="00A76910">
      <w:r w:rsidRPr="00E41264">
        <w:t>The Florida Tech Campus is situated in a geographic location that straddles a small flowing body of water called Crane Creek which feeds into the Indian River Lagoon. This means that a significant portion of wetlands exist on campus (26.02 acres), a portion of which is protected within the Gordon &amp; Joy Patterson Botanical Gardens (19.4 acres). These wetlands serve as a carbon sequestra</w:t>
      </w:r>
      <w:r w:rsidR="00671602">
        <w:t>tion for our campus footprint and</w:t>
      </w:r>
      <w:r w:rsidRPr="00E41264">
        <w:t xml:space="preserve"> a sponge</w:t>
      </w:r>
      <w:r w:rsidR="00671602">
        <w:t xml:space="preserve"> for any emissions that occur. A</w:t>
      </w:r>
      <w:r w:rsidRPr="00E41264">
        <w:t>lthough it does not subtract from the overall footprint</w:t>
      </w:r>
      <w:r w:rsidR="00671602">
        <w:t>,</w:t>
      </w:r>
      <w:r w:rsidRPr="00E41264">
        <w:t xml:space="preserve"> it is non-additional sequestration</w:t>
      </w:r>
      <w:r w:rsidR="002D6615">
        <w:rPr>
          <w:rStyle w:val="FootnoteReference"/>
        </w:rPr>
        <w:footnoteReference w:id="16"/>
      </w:r>
      <w:r w:rsidRPr="00E41264">
        <w:t>. The conversion factors are listed below.</w:t>
      </w:r>
    </w:p>
    <w:p w:rsidR="00A76910" w:rsidRPr="00E41264" w:rsidRDefault="00A76910" w:rsidP="00A76910">
      <w:pPr>
        <w:spacing w:line="240" w:lineRule="auto"/>
        <w:rPr>
          <w:rFonts w:eastAsia="Times New Roman" w:cs="Times New Roman"/>
          <w:i/>
          <w:szCs w:val="24"/>
        </w:rPr>
      </w:pPr>
      <w:r w:rsidRPr="00E41264">
        <w:rPr>
          <w:rFonts w:eastAsia="Times New Roman" w:cs="Times New Roman"/>
          <w:i/>
          <w:szCs w:val="24"/>
        </w:rPr>
        <w:t xml:space="preserve">Conversion Factors </w:t>
      </w:r>
    </w:p>
    <w:p w:rsidR="00A76910" w:rsidRPr="00E41264" w:rsidRDefault="00A76910" w:rsidP="00A76910">
      <w:pPr>
        <w:spacing w:line="240" w:lineRule="auto"/>
        <w:rPr>
          <w:rFonts w:eastAsia="Times New Roman" w:cs="Times New Roman"/>
          <w:szCs w:val="24"/>
        </w:rPr>
      </w:pPr>
      <w:r w:rsidRPr="00E41264">
        <w:rPr>
          <w:rFonts w:eastAsia="Times New Roman" w:cs="Times New Roman"/>
          <w:szCs w:val="24"/>
        </w:rPr>
        <w:tab/>
        <w:t>CO</w:t>
      </w:r>
      <w:r w:rsidRPr="00E41264">
        <w:rPr>
          <w:rFonts w:eastAsia="Times New Roman" w:cs="Times New Roman"/>
          <w:szCs w:val="24"/>
          <w:vertAlign w:val="subscript"/>
        </w:rPr>
        <w:t>2</w:t>
      </w:r>
      <w:r w:rsidRPr="00E41264">
        <w:rPr>
          <w:rFonts w:eastAsia="Times New Roman" w:cs="Times New Roman"/>
          <w:szCs w:val="24"/>
        </w:rPr>
        <w:t xml:space="preserve"> </w:t>
      </w:r>
      <w:r w:rsidRPr="00E41264">
        <w:rPr>
          <w:rFonts w:eastAsia="Times New Roman" w:cs="Times New Roman"/>
          <w:szCs w:val="24"/>
        </w:rPr>
        <w:tab/>
      </w:r>
      <w:r w:rsidRPr="00E41264">
        <w:rPr>
          <w:rFonts w:eastAsia="Times New Roman" w:cs="Times New Roman"/>
          <w:szCs w:val="24"/>
        </w:rPr>
        <w:tab/>
      </w:r>
      <w:r w:rsidRPr="00E41264">
        <w:rPr>
          <w:rFonts w:eastAsia="Times New Roman" w:cs="Times New Roman"/>
          <w:szCs w:val="24"/>
        </w:rPr>
        <w:tab/>
        <w:t>148.50000 kg CO</w:t>
      </w:r>
      <w:r w:rsidRPr="00E41264">
        <w:rPr>
          <w:rFonts w:eastAsia="Times New Roman" w:cs="Times New Roman"/>
          <w:szCs w:val="24"/>
          <w:vertAlign w:val="subscript"/>
        </w:rPr>
        <w:t xml:space="preserve">2 </w:t>
      </w:r>
      <w:r w:rsidRPr="00E41264">
        <w:rPr>
          <w:rFonts w:eastAsia="Times New Roman" w:cs="Times New Roman"/>
          <w:szCs w:val="24"/>
        </w:rPr>
        <w:t>/acre</w:t>
      </w:r>
    </w:p>
    <w:p w:rsidR="00A76910" w:rsidRDefault="00A76910" w:rsidP="00A76910">
      <w:pPr>
        <w:spacing w:line="240" w:lineRule="auto"/>
        <w:rPr>
          <w:rFonts w:eastAsia="Times New Roman" w:cs="Times New Roman"/>
          <w:i/>
          <w:szCs w:val="24"/>
        </w:rPr>
      </w:pPr>
      <w:r w:rsidRPr="00E41264">
        <w:rPr>
          <w:rFonts w:eastAsia="Times New Roman" w:cs="Times New Roman"/>
          <w:i/>
          <w:szCs w:val="24"/>
        </w:rPr>
        <w:t>Calculation Method</w:t>
      </w:r>
    </w:p>
    <w:p w:rsidR="00851C30" w:rsidRPr="00F53F22" w:rsidRDefault="00E44F6A" w:rsidP="00F53F22">
      <w:pPr>
        <w:spacing w:line="240" w:lineRule="auto"/>
        <w:ind w:left="720" w:firstLine="720"/>
        <w:rPr>
          <w:rFonts w:eastAsia="Times New Roman" w:cs="Times New Roman"/>
          <w:i/>
          <w:szCs w:val="24"/>
        </w:rPr>
      </w:pPr>
      <m:oMathPara>
        <m:oMathParaPr>
          <m:jc m:val="left"/>
        </m:oMathParaPr>
        <m:oMath>
          <m:d>
            <m:dPr>
              <m:ctrlPr>
                <w:rPr>
                  <w:rFonts w:ascii="Cambria Math" w:eastAsia="Times New Roman" w:hAnsi="Cambria Math" w:cs="Times New Roman"/>
                  <w:i/>
                  <w:szCs w:val="24"/>
                </w:rPr>
              </m:ctrlPr>
            </m:dPr>
            <m:e>
              <m:r>
                <m:rPr>
                  <m:nor/>
                </m:rPr>
                <w:rPr>
                  <w:rFonts w:eastAsia="Times New Roman" w:cs="Times New Roman"/>
                  <w:szCs w:val="24"/>
                </w:rPr>
                <m:t>26.02 acres</m:t>
              </m:r>
            </m:e>
          </m:d>
          <m:r>
            <m:rPr>
              <m:nor/>
            </m:rPr>
            <w:rPr>
              <w:rFonts w:eastAsia="Times New Roman" w:cs="Times New Roman"/>
              <w:szCs w:val="24"/>
            </w:rPr>
            <m:t xml:space="preserve"> ×</m:t>
          </m:r>
          <m:r>
            <w:rPr>
              <w:rFonts w:ascii="Cambria Math" w:eastAsia="Times New Roman" w:hAnsi="Cambria Math" w:cs="Times New Roman"/>
              <w:szCs w:val="24"/>
            </w:rPr>
            <m:t xml:space="preserve"> </m:t>
          </m:r>
          <m:d>
            <m:dPr>
              <m:ctrlPr>
                <w:rPr>
                  <w:rFonts w:ascii="Cambria Math" w:eastAsia="Times New Roman" w:hAnsi="Cambria Math" w:cs="Times New Roman"/>
                  <w:i/>
                  <w:szCs w:val="24"/>
                </w:rPr>
              </m:ctrlPr>
            </m:dPr>
            <m:e>
              <m:f>
                <m:fPr>
                  <m:ctrlPr>
                    <w:rPr>
                      <w:rFonts w:ascii="Cambria Math" w:eastAsia="Times New Roman" w:hAnsi="Cambria Math" w:cs="Times New Roman"/>
                      <w:i/>
                      <w:szCs w:val="24"/>
                    </w:rPr>
                  </m:ctrlPr>
                </m:fPr>
                <m:num>
                  <m:r>
                    <m:rPr>
                      <m:nor/>
                    </m:rPr>
                    <w:rPr>
                      <w:rFonts w:eastAsia="Times New Roman" w:cs="Times New Roman"/>
                      <w:szCs w:val="24"/>
                    </w:rPr>
                    <m:t>-148,50000 kg C</m:t>
                  </m:r>
                  <m:sSub>
                    <m:sSubPr>
                      <m:ctrlPr>
                        <w:rPr>
                          <w:rFonts w:ascii="Cambria Math" w:eastAsia="Times New Roman" w:hAnsi="Cambria Math" w:cs="Times New Roman"/>
                          <w:i/>
                          <w:szCs w:val="24"/>
                        </w:rPr>
                      </m:ctrlPr>
                    </m:sSubPr>
                    <m:e>
                      <m:r>
                        <m:rPr>
                          <m:nor/>
                        </m:rPr>
                        <w:rPr>
                          <w:rFonts w:eastAsia="Times New Roman" w:cs="Times New Roman"/>
                          <w:szCs w:val="24"/>
                        </w:rPr>
                        <m:t>O</m:t>
                      </m:r>
                    </m:e>
                    <m:sub>
                      <m:r>
                        <m:rPr>
                          <m:nor/>
                        </m:rPr>
                        <w:rPr>
                          <w:rFonts w:eastAsia="Times New Roman" w:cs="Times New Roman"/>
                          <w:szCs w:val="24"/>
                        </w:rPr>
                        <m:t>2</m:t>
                      </m:r>
                    </m:sub>
                  </m:sSub>
                </m:num>
                <m:den>
                  <m:r>
                    <m:rPr>
                      <m:nor/>
                    </m:rPr>
                    <w:rPr>
                      <w:rFonts w:eastAsia="Times New Roman" w:cs="Times New Roman"/>
                      <w:szCs w:val="24"/>
                    </w:rPr>
                    <m:t>1 acre</m:t>
                  </m:r>
                </m:den>
              </m:f>
            </m:e>
          </m:d>
          <m:r>
            <m:rPr>
              <m:nor/>
            </m:rPr>
            <w:rPr>
              <w:rFonts w:eastAsia="Times New Roman" w:cs="Times New Roman"/>
              <w:szCs w:val="24"/>
            </w:rPr>
            <m:t>= -3864 eMT C</m:t>
          </m:r>
          <m:sSub>
            <m:sSubPr>
              <m:ctrlPr>
                <w:rPr>
                  <w:rFonts w:ascii="Cambria Math" w:eastAsia="Times New Roman" w:hAnsi="Cambria Math" w:cs="Times New Roman"/>
                  <w:i/>
                  <w:szCs w:val="24"/>
                </w:rPr>
              </m:ctrlPr>
            </m:sSubPr>
            <m:e>
              <m:r>
                <m:rPr>
                  <m:nor/>
                </m:rPr>
                <w:rPr>
                  <w:rFonts w:eastAsia="Times New Roman" w:cs="Times New Roman"/>
                  <w:szCs w:val="24"/>
                </w:rPr>
                <m:t>O</m:t>
              </m:r>
            </m:e>
            <m:sub>
              <m:r>
                <m:rPr>
                  <m:nor/>
                </m:rPr>
                <w:rPr>
                  <w:rFonts w:eastAsia="Times New Roman" w:cs="Times New Roman"/>
                  <w:szCs w:val="24"/>
                </w:rPr>
                <m:t>2</m:t>
              </m:r>
            </m:sub>
          </m:sSub>
        </m:oMath>
      </m:oMathPara>
    </w:p>
    <w:p w:rsidR="00A76910" w:rsidRPr="00E41264" w:rsidRDefault="00A76910" w:rsidP="00A76910">
      <w:pPr>
        <w:spacing w:line="240" w:lineRule="auto"/>
        <w:rPr>
          <w:b/>
        </w:rPr>
      </w:pPr>
    </w:p>
    <w:p w:rsidR="00A76910" w:rsidRPr="00E41264" w:rsidRDefault="00A76910" w:rsidP="00A76910"/>
    <w:p w:rsidR="003F2BAD" w:rsidRPr="00E41264" w:rsidRDefault="003F2BAD" w:rsidP="003F2BAD">
      <w:pPr>
        <w:spacing w:line="240" w:lineRule="auto"/>
        <w:rPr>
          <w:rFonts w:eastAsia="Times New Roman" w:cs="Times New Roman"/>
          <w:b/>
          <w:szCs w:val="24"/>
        </w:rPr>
      </w:pPr>
    </w:p>
    <w:p w:rsidR="00536FBB" w:rsidRPr="00E41264" w:rsidRDefault="00536FBB">
      <w:pPr>
        <w:rPr>
          <w:rFonts w:eastAsia="Times New Roman" w:cs="Times New Roman"/>
          <w:szCs w:val="24"/>
        </w:rPr>
      </w:pPr>
      <w:r w:rsidRPr="00E41264">
        <w:rPr>
          <w:rFonts w:eastAsia="Times New Roman" w:cs="Times New Roman"/>
          <w:szCs w:val="24"/>
        </w:rPr>
        <w:br w:type="page"/>
      </w:r>
    </w:p>
    <w:p w:rsidR="00536FBB" w:rsidRDefault="00536FBB" w:rsidP="00035C14">
      <w:pPr>
        <w:pStyle w:val="Heading1"/>
      </w:pPr>
      <w:bookmarkStart w:id="14" w:name="_Toc35933048"/>
      <w:r w:rsidRPr="00E41264">
        <w:lastRenderedPageBreak/>
        <w:t>Summary</w:t>
      </w:r>
      <w:bookmarkEnd w:id="14"/>
    </w:p>
    <w:p w:rsidR="00035C14" w:rsidRPr="00035C14" w:rsidRDefault="00035C14" w:rsidP="00035C14"/>
    <w:p w:rsidR="00536FBB" w:rsidRPr="00E41264" w:rsidRDefault="00671602" w:rsidP="00536FBB">
      <w:r>
        <w:t>This is the first of what will become</w:t>
      </w:r>
      <w:r w:rsidR="00536FBB" w:rsidRPr="00E41264">
        <w:t xml:space="preserve"> annual reporting of the Florida Institute of Technology’s greenhouse gas emissions (GHG) for our entire campus operations. The first year will serve as an inaugural exercise of the collection of data, encouraging the participatio</w:t>
      </w:r>
      <w:r w:rsidR="000B557E">
        <w:t>n of various campus departments</w:t>
      </w:r>
      <w:r w:rsidR="00536FBB" w:rsidRPr="00E41264">
        <w:t xml:space="preserve"> and the involvement of our management system to recognize the significance of understanding the numbers that back up our operational qualities. Florida Tech has produced a net </w:t>
      </w:r>
      <w:r w:rsidR="0059069D">
        <w:t>34,345.34</w:t>
      </w:r>
      <w:r w:rsidR="00536FBB" w:rsidRPr="00E41264">
        <w:t xml:space="preserve"> metric tons carbon dioxide equivalent (MTCDE) of emissions for the 2019 fiscal year</w:t>
      </w:r>
      <w:r w:rsidR="00341768" w:rsidRPr="00E41264">
        <w:t>.</w:t>
      </w:r>
    </w:p>
    <w:p w:rsidR="00536FBB" w:rsidRPr="00E41264" w:rsidRDefault="00536FBB" w:rsidP="00536FBB">
      <w:pPr>
        <w:rPr>
          <w:rFonts w:eastAsia="Times New Roman" w:cs="Times New Roman"/>
          <w:szCs w:val="24"/>
        </w:rPr>
      </w:pPr>
      <w:r w:rsidRPr="00E41264">
        <w:rPr>
          <w:rFonts w:eastAsia="Times New Roman" w:cs="Times New Roman"/>
          <w:szCs w:val="24"/>
        </w:rPr>
        <w:t xml:space="preserve">In comparison to universities of similar size, Florida Tech emits at a less than average rate. For example, Rice University in Houston, Texas has about 4,000 undergraduate students and Gross </w:t>
      </w:r>
      <w:r w:rsidR="00341768" w:rsidRPr="00E41264">
        <w:rPr>
          <w:rFonts w:eastAsia="Times New Roman" w:cs="Times New Roman"/>
          <w:szCs w:val="24"/>
        </w:rPr>
        <w:t xml:space="preserve">Scope 1 &amp; Scope 2 </w:t>
      </w:r>
      <w:r w:rsidRPr="00E41264">
        <w:rPr>
          <w:rFonts w:eastAsia="Times New Roman" w:cs="Times New Roman"/>
          <w:szCs w:val="24"/>
        </w:rPr>
        <w:t xml:space="preserve">Emissions from FY 2018 were 108,443 MTCDE (27.11 MTCDE/student). University of Florida, which is one of the sustainability leaders in Florida incurred about 363,581 MTDCE from scope 1 &amp; Scope 2 sources for </w:t>
      </w:r>
      <w:r w:rsidR="00341768" w:rsidRPr="00E41264">
        <w:rPr>
          <w:rFonts w:eastAsia="Times New Roman" w:cs="Times New Roman"/>
          <w:szCs w:val="24"/>
        </w:rPr>
        <w:t>51,887</w:t>
      </w:r>
      <w:r w:rsidRPr="00E41264">
        <w:rPr>
          <w:rFonts w:eastAsia="Times New Roman" w:cs="Times New Roman"/>
          <w:szCs w:val="24"/>
        </w:rPr>
        <w:t xml:space="preserve"> students (</w:t>
      </w:r>
      <w:r w:rsidR="00341768" w:rsidRPr="00E41264">
        <w:rPr>
          <w:rFonts w:eastAsia="Times New Roman" w:cs="Times New Roman"/>
          <w:szCs w:val="24"/>
        </w:rPr>
        <w:t>7.01</w:t>
      </w:r>
      <w:r w:rsidRPr="00E41264">
        <w:rPr>
          <w:rFonts w:eastAsia="Times New Roman" w:cs="Times New Roman"/>
          <w:szCs w:val="24"/>
        </w:rPr>
        <w:t xml:space="preserve"> MTCDE/Student). </w:t>
      </w:r>
      <w:r w:rsidR="00341768" w:rsidRPr="00E41264">
        <w:rPr>
          <w:rFonts w:eastAsia="Times New Roman" w:cs="Times New Roman"/>
          <w:szCs w:val="24"/>
        </w:rPr>
        <w:t xml:space="preserve">Florida Tech produced a total of </w:t>
      </w:r>
      <w:r w:rsidR="0059069D">
        <w:rPr>
          <w:rFonts w:eastAsia="Times New Roman" w:cs="Times New Roman"/>
          <w:szCs w:val="24"/>
        </w:rPr>
        <w:t>14,948.40</w:t>
      </w:r>
      <w:r w:rsidR="00341768" w:rsidRPr="00E41264">
        <w:rPr>
          <w:rFonts w:eastAsia="Times New Roman" w:cs="Times New Roman"/>
          <w:szCs w:val="24"/>
        </w:rPr>
        <w:t xml:space="preserve"> Scope 1 &amp; Scope 2 emissions for the same year for 4,685 students (</w:t>
      </w:r>
      <w:r w:rsidR="0059069D">
        <w:rPr>
          <w:rFonts w:eastAsia="Times New Roman" w:cs="Times New Roman"/>
          <w:szCs w:val="24"/>
        </w:rPr>
        <w:t>3.19</w:t>
      </w:r>
      <w:r w:rsidR="00341768" w:rsidRPr="00E41264">
        <w:rPr>
          <w:rFonts w:eastAsia="Times New Roman" w:cs="Times New Roman"/>
          <w:szCs w:val="24"/>
        </w:rPr>
        <w:t xml:space="preserve"> MTCDE/Student). </w:t>
      </w:r>
    </w:p>
    <w:p w:rsidR="00341768" w:rsidRPr="00E41264" w:rsidRDefault="00B946B8" w:rsidP="00536FBB">
      <w:r w:rsidRPr="000C665A">
        <w:rPr>
          <w:noProof/>
        </w:rPr>
        <w:drawing>
          <wp:anchor distT="0" distB="0" distL="114300" distR="114300" simplePos="0" relativeHeight="251658240" behindDoc="1" locked="0" layoutInCell="1" allowOverlap="1">
            <wp:simplePos x="0" y="0"/>
            <wp:positionH relativeFrom="column">
              <wp:posOffset>495300</wp:posOffset>
            </wp:positionH>
            <wp:positionV relativeFrom="paragraph">
              <wp:posOffset>668655</wp:posOffset>
            </wp:positionV>
            <wp:extent cx="4657725" cy="3366135"/>
            <wp:effectExtent l="0" t="0" r="9525" b="5715"/>
            <wp:wrapTopAndBottom/>
            <wp:docPr id="5" name="Picture 5" descr="C:\Users\qduffy2014\Downloads\newplo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qduffy2014\Downloads\newplot (2).png"/>
                    <pic:cNvPicPr>
                      <a:picLocks noChangeAspect="1" noChangeArrowheads="1"/>
                    </pic:cNvPicPr>
                  </pic:nvPicPr>
                  <pic:blipFill rotWithShape="1">
                    <a:blip r:embed="rId13">
                      <a:extLst>
                        <a:ext uri="{28A0092B-C50C-407E-A947-70E740481C1C}">
                          <a14:useLocalDpi xmlns:a14="http://schemas.microsoft.com/office/drawing/2010/main" val="0"/>
                        </a:ext>
                      </a:extLst>
                    </a:blip>
                    <a:srcRect b="15669"/>
                    <a:stretch/>
                  </pic:blipFill>
                  <pic:spPr bwMode="auto">
                    <a:xfrm>
                      <a:off x="0" y="0"/>
                      <a:ext cx="4657725" cy="33661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41768" w:rsidRPr="00E41264">
        <w:rPr>
          <w:rFonts w:eastAsia="Times New Roman" w:cs="Times New Roman"/>
          <w:szCs w:val="24"/>
        </w:rPr>
        <w:t>Overall, Florida Tech can always do better to lessen the impact it has on the local community, environment, and overall health of the university</w:t>
      </w:r>
      <w:r w:rsidR="000B557E">
        <w:rPr>
          <w:rFonts w:eastAsia="Times New Roman" w:cs="Times New Roman"/>
          <w:szCs w:val="24"/>
        </w:rPr>
        <w:t>,</w:t>
      </w:r>
      <w:r w:rsidR="00341768" w:rsidRPr="00E41264">
        <w:rPr>
          <w:rFonts w:eastAsia="Times New Roman" w:cs="Times New Roman"/>
          <w:szCs w:val="24"/>
        </w:rPr>
        <w:t xml:space="preserve"> but it has made significant improvements in the last few y</w:t>
      </w:r>
      <w:r w:rsidR="000B557E">
        <w:rPr>
          <w:rFonts w:eastAsia="Times New Roman" w:cs="Times New Roman"/>
          <w:szCs w:val="24"/>
        </w:rPr>
        <w:t>ears to be one of the cleanest u</w:t>
      </w:r>
      <w:r w:rsidR="00341768" w:rsidRPr="00E41264">
        <w:rPr>
          <w:rFonts w:eastAsia="Times New Roman" w:cs="Times New Roman"/>
          <w:szCs w:val="24"/>
        </w:rPr>
        <w:t xml:space="preserve">niversities in Florida. </w:t>
      </w:r>
    </w:p>
    <w:p w:rsidR="00B946B8" w:rsidRDefault="00B946B8" w:rsidP="00B946B8">
      <w:pPr>
        <w:keepNext/>
        <w:spacing w:line="240" w:lineRule="auto"/>
      </w:pPr>
    </w:p>
    <w:p w:rsidR="00E131BF" w:rsidRPr="00B946B8" w:rsidRDefault="00B946B8" w:rsidP="00B946B8">
      <w:pPr>
        <w:pStyle w:val="Caption"/>
        <w:rPr>
          <w:rFonts w:eastAsia="Times New Roman" w:cs="Times New Roman"/>
          <w:szCs w:val="24"/>
        </w:rPr>
      </w:pPr>
      <w:bookmarkStart w:id="15" w:name="_Toc35933065"/>
      <w:r>
        <w:t xml:space="preserve">Figure </w:t>
      </w:r>
      <w:fldSimple w:instr=" SEQ Figure \* ARABIC ">
        <w:r>
          <w:rPr>
            <w:noProof/>
          </w:rPr>
          <w:t>3</w:t>
        </w:r>
      </w:fldSimple>
      <w:r>
        <w:t>: Total FY-2019 Carbon Emissions Breakdown</w:t>
      </w:r>
      <w:bookmarkEnd w:id="15"/>
    </w:p>
    <w:bookmarkStart w:id="16" w:name="_Toc35933049" w:displacedByCustomXml="next"/>
    <w:sdt>
      <w:sdtPr>
        <w:rPr>
          <w:rFonts w:eastAsia="Calibri" w:cs="Calibri"/>
          <w:b w:val="0"/>
          <w:color w:val="000000"/>
          <w:sz w:val="24"/>
        </w:rPr>
        <w:id w:val="-270243932"/>
        <w:docPartObj>
          <w:docPartGallery w:val="Bibliographies"/>
          <w:docPartUnique/>
        </w:docPartObj>
      </w:sdtPr>
      <w:sdtContent>
        <w:p w:rsidR="00E131BF" w:rsidRPr="00E41264" w:rsidRDefault="00E131BF">
          <w:pPr>
            <w:pStyle w:val="Heading1"/>
          </w:pPr>
          <w:r w:rsidRPr="00E41264">
            <w:t>References</w:t>
          </w:r>
          <w:bookmarkEnd w:id="16"/>
        </w:p>
        <w:sdt>
          <w:sdtPr>
            <w:id w:val="-573587230"/>
            <w:bibliography/>
          </w:sdtPr>
          <w:sdtContent>
            <w:p w:rsidR="002D6615" w:rsidRDefault="00E131BF" w:rsidP="002D6615">
              <w:pPr>
                <w:pStyle w:val="Bibliography"/>
                <w:ind w:left="720" w:hanging="720"/>
                <w:rPr>
                  <w:noProof/>
                  <w:szCs w:val="24"/>
                </w:rPr>
              </w:pPr>
              <w:r w:rsidRPr="00E41264">
                <w:fldChar w:fldCharType="begin"/>
              </w:r>
              <w:r w:rsidRPr="00E41264">
                <w:instrText xml:space="preserve"> BIBLIOGRAPHY </w:instrText>
              </w:r>
              <w:r w:rsidRPr="00E41264">
                <w:fldChar w:fldCharType="separate"/>
              </w:r>
              <w:r w:rsidR="002D6615">
                <w:rPr>
                  <w:noProof/>
                </w:rPr>
                <w:t xml:space="preserve">Alliance for Sustainable Energy, LLC. (2020, March 23). </w:t>
              </w:r>
              <w:r w:rsidR="002D6615">
                <w:rPr>
                  <w:i/>
                  <w:iCs/>
                  <w:noProof/>
                </w:rPr>
                <w:t>PVWatts Calculator</w:t>
              </w:r>
              <w:r w:rsidR="002D6615">
                <w:rPr>
                  <w:noProof/>
                </w:rPr>
                <w:t>. Retrieved from National Renewable Energy Laboratory: https://pvwatts.nrel.gov/</w:t>
              </w:r>
            </w:p>
            <w:p w:rsidR="002D6615" w:rsidRDefault="002D6615" w:rsidP="002D6615">
              <w:pPr>
                <w:pStyle w:val="Bibliography"/>
                <w:ind w:left="720" w:hanging="720"/>
                <w:rPr>
                  <w:noProof/>
                </w:rPr>
              </w:pPr>
              <w:r>
                <w:rPr>
                  <w:noProof/>
                </w:rPr>
                <w:t xml:space="preserve">Florida Institute of Technology, Inc. . (2020, March 24). </w:t>
              </w:r>
              <w:r>
                <w:rPr>
                  <w:i/>
                  <w:iCs/>
                  <w:noProof/>
                </w:rPr>
                <w:t xml:space="preserve">Office of Institutiional Research </w:t>
              </w:r>
              <w:r>
                <w:rPr>
                  <w:noProof/>
                </w:rPr>
                <w:t>. Retrieved from Florida Tech Website: https://www.fit.edu/institutional-research/</w:t>
              </w:r>
            </w:p>
            <w:p w:rsidR="002D6615" w:rsidRDefault="002D6615" w:rsidP="002D6615">
              <w:pPr>
                <w:pStyle w:val="Bibliography"/>
                <w:ind w:left="720" w:hanging="720"/>
                <w:rPr>
                  <w:noProof/>
                </w:rPr>
              </w:pPr>
              <w:r>
                <w:rPr>
                  <w:noProof/>
                </w:rPr>
                <w:t xml:space="preserve">International Code Council. (2015). </w:t>
              </w:r>
              <w:r>
                <w:rPr>
                  <w:i/>
                  <w:iCs/>
                  <w:noProof/>
                </w:rPr>
                <w:t>International Energy Conservation Code.</w:t>
              </w:r>
              <w:r>
                <w:rPr>
                  <w:noProof/>
                </w:rPr>
                <w:t xml:space="preserve"> New York, NY: ICC Publishing.</w:t>
              </w:r>
            </w:p>
            <w:p w:rsidR="002D6615" w:rsidRDefault="002D6615" w:rsidP="002D6615">
              <w:pPr>
                <w:pStyle w:val="Bibliography"/>
                <w:ind w:left="720" w:hanging="720"/>
                <w:rPr>
                  <w:noProof/>
                </w:rPr>
              </w:pPr>
              <w:r>
                <w:rPr>
                  <w:noProof/>
                </w:rPr>
                <w:t xml:space="preserve">State of Florida Department of State. (2020, March 23). </w:t>
              </w:r>
              <w:r>
                <w:rPr>
                  <w:i/>
                  <w:iCs/>
                  <w:noProof/>
                </w:rPr>
                <w:t>Corporate Detail by Entity Name</w:t>
              </w:r>
              <w:r>
                <w:rPr>
                  <w:noProof/>
                </w:rPr>
                <w:t>. Retrieved from Division of Corporations: http://search.sunbiz.org/Inquiry/CorporationSearch/SearchResultDetail?inquirytype=EntityName&amp;directionType=Initial&amp;searchNameOrder=FLORIDAINSTITUTETECHNOLOGY%207086701&amp;aggregateId=domnp-708670-d60ca048-8a13-4dec-8d09-f351578cc493&amp;searchTerm=Florida%20Inst</w:t>
              </w:r>
            </w:p>
            <w:p w:rsidR="002D6615" w:rsidRDefault="002D6615" w:rsidP="002D6615">
              <w:pPr>
                <w:pStyle w:val="Bibliography"/>
                <w:ind w:left="720" w:hanging="720"/>
                <w:rPr>
                  <w:noProof/>
                </w:rPr>
              </w:pPr>
              <w:r>
                <w:rPr>
                  <w:noProof/>
                </w:rPr>
                <w:t xml:space="preserve">United States Department of Energy, EIA. (2020, March 23). </w:t>
              </w:r>
              <w:r>
                <w:rPr>
                  <w:i/>
                  <w:iCs/>
                  <w:noProof/>
                </w:rPr>
                <w:t>Independent Statistics &amp; Analysis</w:t>
              </w:r>
              <w:r>
                <w:rPr>
                  <w:noProof/>
                </w:rPr>
                <w:t>. Retrieved from US Energy Efficiency Administration: https://www.eia.gov/</w:t>
              </w:r>
            </w:p>
            <w:p w:rsidR="002D6615" w:rsidRDefault="002D6615" w:rsidP="002D6615">
              <w:pPr>
                <w:pStyle w:val="Bibliography"/>
                <w:ind w:left="720" w:hanging="720"/>
                <w:rPr>
                  <w:noProof/>
                </w:rPr>
              </w:pPr>
              <w:r>
                <w:rPr>
                  <w:noProof/>
                </w:rPr>
                <w:t xml:space="preserve">Vest, H., Webb, I., &amp; Luya, J. (2019). </w:t>
              </w:r>
              <w:r>
                <w:rPr>
                  <w:i/>
                  <w:iCs/>
                  <w:noProof/>
                </w:rPr>
                <w:t>Florida Institute of Technology Capstone Greenhouse Gas Inventory.</w:t>
              </w:r>
              <w:r>
                <w:rPr>
                  <w:noProof/>
                </w:rPr>
                <w:t xml:space="preserve"> Melbourne, FL: Florida Institute of Technology College of Engineering.</w:t>
              </w:r>
            </w:p>
            <w:p w:rsidR="002D6615" w:rsidRDefault="002D6615" w:rsidP="002D6615">
              <w:pPr>
                <w:pStyle w:val="Bibliography"/>
                <w:ind w:left="720" w:hanging="720"/>
                <w:rPr>
                  <w:noProof/>
                </w:rPr>
              </w:pPr>
              <w:r>
                <w:rPr>
                  <w:noProof/>
                </w:rPr>
                <w:t xml:space="preserve">World Resources Institute. (2004). </w:t>
              </w:r>
              <w:r>
                <w:rPr>
                  <w:i/>
                  <w:iCs/>
                  <w:noProof/>
                </w:rPr>
                <w:t>Greenhouse Gas Protocol.</w:t>
              </w:r>
              <w:r>
                <w:rPr>
                  <w:noProof/>
                </w:rPr>
                <w:t xml:space="preserve"> Washington, D.C.: WRI.</w:t>
              </w:r>
            </w:p>
            <w:p w:rsidR="00E131BF" w:rsidRDefault="00E131BF" w:rsidP="002D6615">
              <w:r w:rsidRPr="00E41264">
                <w:rPr>
                  <w:b/>
                  <w:bCs/>
                  <w:noProof/>
                </w:rPr>
                <w:fldChar w:fldCharType="end"/>
              </w:r>
            </w:p>
          </w:sdtContent>
        </w:sdt>
      </w:sdtContent>
    </w:sdt>
    <w:p w:rsidR="000C665A" w:rsidRDefault="000C665A">
      <w:r>
        <w:br w:type="page"/>
      </w:r>
    </w:p>
    <w:p w:rsidR="00E131BF" w:rsidRDefault="000C665A" w:rsidP="000C665A">
      <w:pPr>
        <w:pStyle w:val="Heading1"/>
      </w:pPr>
      <w:bookmarkStart w:id="17" w:name="_Toc35933050"/>
      <w:r>
        <w:lastRenderedPageBreak/>
        <w:t>Appendix</w:t>
      </w:r>
      <w:bookmarkEnd w:id="17"/>
    </w:p>
    <w:p w:rsidR="000C665A" w:rsidRDefault="000C665A" w:rsidP="000C665A"/>
    <w:p w:rsidR="00B946B8" w:rsidRDefault="000C665A" w:rsidP="00B946B8">
      <w:pPr>
        <w:keepNext/>
      </w:pPr>
      <w:r w:rsidRPr="000C665A">
        <w:rPr>
          <w:noProof/>
        </w:rPr>
        <w:drawing>
          <wp:inline distT="0" distB="0" distL="0" distR="0">
            <wp:extent cx="5943600" cy="5094514"/>
            <wp:effectExtent l="0" t="0" r="0" b="0"/>
            <wp:docPr id="6" name="Picture 6" descr="C:\Users\qduffy2014\Downloads\newplo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qduffy2014\Downloads\newplot (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094514"/>
                    </a:xfrm>
                    <a:prstGeom prst="rect">
                      <a:avLst/>
                    </a:prstGeom>
                    <a:noFill/>
                    <a:ln>
                      <a:noFill/>
                    </a:ln>
                  </pic:spPr>
                </pic:pic>
              </a:graphicData>
            </a:graphic>
          </wp:inline>
        </w:drawing>
      </w:r>
    </w:p>
    <w:p w:rsidR="000C665A" w:rsidRDefault="00B946B8" w:rsidP="00B946B8">
      <w:pPr>
        <w:pStyle w:val="Caption"/>
      </w:pPr>
      <w:bookmarkStart w:id="18" w:name="_Toc35933066"/>
      <w:r>
        <w:t xml:space="preserve">Figure </w:t>
      </w:r>
      <w:fldSimple w:instr=" SEQ Figure \* ARABIC ">
        <w:r>
          <w:rPr>
            <w:noProof/>
          </w:rPr>
          <w:t>4</w:t>
        </w:r>
      </w:fldSimple>
      <w:r>
        <w:t>: Total FY-2019 Carbon Emissions by Category</w:t>
      </w:r>
      <w:bookmarkEnd w:id="18"/>
    </w:p>
    <w:p w:rsidR="00B946B8" w:rsidRDefault="000C665A" w:rsidP="00B946B8">
      <w:pPr>
        <w:keepNext/>
      </w:pPr>
      <w:r w:rsidRPr="000C665A">
        <w:rPr>
          <w:noProof/>
        </w:rPr>
        <w:lastRenderedPageBreak/>
        <w:drawing>
          <wp:inline distT="0" distB="0" distL="0" distR="0">
            <wp:extent cx="5943600" cy="5094514"/>
            <wp:effectExtent l="0" t="0" r="0" b="0"/>
            <wp:docPr id="7" name="Picture 7" descr="C:\Users\qduffy2014\Downloads\newplo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qduffy2014\Downloads\newplot (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5094514"/>
                    </a:xfrm>
                    <a:prstGeom prst="rect">
                      <a:avLst/>
                    </a:prstGeom>
                    <a:noFill/>
                    <a:ln>
                      <a:noFill/>
                    </a:ln>
                  </pic:spPr>
                </pic:pic>
              </a:graphicData>
            </a:graphic>
          </wp:inline>
        </w:drawing>
      </w:r>
    </w:p>
    <w:p w:rsidR="000C665A" w:rsidRDefault="00B946B8" w:rsidP="00B946B8">
      <w:pPr>
        <w:pStyle w:val="Caption"/>
      </w:pPr>
      <w:bookmarkStart w:id="19" w:name="_Toc35933067"/>
      <w:r>
        <w:t xml:space="preserve">Figure </w:t>
      </w:r>
      <w:fldSimple w:instr=" SEQ Figure \* ARABIC ">
        <w:r>
          <w:rPr>
            <w:noProof/>
          </w:rPr>
          <w:t>5</w:t>
        </w:r>
      </w:fldSimple>
      <w:r>
        <w:t>: total FY-2019 Carbon Emissions by Gas</w:t>
      </w:r>
      <w:bookmarkEnd w:id="19"/>
    </w:p>
    <w:p w:rsidR="000C665A" w:rsidRDefault="000C665A">
      <w:r>
        <w:br w:type="page"/>
      </w:r>
    </w:p>
    <w:p w:rsidR="000C665A" w:rsidRDefault="00B946B8" w:rsidP="00B76E1F">
      <w:pPr>
        <w:pStyle w:val="Caption"/>
        <w:keepNext/>
      </w:pPr>
      <w:bookmarkStart w:id="20" w:name="_Toc35933086"/>
      <w:r>
        <w:lastRenderedPageBreak/>
        <w:t xml:space="preserve">Table </w:t>
      </w:r>
      <w:fldSimple w:instr=" SEQ Table \* ARABIC ">
        <w:r>
          <w:rPr>
            <w:noProof/>
          </w:rPr>
          <w:t>2</w:t>
        </w:r>
      </w:fldSimple>
      <w:r>
        <w:t>: FY-2019 Raw Data</w:t>
      </w:r>
      <w:bookmarkEnd w:id="20"/>
    </w:p>
    <w:tbl>
      <w:tblPr>
        <w:tblStyle w:val="TableGridLight"/>
        <w:tblW w:w="9407" w:type="dxa"/>
        <w:tblLook w:val="04A0" w:firstRow="1" w:lastRow="0" w:firstColumn="1" w:lastColumn="0" w:noHBand="0" w:noVBand="1"/>
      </w:tblPr>
      <w:tblGrid>
        <w:gridCol w:w="1975"/>
        <w:gridCol w:w="946"/>
        <w:gridCol w:w="1103"/>
        <w:gridCol w:w="1103"/>
        <w:gridCol w:w="1103"/>
        <w:gridCol w:w="971"/>
        <w:gridCol w:w="1103"/>
        <w:gridCol w:w="1103"/>
      </w:tblGrid>
      <w:tr w:rsidR="007155A0" w:rsidRPr="00B14604" w:rsidTr="00537DD5">
        <w:tc>
          <w:tcPr>
            <w:tcW w:w="1975" w:type="dxa"/>
            <w:vAlign w:val="center"/>
          </w:tcPr>
          <w:p w:rsidR="007155A0" w:rsidRPr="00B14604" w:rsidRDefault="007155A0" w:rsidP="009F326B">
            <w:pPr>
              <w:jc w:val="center"/>
              <w:rPr>
                <w:sz w:val="16"/>
                <w:szCs w:val="16"/>
              </w:rPr>
            </w:pPr>
            <w:r w:rsidRPr="00B14604">
              <w:rPr>
                <w:sz w:val="16"/>
                <w:szCs w:val="16"/>
              </w:rPr>
              <w:t>Source</w:t>
            </w:r>
          </w:p>
        </w:tc>
        <w:tc>
          <w:tcPr>
            <w:tcW w:w="946" w:type="dxa"/>
            <w:vAlign w:val="center"/>
          </w:tcPr>
          <w:p w:rsidR="007155A0" w:rsidRPr="00B14604" w:rsidRDefault="00F416EE" w:rsidP="001A1C3E">
            <w:pPr>
              <w:jc w:val="center"/>
              <w:rPr>
                <w:sz w:val="16"/>
                <w:szCs w:val="16"/>
              </w:rPr>
            </w:pPr>
            <w:r w:rsidRPr="00B14604">
              <w:rPr>
                <w:sz w:val="16"/>
                <w:szCs w:val="16"/>
              </w:rPr>
              <w:t>CO</w:t>
            </w:r>
            <w:r w:rsidRPr="00B14604">
              <w:rPr>
                <w:sz w:val="16"/>
                <w:szCs w:val="16"/>
                <w:vertAlign w:val="subscript"/>
              </w:rPr>
              <w:t xml:space="preserve">2 </w:t>
            </w:r>
            <w:r w:rsidRPr="00B14604">
              <w:rPr>
                <w:sz w:val="16"/>
                <w:szCs w:val="16"/>
              </w:rPr>
              <w:t>(kg)</w:t>
            </w:r>
          </w:p>
        </w:tc>
        <w:tc>
          <w:tcPr>
            <w:tcW w:w="1103" w:type="dxa"/>
            <w:vAlign w:val="center"/>
          </w:tcPr>
          <w:p w:rsidR="007155A0" w:rsidRPr="00B14604" w:rsidRDefault="001C7A89" w:rsidP="001A1C3E">
            <w:pPr>
              <w:jc w:val="center"/>
              <w:rPr>
                <w:sz w:val="16"/>
                <w:szCs w:val="16"/>
              </w:rPr>
            </w:pPr>
            <w:r w:rsidRPr="00B14604">
              <w:rPr>
                <w:sz w:val="16"/>
                <w:szCs w:val="16"/>
              </w:rPr>
              <w:t>CO</w:t>
            </w:r>
            <w:r w:rsidRPr="00B14604">
              <w:rPr>
                <w:sz w:val="16"/>
                <w:szCs w:val="16"/>
                <w:vertAlign w:val="subscript"/>
              </w:rPr>
              <w:t xml:space="preserve">2 </w:t>
            </w:r>
            <w:r w:rsidRPr="00B14604">
              <w:rPr>
                <w:sz w:val="16"/>
                <w:szCs w:val="16"/>
              </w:rPr>
              <w:t>(MTCDE)</w:t>
            </w:r>
          </w:p>
        </w:tc>
        <w:tc>
          <w:tcPr>
            <w:tcW w:w="1103" w:type="dxa"/>
            <w:vAlign w:val="center"/>
          </w:tcPr>
          <w:p w:rsidR="007155A0" w:rsidRPr="00B14604" w:rsidRDefault="00F416EE" w:rsidP="001A1C3E">
            <w:pPr>
              <w:jc w:val="center"/>
              <w:rPr>
                <w:sz w:val="16"/>
                <w:szCs w:val="16"/>
              </w:rPr>
            </w:pPr>
            <w:r w:rsidRPr="00B14604">
              <w:rPr>
                <w:sz w:val="16"/>
                <w:szCs w:val="16"/>
              </w:rPr>
              <w:t>CH</w:t>
            </w:r>
            <w:r w:rsidRPr="00B14604">
              <w:rPr>
                <w:sz w:val="16"/>
                <w:szCs w:val="16"/>
                <w:vertAlign w:val="subscript"/>
              </w:rPr>
              <w:t xml:space="preserve">4 </w:t>
            </w:r>
            <w:r w:rsidRPr="00B14604">
              <w:rPr>
                <w:sz w:val="16"/>
                <w:szCs w:val="16"/>
              </w:rPr>
              <w:t>(kg)</w:t>
            </w:r>
          </w:p>
        </w:tc>
        <w:tc>
          <w:tcPr>
            <w:tcW w:w="1103" w:type="dxa"/>
            <w:vAlign w:val="center"/>
          </w:tcPr>
          <w:p w:rsidR="007155A0" w:rsidRPr="00B14604" w:rsidRDefault="001C7A89" w:rsidP="001A1C3E">
            <w:pPr>
              <w:jc w:val="center"/>
              <w:rPr>
                <w:sz w:val="16"/>
                <w:szCs w:val="16"/>
              </w:rPr>
            </w:pPr>
            <w:r w:rsidRPr="00B14604">
              <w:rPr>
                <w:sz w:val="16"/>
                <w:szCs w:val="16"/>
              </w:rPr>
              <w:t>CH</w:t>
            </w:r>
            <w:r w:rsidRPr="00B14604">
              <w:rPr>
                <w:sz w:val="16"/>
                <w:szCs w:val="16"/>
                <w:vertAlign w:val="subscript"/>
              </w:rPr>
              <w:t xml:space="preserve">4 </w:t>
            </w:r>
            <w:r w:rsidRPr="00B14604">
              <w:rPr>
                <w:sz w:val="16"/>
                <w:szCs w:val="16"/>
              </w:rPr>
              <w:t>(MTCDE)</w:t>
            </w:r>
          </w:p>
        </w:tc>
        <w:tc>
          <w:tcPr>
            <w:tcW w:w="971" w:type="dxa"/>
            <w:vAlign w:val="center"/>
          </w:tcPr>
          <w:p w:rsidR="007155A0" w:rsidRPr="00B14604" w:rsidRDefault="00F416EE" w:rsidP="001A1C3E">
            <w:pPr>
              <w:jc w:val="center"/>
              <w:rPr>
                <w:sz w:val="16"/>
                <w:szCs w:val="16"/>
              </w:rPr>
            </w:pPr>
            <w:r w:rsidRPr="00B14604">
              <w:rPr>
                <w:sz w:val="16"/>
                <w:szCs w:val="16"/>
              </w:rPr>
              <w:t>N</w:t>
            </w:r>
            <w:r w:rsidRPr="00B14604">
              <w:rPr>
                <w:sz w:val="16"/>
                <w:szCs w:val="16"/>
                <w:vertAlign w:val="subscript"/>
              </w:rPr>
              <w:t>2</w:t>
            </w:r>
            <w:r w:rsidRPr="00B14604">
              <w:rPr>
                <w:sz w:val="16"/>
                <w:szCs w:val="16"/>
              </w:rPr>
              <w:t>O (kg)</w:t>
            </w:r>
          </w:p>
        </w:tc>
        <w:tc>
          <w:tcPr>
            <w:tcW w:w="1103" w:type="dxa"/>
            <w:vAlign w:val="center"/>
          </w:tcPr>
          <w:p w:rsidR="007155A0" w:rsidRPr="00B14604" w:rsidRDefault="001C7A89" w:rsidP="001A1C3E">
            <w:pPr>
              <w:jc w:val="center"/>
              <w:rPr>
                <w:sz w:val="16"/>
                <w:szCs w:val="16"/>
              </w:rPr>
            </w:pPr>
            <w:r w:rsidRPr="00B14604">
              <w:rPr>
                <w:sz w:val="16"/>
                <w:szCs w:val="16"/>
              </w:rPr>
              <w:t>N</w:t>
            </w:r>
            <w:r w:rsidRPr="00B14604">
              <w:rPr>
                <w:sz w:val="16"/>
                <w:szCs w:val="16"/>
                <w:vertAlign w:val="subscript"/>
              </w:rPr>
              <w:t>2</w:t>
            </w:r>
            <w:r w:rsidRPr="00B14604">
              <w:rPr>
                <w:sz w:val="16"/>
                <w:szCs w:val="16"/>
              </w:rPr>
              <w:t>O (MTCDE)</w:t>
            </w:r>
          </w:p>
        </w:tc>
        <w:tc>
          <w:tcPr>
            <w:tcW w:w="1103" w:type="dxa"/>
            <w:vAlign w:val="center"/>
          </w:tcPr>
          <w:p w:rsidR="007155A0" w:rsidRPr="00B14604" w:rsidRDefault="00F416EE" w:rsidP="001A1C3E">
            <w:pPr>
              <w:jc w:val="center"/>
              <w:rPr>
                <w:sz w:val="16"/>
                <w:szCs w:val="16"/>
              </w:rPr>
            </w:pPr>
            <w:r w:rsidRPr="00B14604">
              <w:rPr>
                <w:sz w:val="16"/>
                <w:szCs w:val="16"/>
              </w:rPr>
              <w:t>GHG MTCDE</w:t>
            </w:r>
          </w:p>
        </w:tc>
      </w:tr>
      <w:tr w:rsidR="007155A0" w:rsidRPr="00B14604" w:rsidTr="00537DD5">
        <w:tc>
          <w:tcPr>
            <w:tcW w:w="1975" w:type="dxa"/>
            <w:vAlign w:val="center"/>
          </w:tcPr>
          <w:p w:rsidR="007155A0" w:rsidRPr="00B14604" w:rsidRDefault="00580417" w:rsidP="009F326B">
            <w:pPr>
              <w:rPr>
                <w:sz w:val="16"/>
                <w:szCs w:val="16"/>
              </w:rPr>
            </w:pPr>
            <w:r w:rsidRPr="00B14604">
              <w:rPr>
                <w:sz w:val="16"/>
                <w:szCs w:val="16"/>
              </w:rPr>
              <w:t>Other On-Campus Stationary</w:t>
            </w:r>
          </w:p>
        </w:tc>
        <w:tc>
          <w:tcPr>
            <w:tcW w:w="946" w:type="dxa"/>
            <w:vAlign w:val="center"/>
          </w:tcPr>
          <w:p w:rsidR="007155A0" w:rsidRPr="00B14604" w:rsidRDefault="001C7A89" w:rsidP="001A1C3E">
            <w:pPr>
              <w:jc w:val="center"/>
              <w:rPr>
                <w:sz w:val="16"/>
                <w:szCs w:val="16"/>
              </w:rPr>
            </w:pPr>
            <w:r w:rsidRPr="00B14604">
              <w:rPr>
                <w:sz w:val="16"/>
                <w:szCs w:val="16"/>
              </w:rPr>
              <w:t>548,545</w:t>
            </w:r>
          </w:p>
        </w:tc>
        <w:tc>
          <w:tcPr>
            <w:tcW w:w="1103" w:type="dxa"/>
            <w:vAlign w:val="center"/>
          </w:tcPr>
          <w:p w:rsidR="007155A0" w:rsidRPr="00B14604" w:rsidRDefault="001C7A89" w:rsidP="001A1C3E">
            <w:pPr>
              <w:jc w:val="center"/>
              <w:rPr>
                <w:sz w:val="16"/>
                <w:szCs w:val="16"/>
              </w:rPr>
            </w:pPr>
            <w:r w:rsidRPr="00B14604">
              <w:rPr>
                <w:sz w:val="16"/>
                <w:szCs w:val="16"/>
              </w:rPr>
              <w:t>548.54</w:t>
            </w:r>
          </w:p>
        </w:tc>
        <w:tc>
          <w:tcPr>
            <w:tcW w:w="1103" w:type="dxa"/>
            <w:vAlign w:val="center"/>
          </w:tcPr>
          <w:p w:rsidR="007155A0" w:rsidRPr="00B14604" w:rsidRDefault="001C7A89" w:rsidP="001A1C3E">
            <w:pPr>
              <w:jc w:val="center"/>
              <w:rPr>
                <w:sz w:val="16"/>
                <w:szCs w:val="16"/>
              </w:rPr>
            </w:pPr>
            <w:r w:rsidRPr="00B14604">
              <w:rPr>
                <w:sz w:val="16"/>
                <w:szCs w:val="16"/>
              </w:rPr>
              <w:t>55</w:t>
            </w:r>
          </w:p>
        </w:tc>
        <w:tc>
          <w:tcPr>
            <w:tcW w:w="1103" w:type="dxa"/>
            <w:vAlign w:val="center"/>
          </w:tcPr>
          <w:p w:rsidR="007155A0" w:rsidRPr="00B14604" w:rsidRDefault="001C7A89" w:rsidP="001A1C3E">
            <w:pPr>
              <w:jc w:val="center"/>
              <w:rPr>
                <w:sz w:val="16"/>
                <w:szCs w:val="16"/>
              </w:rPr>
            </w:pPr>
            <w:r w:rsidRPr="00B14604">
              <w:rPr>
                <w:sz w:val="16"/>
                <w:szCs w:val="16"/>
              </w:rPr>
              <w:t>1.53</w:t>
            </w:r>
          </w:p>
        </w:tc>
        <w:tc>
          <w:tcPr>
            <w:tcW w:w="971" w:type="dxa"/>
            <w:vAlign w:val="center"/>
          </w:tcPr>
          <w:p w:rsidR="007155A0" w:rsidRPr="00B14604" w:rsidRDefault="001C7A89" w:rsidP="001A1C3E">
            <w:pPr>
              <w:jc w:val="center"/>
              <w:rPr>
                <w:sz w:val="16"/>
                <w:szCs w:val="16"/>
              </w:rPr>
            </w:pPr>
            <w:r w:rsidRPr="00B14604">
              <w:rPr>
                <w:sz w:val="16"/>
                <w:szCs w:val="16"/>
              </w:rPr>
              <w:t>1</w:t>
            </w:r>
          </w:p>
        </w:tc>
        <w:tc>
          <w:tcPr>
            <w:tcW w:w="1103" w:type="dxa"/>
            <w:vAlign w:val="center"/>
          </w:tcPr>
          <w:p w:rsidR="007155A0" w:rsidRPr="00B14604" w:rsidRDefault="001C7A89" w:rsidP="001A1C3E">
            <w:pPr>
              <w:jc w:val="center"/>
              <w:rPr>
                <w:sz w:val="16"/>
                <w:szCs w:val="16"/>
              </w:rPr>
            </w:pPr>
            <w:r w:rsidRPr="00B14604">
              <w:rPr>
                <w:sz w:val="16"/>
                <w:szCs w:val="16"/>
              </w:rPr>
              <w:t>0.29</w:t>
            </w:r>
          </w:p>
        </w:tc>
        <w:tc>
          <w:tcPr>
            <w:tcW w:w="1103" w:type="dxa"/>
            <w:vAlign w:val="center"/>
          </w:tcPr>
          <w:p w:rsidR="007155A0" w:rsidRPr="00B14604" w:rsidRDefault="001C7A89" w:rsidP="001A1C3E">
            <w:pPr>
              <w:jc w:val="center"/>
              <w:rPr>
                <w:sz w:val="16"/>
                <w:szCs w:val="16"/>
              </w:rPr>
            </w:pPr>
            <w:r w:rsidRPr="00B14604">
              <w:rPr>
                <w:sz w:val="16"/>
                <w:szCs w:val="16"/>
              </w:rPr>
              <w:t>550.36</w:t>
            </w:r>
          </w:p>
        </w:tc>
      </w:tr>
      <w:tr w:rsidR="007155A0" w:rsidRPr="00B14604" w:rsidTr="00537DD5">
        <w:tc>
          <w:tcPr>
            <w:tcW w:w="1975" w:type="dxa"/>
            <w:vAlign w:val="center"/>
          </w:tcPr>
          <w:p w:rsidR="007155A0" w:rsidRPr="00B14604" w:rsidRDefault="00580417" w:rsidP="009F326B">
            <w:pPr>
              <w:rPr>
                <w:sz w:val="16"/>
                <w:szCs w:val="16"/>
              </w:rPr>
            </w:pPr>
            <w:r w:rsidRPr="00B14604">
              <w:rPr>
                <w:sz w:val="16"/>
                <w:szCs w:val="16"/>
              </w:rPr>
              <w:t>Direct Transportation</w:t>
            </w:r>
          </w:p>
        </w:tc>
        <w:tc>
          <w:tcPr>
            <w:tcW w:w="946" w:type="dxa"/>
            <w:vAlign w:val="center"/>
          </w:tcPr>
          <w:p w:rsidR="007155A0" w:rsidRPr="00B14604" w:rsidRDefault="001A1C3E" w:rsidP="001A1C3E">
            <w:pPr>
              <w:jc w:val="center"/>
              <w:rPr>
                <w:sz w:val="16"/>
                <w:szCs w:val="16"/>
              </w:rPr>
            </w:pPr>
            <w:r w:rsidRPr="00B14604">
              <w:rPr>
                <w:sz w:val="16"/>
                <w:szCs w:val="16"/>
              </w:rPr>
              <w:t>74,999</w:t>
            </w:r>
          </w:p>
        </w:tc>
        <w:tc>
          <w:tcPr>
            <w:tcW w:w="1103" w:type="dxa"/>
            <w:vAlign w:val="center"/>
          </w:tcPr>
          <w:p w:rsidR="007155A0" w:rsidRPr="00B14604" w:rsidRDefault="001A1C3E" w:rsidP="001A1C3E">
            <w:pPr>
              <w:jc w:val="center"/>
              <w:rPr>
                <w:sz w:val="16"/>
                <w:szCs w:val="16"/>
              </w:rPr>
            </w:pPr>
            <w:r w:rsidRPr="00B14604">
              <w:rPr>
                <w:sz w:val="16"/>
                <w:szCs w:val="16"/>
              </w:rPr>
              <w:t>75</w:t>
            </w:r>
          </w:p>
        </w:tc>
        <w:tc>
          <w:tcPr>
            <w:tcW w:w="1103" w:type="dxa"/>
            <w:vAlign w:val="center"/>
          </w:tcPr>
          <w:p w:rsidR="007155A0" w:rsidRPr="00B14604" w:rsidRDefault="001A1C3E" w:rsidP="001A1C3E">
            <w:pPr>
              <w:jc w:val="center"/>
              <w:rPr>
                <w:sz w:val="16"/>
                <w:szCs w:val="16"/>
              </w:rPr>
            </w:pPr>
            <w:r w:rsidRPr="00B14604">
              <w:rPr>
                <w:sz w:val="16"/>
                <w:szCs w:val="16"/>
              </w:rPr>
              <w:t>36</w:t>
            </w:r>
          </w:p>
        </w:tc>
        <w:tc>
          <w:tcPr>
            <w:tcW w:w="1103" w:type="dxa"/>
            <w:vAlign w:val="center"/>
          </w:tcPr>
          <w:p w:rsidR="007155A0" w:rsidRPr="00B14604" w:rsidRDefault="001A1C3E" w:rsidP="001A1C3E">
            <w:pPr>
              <w:jc w:val="center"/>
              <w:rPr>
                <w:sz w:val="16"/>
                <w:szCs w:val="16"/>
              </w:rPr>
            </w:pPr>
            <w:r w:rsidRPr="00B14604">
              <w:rPr>
                <w:sz w:val="16"/>
                <w:szCs w:val="16"/>
              </w:rPr>
              <w:t>1</w:t>
            </w:r>
          </w:p>
        </w:tc>
        <w:tc>
          <w:tcPr>
            <w:tcW w:w="971" w:type="dxa"/>
            <w:vAlign w:val="center"/>
          </w:tcPr>
          <w:p w:rsidR="007155A0" w:rsidRPr="00B14604" w:rsidRDefault="001A1C3E" w:rsidP="001A1C3E">
            <w:pPr>
              <w:jc w:val="center"/>
              <w:rPr>
                <w:sz w:val="16"/>
                <w:szCs w:val="16"/>
              </w:rPr>
            </w:pPr>
            <w:r w:rsidRPr="00B14604">
              <w:rPr>
                <w:sz w:val="16"/>
                <w:szCs w:val="16"/>
              </w:rPr>
              <w:t>42</w:t>
            </w:r>
          </w:p>
        </w:tc>
        <w:tc>
          <w:tcPr>
            <w:tcW w:w="1103" w:type="dxa"/>
            <w:vAlign w:val="center"/>
          </w:tcPr>
          <w:p w:rsidR="007155A0" w:rsidRPr="00B14604" w:rsidRDefault="001A1C3E" w:rsidP="001A1C3E">
            <w:pPr>
              <w:jc w:val="center"/>
              <w:rPr>
                <w:sz w:val="16"/>
                <w:szCs w:val="16"/>
              </w:rPr>
            </w:pPr>
            <w:r w:rsidRPr="00B14604">
              <w:rPr>
                <w:sz w:val="16"/>
                <w:szCs w:val="16"/>
              </w:rPr>
              <w:t>11.12</w:t>
            </w:r>
          </w:p>
        </w:tc>
        <w:tc>
          <w:tcPr>
            <w:tcW w:w="1103" w:type="dxa"/>
            <w:vAlign w:val="center"/>
          </w:tcPr>
          <w:p w:rsidR="007155A0" w:rsidRPr="00B14604" w:rsidRDefault="001A1C3E" w:rsidP="001A1C3E">
            <w:pPr>
              <w:jc w:val="center"/>
              <w:rPr>
                <w:sz w:val="16"/>
                <w:szCs w:val="16"/>
              </w:rPr>
            </w:pPr>
            <w:r w:rsidRPr="00B14604">
              <w:rPr>
                <w:sz w:val="16"/>
                <w:szCs w:val="16"/>
              </w:rPr>
              <w:t>87.12</w:t>
            </w:r>
          </w:p>
        </w:tc>
      </w:tr>
      <w:tr w:rsidR="007155A0" w:rsidRPr="00B14604" w:rsidTr="00537DD5">
        <w:tc>
          <w:tcPr>
            <w:tcW w:w="1975" w:type="dxa"/>
            <w:vAlign w:val="center"/>
          </w:tcPr>
          <w:p w:rsidR="007155A0" w:rsidRPr="00B14604" w:rsidRDefault="00580417" w:rsidP="009F326B">
            <w:pPr>
              <w:rPr>
                <w:sz w:val="16"/>
                <w:szCs w:val="16"/>
              </w:rPr>
            </w:pPr>
            <w:r w:rsidRPr="00B14604">
              <w:rPr>
                <w:sz w:val="16"/>
                <w:szCs w:val="16"/>
              </w:rPr>
              <w:t>Refrigerants &amp; Chemicals</w:t>
            </w:r>
          </w:p>
        </w:tc>
        <w:tc>
          <w:tcPr>
            <w:tcW w:w="946" w:type="dxa"/>
            <w:vAlign w:val="center"/>
          </w:tcPr>
          <w:p w:rsidR="007155A0" w:rsidRPr="00B14604" w:rsidRDefault="009F326B" w:rsidP="001A1C3E">
            <w:pPr>
              <w:jc w:val="center"/>
              <w:rPr>
                <w:sz w:val="16"/>
                <w:szCs w:val="16"/>
              </w:rPr>
            </w:pPr>
            <w:r w:rsidRPr="00B14604">
              <w:rPr>
                <w:sz w:val="16"/>
                <w:szCs w:val="16"/>
              </w:rPr>
              <w:t>0</w:t>
            </w:r>
          </w:p>
        </w:tc>
        <w:tc>
          <w:tcPr>
            <w:tcW w:w="1103" w:type="dxa"/>
            <w:vAlign w:val="center"/>
          </w:tcPr>
          <w:p w:rsidR="007155A0" w:rsidRPr="00B14604" w:rsidRDefault="009F326B" w:rsidP="001A1C3E">
            <w:pPr>
              <w:jc w:val="center"/>
              <w:rPr>
                <w:sz w:val="16"/>
                <w:szCs w:val="16"/>
              </w:rPr>
            </w:pPr>
            <w:r w:rsidRPr="00B14604">
              <w:rPr>
                <w:sz w:val="16"/>
                <w:szCs w:val="16"/>
              </w:rPr>
              <w:t>0</w:t>
            </w:r>
          </w:p>
        </w:tc>
        <w:tc>
          <w:tcPr>
            <w:tcW w:w="1103" w:type="dxa"/>
            <w:vAlign w:val="center"/>
          </w:tcPr>
          <w:p w:rsidR="007155A0" w:rsidRPr="00B14604" w:rsidRDefault="009F326B" w:rsidP="001A1C3E">
            <w:pPr>
              <w:jc w:val="center"/>
              <w:rPr>
                <w:sz w:val="16"/>
                <w:szCs w:val="16"/>
              </w:rPr>
            </w:pPr>
            <w:r w:rsidRPr="00B14604">
              <w:rPr>
                <w:sz w:val="16"/>
                <w:szCs w:val="16"/>
              </w:rPr>
              <w:t>0</w:t>
            </w:r>
          </w:p>
        </w:tc>
        <w:tc>
          <w:tcPr>
            <w:tcW w:w="1103" w:type="dxa"/>
            <w:vAlign w:val="center"/>
          </w:tcPr>
          <w:p w:rsidR="007155A0" w:rsidRPr="00B14604" w:rsidRDefault="009F326B" w:rsidP="001A1C3E">
            <w:pPr>
              <w:jc w:val="center"/>
              <w:rPr>
                <w:sz w:val="16"/>
                <w:szCs w:val="16"/>
              </w:rPr>
            </w:pPr>
            <w:r w:rsidRPr="00B14604">
              <w:rPr>
                <w:sz w:val="16"/>
                <w:szCs w:val="16"/>
              </w:rPr>
              <w:t>0</w:t>
            </w:r>
          </w:p>
        </w:tc>
        <w:tc>
          <w:tcPr>
            <w:tcW w:w="971" w:type="dxa"/>
            <w:vAlign w:val="center"/>
          </w:tcPr>
          <w:p w:rsidR="007155A0" w:rsidRPr="00B14604" w:rsidRDefault="009F326B" w:rsidP="001A1C3E">
            <w:pPr>
              <w:jc w:val="center"/>
              <w:rPr>
                <w:sz w:val="16"/>
                <w:szCs w:val="16"/>
              </w:rPr>
            </w:pPr>
            <w:r w:rsidRPr="00B14604">
              <w:rPr>
                <w:sz w:val="16"/>
                <w:szCs w:val="16"/>
              </w:rPr>
              <w:t>0</w:t>
            </w:r>
          </w:p>
        </w:tc>
        <w:tc>
          <w:tcPr>
            <w:tcW w:w="1103" w:type="dxa"/>
            <w:vAlign w:val="center"/>
          </w:tcPr>
          <w:p w:rsidR="007155A0" w:rsidRPr="00B14604" w:rsidRDefault="009F326B" w:rsidP="001A1C3E">
            <w:pPr>
              <w:jc w:val="center"/>
              <w:rPr>
                <w:sz w:val="16"/>
                <w:szCs w:val="16"/>
              </w:rPr>
            </w:pPr>
            <w:r w:rsidRPr="00B14604">
              <w:rPr>
                <w:sz w:val="16"/>
                <w:szCs w:val="16"/>
              </w:rPr>
              <w:t>0</w:t>
            </w:r>
          </w:p>
        </w:tc>
        <w:tc>
          <w:tcPr>
            <w:tcW w:w="1103" w:type="dxa"/>
            <w:vAlign w:val="center"/>
          </w:tcPr>
          <w:p w:rsidR="007155A0" w:rsidRPr="00B14604" w:rsidRDefault="009F326B" w:rsidP="001A1C3E">
            <w:pPr>
              <w:jc w:val="center"/>
              <w:rPr>
                <w:sz w:val="16"/>
                <w:szCs w:val="16"/>
              </w:rPr>
            </w:pPr>
            <w:r w:rsidRPr="00B14604">
              <w:rPr>
                <w:sz w:val="16"/>
                <w:szCs w:val="16"/>
              </w:rPr>
              <w:t>314.21</w:t>
            </w:r>
          </w:p>
        </w:tc>
      </w:tr>
      <w:tr w:rsidR="007155A0" w:rsidRPr="00B14604" w:rsidTr="00537DD5">
        <w:tc>
          <w:tcPr>
            <w:tcW w:w="1975" w:type="dxa"/>
            <w:vAlign w:val="center"/>
          </w:tcPr>
          <w:p w:rsidR="007155A0" w:rsidRPr="00B14604" w:rsidRDefault="00580417" w:rsidP="009F326B">
            <w:pPr>
              <w:rPr>
                <w:sz w:val="16"/>
                <w:szCs w:val="16"/>
              </w:rPr>
            </w:pPr>
            <w:r w:rsidRPr="00B14604">
              <w:rPr>
                <w:sz w:val="16"/>
                <w:szCs w:val="16"/>
              </w:rPr>
              <w:t>Fertilizer &amp; Animals</w:t>
            </w:r>
          </w:p>
        </w:tc>
        <w:tc>
          <w:tcPr>
            <w:tcW w:w="946" w:type="dxa"/>
            <w:vAlign w:val="center"/>
          </w:tcPr>
          <w:p w:rsidR="007155A0" w:rsidRPr="00B14604" w:rsidRDefault="009F326B" w:rsidP="001A1C3E">
            <w:pPr>
              <w:jc w:val="center"/>
              <w:rPr>
                <w:sz w:val="16"/>
                <w:szCs w:val="16"/>
              </w:rPr>
            </w:pPr>
            <w:r w:rsidRPr="00B14604">
              <w:rPr>
                <w:sz w:val="16"/>
                <w:szCs w:val="16"/>
              </w:rPr>
              <w:t>0</w:t>
            </w:r>
          </w:p>
        </w:tc>
        <w:tc>
          <w:tcPr>
            <w:tcW w:w="1103" w:type="dxa"/>
            <w:vAlign w:val="center"/>
          </w:tcPr>
          <w:p w:rsidR="007155A0" w:rsidRPr="00B14604" w:rsidRDefault="009F326B" w:rsidP="001A1C3E">
            <w:pPr>
              <w:jc w:val="center"/>
              <w:rPr>
                <w:sz w:val="16"/>
                <w:szCs w:val="16"/>
              </w:rPr>
            </w:pPr>
            <w:r w:rsidRPr="00B14604">
              <w:rPr>
                <w:sz w:val="16"/>
                <w:szCs w:val="16"/>
              </w:rPr>
              <w:t>0</w:t>
            </w:r>
          </w:p>
        </w:tc>
        <w:tc>
          <w:tcPr>
            <w:tcW w:w="1103" w:type="dxa"/>
            <w:vAlign w:val="center"/>
          </w:tcPr>
          <w:p w:rsidR="007155A0" w:rsidRPr="00B14604" w:rsidRDefault="009F326B" w:rsidP="001A1C3E">
            <w:pPr>
              <w:jc w:val="center"/>
              <w:rPr>
                <w:sz w:val="16"/>
                <w:szCs w:val="16"/>
              </w:rPr>
            </w:pPr>
            <w:r w:rsidRPr="00B14604">
              <w:rPr>
                <w:sz w:val="16"/>
                <w:szCs w:val="16"/>
              </w:rPr>
              <w:t>0</w:t>
            </w:r>
          </w:p>
        </w:tc>
        <w:tc>
          <w:tcPr>
            <w:tcW w:w="1103" w:type="dxa"/>
            <w:vAlign w:val="center"/>
          </w:tcPr>
          <w:p w:rsidR="007155A0" w:rsidRPr="00B14604" w:rsidRDefault="009F326B" w:rsidP="001A1C3E">
            <w:pPr>
              <w:jc w:val="center"/>
              <w:rPr>
                <w:sz w:val="16"/>
                <w:szCs w:val="16"/>
              </w:rPr>
            </w:pPr>
            <w:r w:rsidRPr="00B14604">
              <w:rPr>
                <w:sz w:val="16"/>
                <w:szCs w:val="16"/>
              </w:rPr>
              <w:t>0</w:t>
            </w:r>
          </w:p>
        </w:tc>
        <w:tc>
          <w:tcPr>
            <w:tcW w:w="971" w:type="dxa"/>
            <w:vAlign w:val="center"/>
          </w:tcPr>
          <w:p w:rsidR="007155A0" w:rsidRPr="00B14604" w:rsidRDefault="009F326B" w:rsidP="001A1C3E">
            <w:pPr>
              <w:jc w:val="center"/>
              <w:rPr>
                <w:sz w:val="16"/>
                <w:szCs w:val="16"/>
              </w:rPr>
            </w:pPr>
            <w:r w:rsidRPr="00B14604">
              <w:rPr>
                <w:sz w:val="16"/>
                <w:szCs w:val="16"/>
              </w:rPr>
              <w:t>11</w:t>
            </w:r>
          </w:p>
        </w:tc>
        <w:tc>
          <w:tcPr>
            <w:tcW w:w="1103" w:type="dxa"/>
            <w:vAlign w:val="center"/>
          </w:tcPr>
          <w:p w:rsidR="007155A0" w:rsidRPr="00B14604" w:rsidRDefault="009F326B" w:rsidP="001A1C3E">
            <w:pPr>
              <w:jc w:val="center"/>
              <w:rPr>
                <w:sz w:val="16"/>
                <w:szCs w:val="16"/>
              </w:rPr>
            </w:pPr>
            <w:r w:rsidRPr="00B14604">
              <w:rPr>
                <w:sz w:val="16"/>
                <w:szCs w:val="16"/>
              </w:rPr>
              <w:t>2.83</w:t>
            </w:r>
          </w:p>
        </w:tc>
        <w:tc>
          <w:tcPr>
            <w:tcW w:w="1103" w:type="dxa"/>
            <w:vAlign w:val="center"/>
          </w:tcPr>
          <w:p w:rsidR="007155A0" w:rsidRPr="00B14604" w:rsidRDefault="009F326B" w:rsidP="001A1C3E">
            <w:pPr>
              <w:jc w:val="center"/>
              <w:rPr>
                <w:sz w:val="16"/>
                <w:szCs w:val="16"/>
              </w:rPr>
            </w:pPr>
            <w:r w:rsidRPr="00B14604">
              <w:rPr>
                <w:sz w:val="16"/>
                <w:szCs w:val="16"/>
              </w:rPr>
              <w:t>2.83</w:t>
            </w:r>
          </w:p>
        </w:tc>
      </w:tr>
      <w:tr w:rsidR="007155A0" w:rsidRPr="00B14604" w:rsidTr="00537DD5">
        <w:tc>
          <w:tcPr>
            <w:tcW w:w="1975" w:type="dxa"/>
            <w:vAlign w:val="center"/>
          </w:tcPr>
          <w:p w:rsidR="007155A0" w:rsidRPr="00B14604" w:rsidRDefault="00580417" w:rsidP="009F326B">
            <w:pPr>
              <w:rPr>
                <w:sz w:val="16"/>
                <w:szCs w:val="16"/>
              </w:rPr>
            </w:pPr>
            <w:r w:rsidRPr="00B14604">
              <w:rPr>
                <w:sz w:val="16"/>
                <w:szCs w:val="16"/>
              </w:rPr>
              <w:t>Purchased Electricity</w:t>
            </w:r>
          </w:p>
        </w:tc>
        <w:tc>
          <w:tcPr>
            <w:tcW w:w="946" w:type="dxa"/>
            <w:vAlign w:val="center"/>
          </w:tcPr>
          <w:p w:rsidR="007155A0" w:rsidRPr="00B14604" w:rsidRDefault="009F326B" w:rsidP="001A1C3E">
            <w:pPr>
              <w:jc w:val="center"/>
              <w:rPr>
                <w:sz w:val="16"/>
                <w:szCs w:val="16"/>
              </w:rPr>
            </w:pPr>
            <w:r w:rsidRPr="00B14604">
              <w:rPr>
                <w:sz w:val="16"/>
                <w:szCs w:val="16"/>
              </w:rPr>
              <w:t>13,924,581</w:t>
            </w:r>
          </w:p>
        </w:tc>
        <w:tc>
          <w:tcPr>
            <w:tcW w:w="1103" w:type="dxa"/>
            <w:vAlign w:val="center"/>
          </w:tcPr>
          <w:p w:rsidR="007155A0" w:rsidRPr="00B14604" w:rsidRDefault="009F326B" w:rsidP="001A1C3E">
            <w:pPr>
              <w:jc w:val="center"/>
              <w:rPr>
                <w:sz w:val="16"/>
                <w:szCs w:val="16"/>
              </w:rPr>
            </w:pPr>
            <w:r w:rsidRPr="00B14604">
              <w:rPr>
                <w:sz w:val="16"/>
                <w:szCs w:val="16"/>
              </w:rPr>
              <w:t>13,924</w:t>
            </w:r>
            <w:r w:rsidR="00CF7109" w:rsidRPr="00B14604">
              <w:rPr>
                <w:sz w:val="16"/>
                <w:szCs w:val="16"/>
              </w:rPr>
              <w:t>.58</w:t>
            </w:r>
          </w:p>
        </w:tc>
        <w:tc>
          <w:tcPr>
            <w:tcW w:w="1103" w:type="dxa"/>
            <w:vAlign w:val="center"/>
          </w:tcPr>
          <w:p w:rsidR="007155A0" w:rsidRPr="00B14604" w:rsidRDefault="00CF7109" w:rsidP="001A1C3E">
            <w:pPr>
              <w:jc w:val="center"/>
              <w:rPr>
                <w:sz w:val="16"/>
                <w:szCs w:val="16"/>
              </w:rPr>
            </w:pPr>
            <w:r w:rsidRPr="00B14604">
              <w:rPr>
                <w:sz w:val="16"/>
                <w:szCs w:val="16"/>
              </w:rPr>
              <w:t>1,030</w:t>
            </w:r>
          </w:p>
        </w:tc>
        <w:tc>
          <w:tcPr>
            <w:tcW w:w="1103" w:type="dxa"/>
            <w:vAlign w:val="center"/>
          </w:tcPr>
          <w:p w:rsidR="007155A0" w:rsidRPr="00B14604" w:rsidRDefault="00CF7109" w:rsidP="001A1C3E">
            <w:pPr>
              <w:jc w:val="center"/>
              <w:rPr>
                <w:sz w:val="16"/>
                <w:szCs w:val="16"/>
              </w:rPr>
            </w:pPr>
            <w:r w:rsidRPr="00B14604">
              <w:rPr>
                <w:sz w:val="16"/>
                <w:szCs w:val="16"/>
              </w:rPr>
              <w:t>28.85</w:t>
            </w:r>
          </w:p>
        </w:tc>
        <w:tc>
          <w:tcPr>
            <w:tcW w:w="971" w:type="dxa"/>
            <w:vAlign w:val="center"/>
          </w:tcPr>
          <w:p w:rsidR="007155A0" w:rsidRPr="00B14604" w:rsidRDefault="00CF7109" w:rsidP="001A1C3E">
            <w:pPr>
              <w:jc w:val="center"/>
              <w:rPr>
                <w:sz w:val="16"/>
                <w:szCs w:val="16"/>
              </w:rPr>
            </w:pPr>
            <w:r w:rsidRPr="00B14604">
              <w:rPr>
                <w:sz w:val="16"/>
                <w:szCs w:val="16"/>
              </w:rPr>
              <w:t>153</w:t>
            </w:r>
          </w:p>
        </w:tc>
        <w:tc>
          <w:tcPr>
            <w:tcW w:w="1103" w:type="dxa"/>
            <w:vAlign w:val="center"/>
          </w:tcPr>
          <w:p w:rsidR="007155A0" w:rsidRPr="00B14604" w:rsidRDefault="00CF7109" w:rsidP="001A1C3E">
            <w:pPr>
              <w:jc w:val="center"/>
              <w:rPr>
                <w:sz w:val="16"/>
                <w:szCs w:val="16"/>
              </w:rPr>
            </w:pPr>
            <w:r w:rsidRPr="00B14604">
              <w:rPr>
                <w:sz w:val="16"/>
                <w:szCs w:val="16"/>
              </w:rPr>
              <w:t>40.45</w:t>
            </w:r>
          </w:p>
        </w:tc>
        <w:tc>
          <w:tcPr>
            <w:tcW w:w="1103" w:type="dxa"/>
            <w:vAlign w:val="center"/>
          </w:tcPr>
          <w:p w:rsidR="007155A0" w:rsidRPr="00B14604" w:rsidRDefault="00CF7109" w:rsidP="001A1C3E">
            <w:pPr>
              <w:jc w:val="center"/>
              <w:rPr>
                <w:sz w:val="16"/>
                <w:szCs w:val="16"/>
              </w:rPr>
            </w:pPr>
            <w:r w:rsidRPr="00B14604">
              <w:rPr>
                <w:sz w:val="16"/>
                <w:szCs w:val="16"/>
              </w:rPr>
              <w:t>13,993.88</w:t>
            </w:r>
          </w:p>
        </w:tc>
      </w:tr>
      <w:tr w:rsidR="007155A0" w:rsidRPr="00B14604" w:rsidTr="00537DD5">
        <w:tc>
          <w:tcPr>
            <w:tcW w:w="1975" w:type="dxa"/>
            <w:vAlign w:val="center"/>
          </w:tcPr>
          <w:p w:rsidR="007155A0" w:rsidRPr="00B14604" w:rsidRDefault="00580417" w:rsidP="009F326B">
            <w:pPr>
              <w:rPr>
                <w:sz w:val="16"/>
                <w:szCs w:val="16"/>
              </w:rPr>
            </w:pPr>
            <w:r w:rsidRPr="00B14604">
              <w:rPr>
                <w:sz w:val="16"/>
                <w:szCs w:val="16"/>
              </w:rPr>
              <w:t>Faculty Commuting</w:t>
            </w:r>
          </w:p>
        </w:tc>
        <w:tc>
          <w:tcPr>
            <w:tcW w:w="946" w:type="dxa"/>
            <w:vAlign w:val="center"/>
          </w:tcPr>
          <w:p w:rsidR="007155A0" w:rsidRPr="00B14604" w:rsidRDefault="00CF7109" w:rsidP="001A1C3E">
            <w:pPr>
              <w:jc w:val="center"/>
              <w:rPr>
                <w:sz w:val="16"/>
                <w:szCs w:val="16"/>
              </w:rPr>
            </w:pPr>
            <w:r w:rsidRPr="00B14604">
              <w:rPr>
                <w:sz w:val="16"/>
                <w:szCs w:val="16"/>
              </w:rPr>
              <w:t>1,211,680</w:t>
            </w:r>
          </w:p>
        </w:tc>
        <w:tc>
          <w:tcPr>
            <w:tcW w:w="1103" w:type="dxa"/>
            <w:vAlign w:val="center"/>
          </w:tcPr>
          <w:p w:rsidR="007155A0" w:rsidRPr="00B14604" w:rsidRDefault="00CF7109" w:rsidP="001A1C3E">
            <w:pPr>
              <w:jc w:val="center"/>
              <w:rPr>
                <w:sz w:val="16"/>
                <w:szCs w:val="16"/>
              </w:rPr>
            </w:pPr>
            <w:r w:rsidRPr="00B14604">
              <w:rPr>
                <w:sz w:val="16"/>
                <w:szCs w:val="16"/>
              </w:rPr>
              <w:t>1,211.68</w:t>
            </w:r>
          </w:p>
        </w:tc>
        <w:tc>
          <w:tcPr>
            <w:tcW w:w="1103" w:type="dxa"/>
            <w:vAlign w:val="center"/>
          </w:tcPr>
          <w:p w:rsidR="007155A0" w:rsidRPr="00B14604" w:rsidRDefault="00D70C74" w:rsidP="001A1C3E">
            <w:pPr>
              <w:jc w:val="center"/>
              <w:rPr>
                <w:sz w:val="16"/>
                <w:szCs w:val="16"/>
              </w:rPr>
            </w:pPr>
            <w:r w:rsidRPr="00B14604">
              <w:rPr>
                <w:sz w:val="16"/>
                <w:szCs w:val="16"/>
              </w:rPr>
              <w:t>64</w:t>
            </w:r>
          </w:p>
        </w:tc>
        <w:tc>
          <w:tcPr>
            <w:tcW w:w="1103" w:type="dxa"/>
            <w:vAlign w:val="center"/>
          </w:tcPr>
          <w:p w:rsidR="007155A0" w:rsidRPr="00B14604" w:rsidRDefault="00D70C74" w:rsidP="001A1C3E">
            <w:pPr>
              <w:jc w:val="center"/>
              <w:rPr>
                <w:sz w:val="16"/>
                <w:szCs w:val="16"/>
              </w:rPr>
            </w:pPr>
            <w:r w:rsidRPr="00B14604">
              <w:rPr>
                <w:sz w:val="16"/>
                <w:szCs w:val="16"/>
              </w:rPr>
              <w:t>1.81</w:t>
            </w:r>
          </w:p>
        </w:tc>
        <w:tc>
          <w:tcPr>
            <w:tcW w:w="971" w:type="dxa"/>
            <w:vAlign w:val="center"/>
          </w:tcPr>
          <w:p w:rsidR="007155A0" w:rsidRPr="00B14604" w:rsidRDefault="00D70C74" w:rsidP="001A1C3E">
            <w:pPr>
              <w:jc w:val="center"/>
              <w:rPr>
                <w:sz w:val="16"/>
                <w:szCs w:val="16"/>
              </w:rPr>
            </w:pPr>
            <w:r w:rsidRPr="00B14604">
              <w:rPr>
                <w:sz w:val="16"/>
                <w:szCs w:val="16"/>
              </w:rPr>
              <w:t>42</w:t>
            </w:r>
          </w:p>
        </w:tc>
        <w:tc>
          <w:tcPr>
            <w:tcW w:w="1103" w:type="dxa"/>
            <w:vAlign w:val="center"/>
          </w:tcPr>
          <w:p w:rsidR="007155A0" w:rsidRPr="00B14604" w:rsidRDefault="00D70C74" w:rsidP="001A1C3E">
            <w:pPr>
              <w:jc w:val="center"/>
              <w:rPr>
                <w:sz w:val="16"/>
                <w:szCs w:val="16"/>
              </w:rPr>
            </w:pPr>
            <w:r w:rsidRPr="00B14604">
              <w:rPr>
                <w:sz w:val="16"/>
                <w:szCs w:val="16"/>
              </w:rPr>
              <w:t>11.1</w:t>
            </w:r>
          </w:p>
        </w:tc>
        <w:tc>
          <w:tcPr>
            <w:tcW w:w="1103" w:type="dxa"/>
            <w:vAlign w:val="center"/>
          </w:tcPr>
          <w:p w:rsidR="007155A0" w:rsidRPr="00B14604" w:rsidRDefault="00D70C74" w:rsidP="001A1C3E">
            <w:pPr>
              <w:jc w:val="center"/>
              <w:rPr>
                <w:sz w:val="16"/>
                <w:szCs w:val="16"/>
              </w:rPr>
            </w:pPr>
            <w:r w:rsidRPr="00B14604">
              <w:rPr>
                <w:sz w:val="16"/>
                <w:szCs w:val="16"/>
              </w:rPr>
              <w:t>1,224.59</w:t>
            </w:r>
          </w:p>
        </w:tc>
      </w:tr>
      <w:tr w:rsidR="007155A0" w:rsidRPr="00B14604" w:rsidTr="00537DD5">
        <w:tc>
          <w:tcPr>
            <w:tcW w:w="1975" w:type="dxa"/>
            <w:vAlign w:val="center"/>
          </w:tcPr>
          <w:p w:rsidR="007155A0" w:rsidRPr="00B14604" w:rsidRDefault="00F416EE" w:rsidP="009F326B">
            <w:pPr>
              <w:rPr>
                <w:sz w:val="16"/>
                <w:szCs w:val="16"/>
              </w:rPr>
            </w:pPr>
            <w:r w:rsidRPr="00B14604">
              <w:rPr>
                <w:sz w:val="16"/>
                <w:szCs w:val="16"/>
              </w:rPr>
              <w:t>Staff Commuting</w:t>
            </w:r>
          </w:p>
        </w:tc>
        <w:tc>
          <w:tcPr>
            <w:tcW w:w="946" w:type="dxa"/>
            <w:vAlign w:val="center"/>
          </w:tcPr>
          <w:p w:rsidR="007155A0" w:rsidRPr="00B14604" w:rsidRDefault="00B14604" w:rsidP="001A1C3E">
            <w:pPr>
              <w:jc w:val="center"/>
              <w:rPr>
                <w:sz w:val="16"/>
                <w:szCs w:val="16"/>
              </w:rPr>
            </w:pPr>
            <w:r>
              <w:rPr>
                <w:sz w:val="16"/>
                <w:szCs w:val="16"/>
              </w:rPr>
              <w:t>2,423,360</w:t>
            </w:r>
          </w:p>
        </w:tc>
        <w:tc>
          <w:tcPr>
            <w:tcW w:w="1103" w:type="dxa"/>
            <w:vAlign w:val="center"/>
          </w:tcPr>
          <w:p w:rsidR="007155A0" w:rsidRPr="00B14604" w:rsidRDefault="00B14604" w:rsidP="001A1C3E">
            <w:pPr>
              <w:jc w:val="center"/>
              <w:rPr>
                <w:sz w:val="16"/>
                <w:szCs w:val="16"/>
              </w:rPr>
            </w:pPr>
            <w:r>
              <w:rPr>
                <w:sz w:val="16"/>
                <w:szCs w:val="16"/>
              </w:rPr>
              <w:t>2,423.36</w:t>
            </w:r>
          </w:p>
        </w:tc>
        <w:tc>
          <w:tcPr>
            <w:tcW w:w="1103" w:type="dxa"/>
            <w:vAlign w:val="center"/>
          </w:tcPr>
          <w:p w:rsidR="007155A0" w:rsidRPr="00B14604" w:rsidRDefault="00B14604" w:rsidP="001A1C3E">
            <w:pPr>
              <w:jc w:val="center"/>
              <w:rPr>
                <w:sz w:val="16"/>
                <w:szCs w:val="16"/>
              </w:rPr>
            </w:pPr>
            <w:r>
              <w:rPr>
                <w:sz w:val="16"/>
                <w:szCs w:val="16"/>
              </w:rPr>
              <w:t>130</w:t>
            </w:r>
          </w:p>
        </w:tc>
        <w:tc>
          <w:tcPr>
            <w:tcW w:w="1103" w:type="dxa"/>
            <w:vAlign w:val="center"/>
          </w:tcPr>
          <w:p w:rsidR="007155A0" w:rsidRPr="00B14604" w:rsidRDefault="00B14604" w:rsidP="001A1C3E">
            <w:pPr>
              <w:jc w:val="center"/>
              <w:rPr>
                <w:sz w:val="16"/>
                <w:szCs w:val="16"/>
              </w:rPr>
            </w:pPr>
            <w:r>
              <w:rPr>
                <w:sz w:val="16"/>
                <w:szCs w:val="16"/>
              </w:rPr>
              <w:t>3.65</w:t>
            </w:r>
          </w:p>
        </w:tc>
        <w:tc>
          <w:tcPr>
            <w:tcW w:w="971" w:type="dxa"/>
            <w:vAlign w:val="center"/>
          </w:tcPr>
          <w:p w:rsidR="007155A0" w:rsidRPr="00B14604" w:rsidRDefault="00B14604" w:rsidP="001A1C3E">
            <w:pPr>
              <w:jc w:val="center"/>
              <w:rPr>
                <w:sz w:val="16"/>
                <w:szCs w:val="16"/>
              </w:rPr>
            </w:pPr>
            <w:r>
              <w:rPr>
                <w:sz w:val="16"/>
                <w:szCs w:val="16"/>
              </w:rPr>
              <w:t>84</w:t>
            </w:r>
          </w:p>
        </w:tc>
        <w:tc>
          <w:tcPr>
            <w:tcW w:w="1103" w:type="dxa"/>
            <w:vAlign w:val="center"/>
          </w:tcPr>
          <w:p w:rsidR="007155A0" w:rsidRPr="00B14604" w:rsidRDefault="00B14604" w:rsidP="001A1C3E">
            <w:pPr>
              <w:jc w:val="center"/>
              <w:rPr>
                <w:sz w:val="16"/>
                <w:szCs w:val="16"/>
              </w:rPr>
            </w:pPr>
            <w:r>
              <w:rPr>
                <w:sz w:val="16"/>
                <w:szCs w:val="16"/>
              </w:rPr>
              <w:t>22.21</w:t>
            </w:r>
          </w:p>
        </w:tc>
        <w:tc>
          <w:tcPr>
            <w:tcW w:w="1103" w:type="dxa"/>
            <w:vAlign w:val="center"/>
          </w:tcPr>
          <w:p w:rsidR="007155A0" w:rsidRPr="00B14604" w:rsidRDefault="00B14604" w:rsidP="001A1C3E">
            <w:pPr>
              <w:jc w:val="center"/>
              <w:rPr>
                <w:sz w:val="16"/>
                <w:szCs w:val="16"/>
              </w:rPr>
            </w:pPr>
            <w:r>
              <w:rPr>
                <w:sz w:val="16"/>
                <w:szCs w:val="16"/>
              </w:rPr>
              <w:t>2,449.22</w:t>
            </w:r>
          </w:p>
        </w:tc>
      </w:tr>
      <w:tr w:rsidR="007155A0" w:rsidRPr="00B14604" w:rsidTr="00537DD5">
        <w:tc>
          <w:tcPr>
            <w:tcW w:w="1975" w:type="dxa"/>
            <w:vAlign w:val="center"/>
          </w:tcPr>
          <w:p w:rsidR="007155A0" w:rsidRPr="00B14604" w:rsidRDefault="001A1C3E" w:rsidP="009F326B">
            <w:pPr>
              <w:rPr>
                <w:sz w:val="16"/>
                <w:szCs w:val="16"/>
              </w:rPr>
            </w:pPr>
            <w:r w:rsidRPr="00B14604">
              <w:rPr>
                <w:sz w:val="16"/>
                <w:szCs w:val="16"/>
              </w:rPr>
              <w:t>Student Commuting</w:t>
            </w:r>
          </w:p>
        </w:tc>
        <w:tc>
          <w:tcPr>
            <w:tcW w:w="946" w:type="dxa"/>
            <w:vAlign w:val="center"/>
          </w:tcPr>
          <w:p w:rsidR="007155A0" w:rsidRPr="00B14604" w:rsidRDefault="005814D4" w:rsidP="001A1C3E">
            <w:pPr>
              <w:jc w:val="center"/>
              <w:rPr>
                <w:sz w:val="16"/>
                <w:szCs w:val="16"/>
              </w:rPr>
            </w:pPr>
            <w:r>
              <w:rPr>
                <w:sz w:val="16"/>
                <w:szCs w:val="16"/>
              </w:rPr>
              <w:t>3,858,572</w:t>
            </w:r>
          </w:p>
        </w:tc>
        <w:tc>
          <w:tcPr>
            <w:tcW w:w="1103" w:type="dxa"/>
            <w:vAlign w:val="center"/>
          </w:tcPr>
          <w:p w:rsidR="007155A0" w:rsidRPr="00B14604" w:rsidRDefault="005814D4" w:rsidP="001A1C3E">
            <w:pPr>
              <w:jc w:val="center"/>
              <w:rPr>
                <w:sz w:val="16"/>
                <w:szCs w:val="16"/>
              </w:rPr>
            </w:pPr>
            <w:r>
              <w:rPr>
                <w:sz w:val="16"/>
                <w:szCs w:val="16"/>
              </w:rPr>
              <w:t>3,858.57</w:t>
            </w:r>
          </w:p>
        </w:tc>
        <w:tc>
          <w:tcPr>
            <w:tcW w:w="1103" w:type="dxa"/>
            <w:vAlign w:val="center"/>
          </w:tcPr>
          <w:p w:rsidR="007155A0" w:rsidRPr="00B14604" w:rsidRDefault="005814D4" w:rsidP="001A1C3E">
            <w:pPr>
              <w:jc w:val="center"/>
              <w:rPr>
                <w:sz w:val="16"/>
                <w:szCs w:val="16"/>
              </w:rPr>
            </w:pPr>
            <w:r>
              <w:rPr>
                <w:sz w:val="16"/>
                <w:szCs w:val="16"/>
              </w:rPr>
              <w:t>206</w:t>
            </w:r>
          </w:p>
        </w:tc>
        <w:tc>
          <w:tcPr>
            <w:tcW w:w="1103" w:type="dxa"/>
            <w:vAlign w:val="center"/>
          </w:tcPr>
          <w:p w:rsidR="007155A0" w:rsidRPr="00B14604" w:rsidRDefault="005814D4" w:rsidP="001A1C3E">
            <w:pPr>
              <w:jc w:val="center"/>
              <w:rPr>
                <w:sz w:val="16"/>
                <w:szCs w:val="16"/>
              </w:rPr>
            </w:pPr>
            <w:r>
              <w:rPr>
                <w:sz w:val="16"/>
                <w:szCs w:val="16"/>
              </w:rPr>
              <w:t>5.76</w:t>
            </w:r>
          </w:p>
        </w:tc>
        <w:tc>
          <w:tcPr>
            <w:tcW w:w="971" w:type="dxa"/>
            <w:vAlign w:val="center"/>
          </w:tcPr>
          <w:p w:rsidR="007155A0" w:rsidRPr="00B14604" w:rsidRDefault="005814D4" w:rsidP="001A1C3E">
            <w:pPr>
              <w:jc w:val="center"/>
              <w:rPr>
                <w:sz w:val="16"/>
                <w:szCs w:val="16"/>
              </w:rPr>
            </w:pPr>
            <w:r>
              <w:rPr>
                <w:sz w:val="16"/>
                <w:szCs w:val="16"/>
              </w:rPr>
              <w:t>134</w:t>
            </w:r>
          </w:p>
        </w:tc>
        <w:tc>
          <w:tcPr>
            <w:tcW w:w="1103" w:type="dxa"/>
            <w:vAlign w:val="center"/>
          </w:tcPr>
          <w:p w:rsidR="007155A0" w:rsidRPr="00B14604" w:rsidRDefault="005814D4" w:rsidP="001A1C3E">
            <w:pPr>
              <w:jc w:val="center"/>
              <w:rPr>
                <w:sz w:val="16"/>
                <w:szCs w:val="16"/>
              </w:rPr>
            </w:pPr>
            <w:r>
              <w:rPr>
                <w:sz w:val="16"/>
                <w:szCs w:val="16"/>
              </w:rPr>
              <w:t>35.4</w:t>
            </w:r>
          </w:p>
        </w:tc>
        <w:tc>
          <w:tcPr>
            <w:tcW w:w="1103" w:type="dxa"/>
            <w:vAlign w:val="center"/>
          </w:tcPr>
          <w:p w:rsidR="007155A0" w:rsidRPr="00B14604" w:rsidRDefault="005814D4" w:rsidP="001A1C3E">
            <w:pPr>
              <w:jc w:val="center"/>
              <w:rPr>
                <w:sz w:val="16"/>
                <w:szCs w:val="16"/>
              </w:rPr>
            </w:pPr>
            <w:r>
              <w:rPr>
                <w:sz w:val="16"/>
                <w:szCs w:val="16"/>
              </w:rPr>
              <w:t>3,899.73</w:t>
            </w:r>
          </w:p>
        </w:tc>
      </w:tr>
      <w:tr w:rsidR="001A1C3E" w:rsidRPr="00B14604" w:rsidTr="00537DD5">
        <w:tc>
          <w:tcPr>
            <w:tcW w:w="1975" w:type="dxa"/>
            <w:vAlign w:val="center"/>
          </w:tcPr>
          <w:p w:rsidR="001A1C3E" w:rsidRPr="00B14604" w:rsidRDefault="001A1C3E" w:rsidP="009F326B">
            <w:pPr>
              <w:rPr>
                <w:sz w:val="16"/>
                <w:szCs w:val="16"/>
              </w:rPr>
            </w:pPr>
            <w:r w:rsidRPr="00B14604">
              <w:rPr>
                <w:sz w:val="16"/>
                <w:szCs w:val="16"/>
              </w:rPr>
              <w:t>Directly Financed Air Travel</w:t>
            </w:r>
          </w:p>
        </w:tc>
        <w:tc>
          <w:tcPr>
            <w:tcW w:w="946" w:type="dxa"/>
            <w:vAlign w:val="center"/>
          </w:tcPr>
          <w:p w:rsidR="001A1C3E" w:rsidRPr="00B14604" w:rsidRDefault="005814D4" w:rsidP="001A1C3E">
            <w:pPr>
              <w:jc w:val="center"/>
              <w:rPr>
                <w:sz w:val="16"/>
                <w:szCs w:val="16"/>
              </w:rPr>
            </w:pPr>
            <w:r>
              <w:rPr>
                <w:sz w:val="16"/>
                <w:szCs w:val="16"/>
              </w:rPr>
              <w:t>3,517,693</w:t>
            </w:r>
          </w:p>
        </w:tc>
        <w:tc>
          <w:tcPr>
            <w:tcW w:w="1103" w:type="dxa"/>
            <w:vAlign w:val="center"/>
          </w:tcPr>
          <w:p w:rsidR="001A1C3E" w:rsidRPr="00B14604" w:rsidRDefault="009372D1" w:rsidP="001A1C3E">
            <w:pPr>
              <w:jc w:val="center"/>
              <w:rPr>
                <w:sz w:val="16"/>
                <w:szCs w:val="16"/>
              </w:rPr>
            </w:pPr>
            <w:r>
              <w:rPr>
                <w:sz w:val="16"/>
                <w:szCs w:val="16"/>
              </w:rPr>
              <w:t>3,517.69</w:t>
            </w:r>
          </w:p>
        </w:tc>
        <w:tc>
          <w:tcPr>
            <w:tcW w:w="1103" w:type="dxa"/>
            <w:vAlign w:val="center"/>
          </w:tcPr>
          <w:p w:rsidR="001A1C3E" w:rsidRPr="00B14604" w:rsidRDefault="009372D1" w:rsidP="001A1C3E">
            <w:pPr>
              <w:jc w:val="center"/>
              <w:rPr>
                <w:sz w:val="16"/>
                <w:szCs w:val="16"/>
              </w:rPr>
            </w:pPr>
            <w:r>
              <w:rPr>
                <w:sz w:val="16"/>
                <w:szCs w:val="16"/>
              </w:rPr>
              <w:t>38</w:t>
            </w:r>
          </w:p>
        </w:tc>
        <w:tc>
          <w:tcPr>
            <w:tcW w:w="1103" w:type="dxa"/>
            <w:vAlign w:val="center"/>
          </w:tcPr>
          <w:p w:rsidR="001A1C3E" w:rsidRPr="00B14604" w:rsidRDefault="009372D1" w:rsidP="001A1C3E">
            <w:pPr>
              <w:jc w:val="center"/>
              <w:rPr>
                <w:sz w:val="16"/>
                <w:szCs w:val="16"/>
              </w:rPr>
            </w:pPr>
            <w:r>
              <w:rPr>
                <w:sz w:val="16"/>
                <w:szCs w:val="16"/>
              </w:rPr>
              <w:t>1.07</w:t>
            </w:r>
          </w:p>
        </w:tc>
        <w:tc>
          <w:tcPr>
            <w:tcW w:w="971" w:type="dxa"/>
            <w:vAlign w:val="center"/>
          </w:tcPr>
          <w:p w:rsidR="001A1C3E" w:rsidRPr="00B14604" w:rsidRDefault="009372D1" w:rsidP="001A1C3E">
            <w:pPr>
              <w:jc w:val="center"/>
              <w:rPr>
                <w:sz w:val="16"/>
                <w:szCs w:val="16"/>
              </w:rPr>
            </w:pPr>
            <w:r>
              <w:rPr>
                <w:sz w:val="16"/>
                <w:szCs w:val="16"/>
              </w:rPr>
              <w:t>39</w:t>
            </w:r>
          </w:p>
        </w:tc>
        <w:tc>
          <w:tcPr>
            <w:tcW w:w="1103" w:type="dxa"/>
            <w:vAlign w:val="center"/>
          </w:tcPr>
          <w:p w:rsidR="001A1C3E" w:rsidRPr="00B14604" w:rsidRDefault="009372D1" w:rsidP="001A1C3E">
            <w:pPr>
              <w:jc w:val="center"/>
              <w:rPr>
                <w:sz w:val="16"/>
                <w:szCs w:val="16"/>
              </w:rPr>
            </w:pPr>
            <w:r>
              <w:rPr>
                <w:sz w:val="16"/>
                <w:szCs w:val="16"/>
              </w:rPr>
              <w:t>10.42</w:t>
            </w:r>
          </w:p>
        </w:tc>
        <w:tc>
          <w:tcPr>
            <w:tcW w:w="1103" w:type="dxa"/>
            <w:vAlign w:val="center"/>
          </w:tcPr>
          <w:p w:rsidR="001A1C3E" w:rsidRPr="00B14604" w:rsidRDefault="009372D1" w:rsidP="009372D1">
            <w:pPr>
              <w:jc w:val="center"/>
              <w:rPr>
                <w:sz w:val="16"/>
                <w:szCs w:val="16"/>
              </w:rPr>
            </w:pPr>
            <w:r>
              <w:rPr>
                <w:sz w:val="16"/>
                <w:szCs w:val="16"/>
              </w:rPr>
              <w:t>3,529.18</w:t>
            </w:r>
          </w:p>
        </w:tc>
      </w:tr>
      <w:tr w:rsidR="001A1C3E" w:rsidRPr="00B14604" w:rsidTr="00537DD5">
        <w:tc>
          <w:tcPr>
            <w:tcW w:w="1975" w:type="dxa"/>
            <w:vAlign w:val="center"/>
          </w:tcPr>
          <w:p w:rsidR="001A1C3E" w:rsidRPr="00B14604" w:rsidRDefault="001A1C3E" w:rsidP="009F326B">
            <w:pPr>
              <w:rPr>
                <w:sz w:val="16"/>
                <w:szCs w:val="16"/>
              </w:rPr>
            </w:pPr>
            <w:r w:rsidRPr="00B14604">
              <w:rPr>
                <w:sz w:val="16"/>
                <w:szCs w:val="16"/>
              </w:rPr>
              <w:t>Other Directly Financed Travel</w:t>
            </w:r>
          </w:p>
        </w:tc>
        <w:tc>
          <w:tcPr>
            <w:tcW w:w="946" w:type="dxa"/>
            <w:vAlign w:val="center"/>
          </w:tcPr>
          <w:p w:rsidR="001A1C3E" w:rsidRPr="00B14604" w:rsidRDefault="00912164" w:rsidP="001A1C3E">
            <w:pPr>
              <w:jc w:val="center"/>
              <w:rPr>
                <w:sz w:val="16"/>
                <w:szCs w:val="16"/>
              </w:rPr>
            </w:pPr>
            <w:r>
              <w:rPr>
                <w:sz w:val="16"/>
                <w:szCs w:val="16"/>
              </w:rPr>
              <w:t>330,858</w:t>
            </w:r>
          </w:p>
        </w:tc>
        <w:tc>
          <w:tcPr>
            <w:tcW w:w="1103" w:type="dxa"/>
            <w:vAlign w:val="center"/>
          </w:tcPr>
          <w:p w:rsidR="001A1C3E" w:rsidRPr="00B14604" w:rsidRDefault="00912164" w:rsidP="001A1C3E">
            <w:pPr>
              <w:jc w:val="center"/>
              <w:rPr>
                <w:sz w:val="16"/>
                <w:szCs w:val="16"/>
              </w:rPr>
            </w:pPr>
            <w:r>
              <w:rPr>
                <w:sz w:val="16"/>
                <w:szCs w:val="16"/>
              </w:rPr>
              <w:t>330.86</w:t>
            </w:r>
          </w:p>
        </w:tc>
        <w:tc>
          <w:tcPr>
            <w:tcW w:w="1103" w:type="dxa"/>
            <w:vAlign w:val="center"/>
          </w:tcPr>
          <w:p w:rsidR="001A1C3E" w:rsidRPr="00B14604" w:rsidRDefault="00642D1A" w:rsidP="001A1C3E">
            <w:pPr>
              <w:jc w:val="center"/>
              <w:rPr>
                <w:sz w:val="16"/>
                <w:szCs w:val="16"/>
              </w:rPr>
            </w:pPr>
            <w:r>
              <w:rPr>
                <w:sz w:val="16"/>
                <w:szCs w:val="16"/>
              </w:rPr>
              <w:t>18</w:t>
            </w:r>
          </w:p>
        </w:tc>
        <w:tc>
          <w:tcPr>
            <w:tcW w:w="1103" w:type="dxa"/>
            <w:vAlign w:val="center"/>
          </w:tcPr>
          <w:p w:rsidR="001A1C3E" w:rsidRPr="00B14604" w:rsidRDefault="00642D1A" w:rsidP="001A1C3E">
            <w:pPr>
              <w:jc w:val="center"/>
              <w:rPr>
                <w:sz w:val="16"/>
                <w:szCs w:val="16"/>
              </w:rPr>
            </w:pPr>
            <w:r>
              <w:rPr>
                <w:sz w:val="16"/>
                <w:szCs w:val="16"/>
              </w:rPr>
              <w:t>0.5</w:t>
            </w:r>
          </w:p>
        </w:tc>
        <w:tc>
          <w:tcPr>
            <w:tcW w:w="971" w:type="dxa"/>
            <w:vAlign w:val="center"/>
          </w:tcPr>
          <w:p w:rsidR="001A1C3E" w:rsidRPr="00B14604" w:rsidRDefault="00642D1A" w:rsidP="001A1C3E">
            <w:pPr>
              <w:jc w:val="center"/>
              <w:rPr>
                <w:sz w:val="16"/>
                <w:szCs w:val="16"/>
              </w:rPr>
            </w:pPr>
            <w:r>
              <w:rPr>
                <w:sz w:val="16"/>
                <w:szCs w:val="16"/>
              </w:rPr>
              <w:t>12</w:t>
            </w:r>
          </w:p>
        </w:tc>
        <w:tc>
          <w:tcPr>
            <w:tcW w:w="1103" w:type="dxa"/>
            <w:vAlign w:val="center"/>
          </w:tcPr>
          <w:p w:rsidR="001A1C3E" w:rsidRPr="00B14604" w:rsidRDefault="00642D1A" w:rsidP="001A1C3E">
            <w:pPr>
              <w:jc w:val="center"/>
              <w:rPr>
                <w:sz w:val="16"/>
                <w:szCs w:val="16"/>
              </w:rPr>
            </w:pPr>
            <w:r>
              <w:rPr>
                <w:sz w:val="16"/>
                <w:szCs w:val="16"/>
              </w:rPr>
              <w:t>3.07</w:t>
            </w:r>
          </w:p>
        </w:tc>
        <w:tc>
          <w:tcPr>
            <w:tcW w:w="1103" w:type="dxa"/>
            <w:vAlign w:val="center"/>
          </w:tcPr>
          <w:p w:rsidR="001A1C3E" w:rsidRPr="00B14604" w:rsidRDefault="00642D1A" w:rsidP="001A1C3E">
            <w:pPr>
              <w:jc w:val="center"/>
              <w:rPr>
                <w:sz w:val="16"/>
                <w:szCs w:val="16"/>
              </w:rPr>
            </w:pPr>
            <w:r>
              <w:rPr>
                <w:sz w:val="16"/>
                <w:szCs w:val="16"/>
              </w:rPr>
              <w:t>334.43</w:t>
            </w:r>
          </w:p>
        </w:tc>
      </w:tr>
      <w:tr w:rsidR="001A1C3E" w:rsidRPr="00B14604" w:rsidTr="00537DD5">
        <w:tc>
          <w:tcPr>
            <w:tcW w:w="1975" w:type="dxa"/>
            <w:vAlign w:val="center"/>
          </w:tcPr>
          <w:p w:rsidR="001A1C3E" w:rsidRPr="00B14604" w:rsidRDefault="001A1C3E" w:rsidP="009F326B">
            <w:pPr>
              <w:rPr>
                <w:sz w:val="16"/>
                <w:szCs w:val="16"/>
              </w:rPr>
            </w:pPr>
            <w:r w:rsidRPr="00B14604">
              <w:rPr>
                <w:sz w:val="16"/>
                <w:szCs w:val="16"/>
              </w:rPr>
              <w:t>Student Travel to/from Home</w:t>
            </w:r>
          </w:p>
        </w:tc>
        <w:tc>
          <w:tcPr>
            <w:tcW w:w="946" w:type="dxa"/>
            <w:vAlign w:val="center"/>
          </w:tcPr>
          <w:p w:rsidR="001A1C3E" w:rsidRPr="00B14604" w:rsidRDefault="00177908" w:rsidP="001A1C3E">
            <w:pPr>
              <w:jc w:val="center"/>
              <w:rPr>
                <w:sz w:val="16"/>
                <w:szCs w:val="16"/>
              </w:rPr>
            </w:pPr>
            <w:r>
              <w:rPr>
                <w:sz w:val="16"/>
                <w:szCs w:val="16"/>
              </w:rPr>
              <w:t>4,190,700</w:t>
            </w:r>
          </w:p>
        </w:tc>
        <w:tc>
          <w:tcPr>
            <w:tcW w:w="1103" w:type="dxa"/>
            <w:vAlign w:val="center"/>
          </w:tcPr>
          <w:p w:rsidR="001A1C3E" w:rsidRPr="00B14604" w:rsidRDefault="00B15972" w:rsidP="001A1C3E">
            <w:pPr>
              <w:jc w:val="center"/>
              <w:rPr>
                <w:sz w:val="16"/>
                <w:szCs w:val="16"/>
              </w:rPr>
            </w:pPr>
            <w:r>
              <w:rPr>
                <w:sz w:val="16"/>
                <w:szCs w:val="16"/>
              </w:rPr>
              <w:t>4,190.70</w:t>
            </w:r>
          </w:p>
        </w:tc>
        <w:tc>
          <w:tcPr>
            <w:tcW w:w="1103" w:type="dxa"/>
            <w:vAlign w:val="center"/>
          </w:tcPr>
          <w:p w:rsidR="001A1C3E" w:rsidRPr="00B14604" w:rsidRDefault="00B15972" w:rsidP="001A1C3E">
            <w:pPr>
              <w:jc w:val="center"/>
              <w:rPr>
                <w:sz w:val="16"/>
                <w:szCs w:val="16"/>
              </w:rPr>
            </w:pPr>
            <w:r>
              <w:rPr>
                <w:sz w:val="16"/>
                <w:szCs w:val="16"/>
              </w:rPr>
              <w:t>64</w:t>
            </w:r>
          </w:p>
        </w:tc>
        <w:tc>
          <w:tcPr>
            <w:tcW w:w="1103" w:type="dxa"/>
            <w:vAlign w:val="center"/>
          </w:tcPr>
          <w:p w:rsidR="001A1C3E" w:rsidRPr="00B14604" w:rsidRDefault="00B15972" w:rsidP="001A1C3E">
            <w:pPr>
              <w:jc w:val="center"/>
              <w:rPr>
                <w:sz w:val="16"/>
                <w:szCs w:val="16"/>
              </w:rPr>
            </w:pPr>
            <w:r>
              <w:rPr>
                <w:sz w:val="16"/>
                <w:szCs w:val="16"/>
              </w:rPr>
              <w:t>1.79</w:t>
            </w:r>
          </w:p>
        </w:tc>
        <w:tc>
          <w:tcPr>
            <w:tcW w:w="971" w:type="dxa"/>
            <w:vAlign w:val="center"/>
          </w:tcPr>
          <w:p w:rsidR="001A1C3E" w:rsidRPr="00B14604" w:rsidRDefault="00B15972" w:rsidP="001A1C3E">
            <w:pPr>
              <w:jc w:val="center"/>
              <w:rPr>
                <w:sz w:val="16"/>
                <w:szCs w:val="16"/>
              </w:rPr>
            </w:pPr>
            <w:r>
              <w:rPr>
                <w:sz w:val="16"/>
                <w:szCs w:val="16"/>
              </w:rPr>
              <w:t>57</w:t>
            </w:r>
          </w:p>
        </w:tc>
        <w:tc>
          <w:tcPr>
            <w:tcW w:w="1103" w:type="dxa"/>
            <w:vAlign w:val="center"/>
          </w:tcPr>
          <w:p w:rsidR="001A1C3E" w:rsidRPr="00B14604" w:rsidRDefault="00177908" w:rsidP="001A1C3E">
            <w:pPr>
              <w:jc w:val="center"/>
              <w:rPr>
                <w:sz w:val="16"/>
                <w:szCs w:val="16"/>
              </w:rPr>
            </w:pPr>
            <w:r>
              <w:rPr>
                <w:sz w:val="16"/>
                <w:szCs w:val="16"/>
              </w:rPr>
              <w:t>15.11</w:t>
            </w:r>
          </w:p>
        </w:tc>
        <w:tc>
          <w:tcPr>
            <w:tcW w:w="1103" w:type="dxa"/>
            <w:vAlign w:val="center"/>
          </w:tcPr>
          <w:p w:rsidR="001A1C3E" w:rsidRPr="00B14604" w:rsidRDefault="00642D1A" w:rsidP="001A1C3E">
            <w:pPr>
              <w:jc w:val="center"/>
              <w:rPr>
                <w:sz w:val="16"/>
                <w:szCs w:val="16"/>
              </w:rPr>
            </w:pPr>
            <w:r>
              <w:rPr>
                <w:sz w:val="16"/>
                <w:szCs w:val="16"/>
              </w:rPr>
              <w:t>4,207.60</w:t>
            </w:r>
          </w:p>
        </w:tc>
      </w:tr>
      <w:tr w:rsidR="001A1C3E" w:rsidRPr="00B14604" w:rsidTr="00537DD5">
        <w:tc>
          <w:tcPr>
            <w:tcW w:w="1975" w:type="dxa"/>
            <w:vAlign w:val="center"/>
          </w:tcPr>
          <w:p w:rsidR="001A1C3E" w:rsidRPr="00B14604" w:rsidRDefault="001A1C3E" w:rsidP="009F326B">
            <w:pPr>
              <w:rPr>
                <w:sz w:val="16"/>
                <w:szCs w:val="16"/>
              </w:rPr>
            </w:pPr>
            <w:r w:rsidRPr="00B14604">
              <w:rPr>
                <w:sz w:val="16"/>
                <w:szCs w:val="16"/>
              </w:rPr>
              <w:t>Solid Waste</w:t>
            </w:r>
          </w:p>
        </w:tc>
        <w:tc>
          <w:tcPr>
            <w:tcW w:w="946" w:type="dxa"/>
            <w:vAlign w:val="center"/>
          </w:tcPr>
          <w:p w:rsidR="001A1C3E" w:rsidRPr="00B14604" w:rsidRDefault="00B15972" w:rsidP="001A1C3E">
            <w:pPr>
              <w:jc w:val="center"/>
              <w:rPr>
                <w:sz w:val="16"/>
                <w:szCs w:val="16"/>
              </w:rPr>
            </w:pPr>
            <w:r>
              <w:rPr>
                <w:sz w:val="16"/>
                <w:szCs w:val="16"/>
              </w:rPr>
              <w:t>0</w:t>
            </w:r>
          </w:p>
        </w:tc>
        <w:tc>
          <w:tcPr>
            <w:tcW w:w="1103" w:type="dxa"/>
            <w:vAlign w:val="center"/>
          </w:tcPr>
          <w:p w:rsidR="001A1C3E" w:rsidRPr="00B14604" w:rsidRDefault="00B15972" w:rsidP="001A1C3E">
            <w:pPr>
              <w:jc w:val="center"/>
              <w:rPr>
                <w:sz w:val="16"/>
                <w:szCs w:val="16"/>
              </w:rPr>
            </w:pPr>
            <w:r>
              <w:rPr>
                <w:sz w:val="16"/>
                <w:szCs w:val="16"/>
              </w:rPr>
              <w:t>0</w:t>
            </w:r>
          </w:p>
        </w:tc>
        <w:tc>
          <w:tcPr>
            <w:tcW w:w="1103" w:type="dxa"/>
            <w:vAlign w:val="center"/>
          </w:tcPr>
          <w:p w:rsidR="001A1C3E" w:rsidRPr="00B14604" w:rsidRDefault="00B15972" w:rsidP="001A1C3E">
            <w:pPr>
              <w:jc w:val="center"/>
              <w:rPr>
                <w:sz w:val="16"/>
                <w:szCs w:val="16"/>
              </w:rPr>
            </w:pPr>
            <w:r>
              <w:rPr>
                <w:sz w:val="16"/>
                <w:szCs w:val="16"/>
              </w:rPr>
              <w:t>15,416</w:t>
            </w:r>
          </w:p>
        </w:tc>
        <w:tc>
          <w:tcPr>
            <w:tcW w:w="1103" w:type="dxa"/>
            <w:vAlign w:val="center"/>
          </w:tcPr>
          <w:p w:rsidR="001A1C3E" w:rsidRPr="00B14604" w:rsidRDefault="00B15972" w:rsidP="001A1C3E">
            <w:pPr>
              <w:jc w:val="center"/>
              <w:rPr>
                <w:sz w:val="16"/>
                <w:szCs w:val="16"/>
              </w:rPr>
            </w:pPr>
            <w:r>
              <w:rPr>
                <w:sz w:val="16"/>
                <w:szCs w:val="16"/>
              </w:rPr>
              <w:t>431.64</w:t>
            </w:r>
          </w:p>
        </w:tc>
        <w:tc>
          <w:tcPr>
            <w:tcW w:w="971" w:type="dxa"/>
            <w:vAlign w:val="center"/>
          </w:tcPr>
          <w:p w:rsidR="001A1C3E" w:rsidRPr="00B14604" w:rsidRDefault="00B15972" w:rsidP="001A1C3E">
            <w:pPr>
              <w:jc w:val="center"/>
              <w:rPr>
                <w:sz w:val="16"/>
                <w:szCs w:val="16"/>
              </w:rPr>
            </w:pPr>
            <w:r>
              <w:rPr>
                <w:sz w:val="16"/>
                <w:szCs w:val="16"/>
              </w:rPr>
              <w:t>0</w:t>
            </w:r>
          </w:p>
        </w:tc>
        <w:tc>
          <w:tcPr>
            <w:tcW w:w="1103" w:type="dxa"/>
            <w:vAlign w:val="center"/>
          </w:tcPr>
          <w:p w:rsidR="001A1C3E" w:rsidRPr="00B14604" w:rsidRDefault="00B15972" w:rsidP="001A1C3E">
            <w:pPr>
              <w:jc w:val="center"/>
              <w:rPr>
                <w:sz w:val="16"/>
                <w:szCs w:val="16"/>
              </w:rPr>
            </w:pPr>
            <w:r>
              <w:rPr>
                <w:sz w:val="16"/>
                <w:szCs w:val="16"/>
              </w:rPr>
              <w:t>0</w:t>
            </w:r>
          </w:p>
        </w:tc>
        <w:tc>
          <w:tcPr>
            <w:tcW w:w="1103" w:type="dxa"/>
            <w:vAlign w:val="center"/>
          </w:tcPr>
          <w:p w:rsidR="001A1C3E" w:rsidRPr="00B14604" w:rsidRDefault="00B15972" w:rsidP="001A1C3E">
            <w:pPr>
              <w:jc w:val="center"/>
              <w:rPr>
                <w:sz w:val="16"/>
                <w:szCs w:val="16"/>
              </w:rPr>
            </w:pPr>
            <w:r>
              <w:rPr>
                <w:sz w:val="16"/>
                <w:szCs w:val="16"/>
              </w:rPr>
              <w:t>431.64</w:t>
            </w:r>
          </w:p>
        </w:tc>
      </w:tr>
      <w:tr w:rsidR="001A1C3E" w:rsidRPr="00B14604" w:rsidTr="00537DD5">
        <w:tc>
          <w:tcPr>
            <w:tcW w:w="1975" w:type="dxa"/>
            <w:vAlign w:val="center"/>
          </w:tcPr>
          <w:p w:rsidR="001A1C3E" w:rsidRPr="00B14604" w:rsidRDefault="001A1C3E" w:rsidP="009F326B">
            <w:pPr>
              <w:rPr>
                <w:sz w:val="16"/>
                <w:szCs w:val="16"/>
              </w:rPr>
            </w:pPr>
            <w:r w:rsidRPr="00B14604">
              <w:rPr>
                <w:sz w:val="16"/>
                <w:szCs w:val="16"/>
              </w:rPr>
              <w:t>Wastewater</w:t>
            </w:r>
          </w:p>
        </w:tc>
        <w:tc>
          <w:tcPr>
            <w:tcW w:w="946" w:type="dxa"/>
            <w:vAlign w:val="center"/>
          </w:tcPr>
          <w:p w:rsidR="001A1C3E" w:rsidRPr="00B14604" w:rsidRDefault="00B15972" w:rsidP="001A1C3E">
            <w:pPr>
              <w:jc w:val="center"/>
              <w:rPr>
                <w:sz w:val="16"/>
                <w:szCs w:val="16"/>
              </w:rPr>
            </w:pPr>
            <w:r>
              <w:rPr>
                <w:sz w:val="16"/>
                <w:szCs w:val="16"/>
              </w:rPr>
              <w:t>0</w:t>
            </w:r>
          </w:p>
        </w:tc>
        <w:tc>
          <w:tcPr>
            <w:tcW w:w="1103" w:type="dxa"/>
            <w:vAlign w:val="center"/>
          </w:tcPr>
          <w:p w:rsidR="001A1C3E" w:rsidRPr="00B14604" w:rsidRDefault="00B15972" w:rsidP="001A1C3E">
            <w:pPr>
              <w:jc w:val="center"/>
              <w:rPr>
                <w:sz w:val="16"/>
                <w:szCs w:val="16"/>
              </w:rPr>
            </w:pPr>
            <w:r>
              <w:rPr>
                <w:sz w:val="16"/>
                <w:szCs w:val="16"/>
              </w:rPr>
              <w:t>0</w:t>
            </w:r>
          </w:p>
        </w:tc>
        <w:tc>
          <w:tcPr>
            <w:tcW w:w="1103" w:type="dxa"/>
            <w:vAlign w:val="center"/>
          </w:tcPr>
          <w:p w:rsidR="001A1C3E" w:rsidRPr="00B14604" w:rsidRDefault="00B15972" w:rsidP="001A1C3E">
            <w:pPr>
              <w:jc w:val="center"/>
              <w:rPr>
                <w:sz w:val="16"/>
                <w:szCs w:val="16"/>
              </w:rPr>
            </w:pPr>
            <w:r>
              <w:rPr>
                <w:sz w:val="16"/>
                <w:szCs w:val="16"/>
              </w:rPr>
              <w:t>0</w:t>
            </w:r>
          </w:p>
        </w:tc>
        <w:tc>
          <w:tcPr>
            <w:tcW w:w="1103" w:type="dxa"/>
            <w:vAlign w:val="center"/>
          </w:tcPr>
          <w:p w:rsidR="001A1C3E" w:rsidRPr="00B14604" w:rsidRDefault="00B15972" w:rsidP="001A1C3E">
            <w:pPr>
              <w:jc w:val="center"/>
              <w:rPr>
                <w:sz w:val="16"/>
                <w:szCs w:val="16"/>
              </w:rPr>
            </w:pPr>
            <w:r>
              <w:rPr>
                <w:sz w:val="16"/>
                <w:szCs w:val="16"/>
              </w:rPr>
              <w:t>0</w:t>
            </w:r>
          </w:p>
        </w:tc>
        <w:tc>
          <w:tcPr>
            <w:tcW w:w="971" w:type="dxa"/>
            <w:vAlign w:val="center"/>
          </w:tcPr>
          <w:p w:rsidR="001A1C3E" w:rsidRPr="00B14604" w:rsidRDefault="00B15972" w:rsidP="001A1C3E">
            <w:pPr>
              <w:jc w:val="center"/>
              <w:rPr>
                <w:sz w:val="16"/>
                <w:szCs w:val="16"/>
              </w:rPr>
            </w:pPr>
            <w:r>
              <w:rPr>
                <w:sz w:val="16"/>
                <w:szCs w:val="16"/>
              </w:rPr>
              <w:t>80</w:t>
            </w:r>
          </w:p>
        </w:tc>
        <w:tc>
          <w:tcPr>
            <w:tcW w:w="1103" w:type="dxa"/>
            <w:vAlign w:val="center"/>
          </w:tcPr>
          <w:p w:rsidR="001A1C3E" w:rsidRPr="00B14604" w:rsidRDefault="00B15972" w:rsidP="001A1C3E">
            <w:pPr>
              <w:jc w:val="center"/>
              <w:rPr>
                <w:sz w:val="16"/>
                <w:szCs w:val="16"/>
              </w:rPr>
            </w:pPr>
            <w:r>
              <w:rPr>
                <w:sz w:val="16"/>
                <w:szCs w:val="16"/>
              </w:rPr>
              <w:t>21.2</w:t>
            </w:r>
          </w:p>
        </w:tc>
        <w:tc>
          <w:tcPr>
            <w:tcW w:w="1103" w:type="dxa"/>
            <w:vAlign w:val="center"/>
          </w:tcPr>
          <w:p w:rsidR="001A1C3E" w:rsidRPr="00B14604" w:rsidRDefault="00B15972" w:rsidP="001A1C3E">
            <w:pPr>
              <w:jc w:val="center"/>
              <w:rPr>
                <w:sz w:val="16"/>
                <w:szCs w:val="16"/>
              </w:rPr>
            </w:pPr>
            <w:r>
              <w:rPr>
                <w:sz w:val="16"/>
                <w:szCs w:val="16"/>
              </w:rPr>
              <w:t>21.2</w:t>
            </w:r>
          </w:p>
        </w:tc>
      </w:tr>
      <w:tr w:rsidR="001A1C3E" w:rsidRPr="00B14604" w:rsidTr="00537DD5">
        <w:tc>
          <w:tcPr>
            <w:tcW w:w="1975" w:type="dxa"/>
            <w:vAlign w:val="center"/>
          </w:tcPr>
          <w:p w:rsidR="001A1C3E" w:rsidRPr="00B14604" w:rsidRDefault="001A1C3E" w:rsidP="009F326B">
            <w:pPr>
              <w:rPr>
                <w:sz w:val="16"/>
                <w:szCs w:val="16"/>
              </w:rPr>
            </w:pPr>
            <w:r w:rsidRPr="00B14604">
              <w:rPr>
                <w:sz w:val="16"/>
                <w:szCs w:val="16"/>
              </w:rPr>
              <w:t>Paper Purchasing</w:t>
            </w:r>
          </w:p>
        </w:tc>
        <w:tc>
          <w:tcPr>
            <w:tcW w:w="946" w:type="dxa"/>
            <w:vAlign w:val="center"/>
          </w:tcPr>
          <w:p w:rsidR="001A1C3E" w:rsidRPr="00B14604" w:rsidRDefault="00B15972" w:rsidP="001A1C3E">
            <w:pPr>
              <w:jc w:val="center"/>
              <w:rPr>
                <w:sz w:val="16"/>
                <w:szCs w:val="16"/>
              </w:rPr>
            </w:pPr>
            <w:r>
              <w:rPr>
                <w:sz w:val="16"/>
                <w:szCs w:val="16"/>
              </w:rPr>
              <w:t>0</w:t>
            </w:r>
          </w:p>
        </w:tc>
        <w:tc>
          <w:tcPr>
            <w:tcW w:w="1103" w:type="dxa"/>
            <w:vAlign w:val="center"/>
          </w:tcPr>
          <w:p w:rsidR="001A1C3E" w:rsidRPr="00B14604" w:rsidRDefault="00B15972" w:rsidP="001A1C3E">
            <w:pPr>
              <w:jc w:val="center"/>
              <w:rPr>
                <w:sz w:val="16"/>
                <w:szCs w:val="16"/>
              </w:rPr>
            </w:pPr>
            <w:r>
              <w:rPr>
                <w:sz w:val="16"/>
                <w:szCs w:val="16"/>
              </w:rPr>
              <w:t>0</w:t>
            </w:r>
          </w:p>
        </w:tc>
        <w:tc>
          <w:tcPr>
            <w:tcW w:w="1103" w:type="dxa"/>
            <w:vAlign w:val="center"/>
          </w:tcPr>
          <w:p w:rsidR="001A1C3E" w:rsidRPr="00B14604" w:rsidRDefault="00B15972" w:rsidP="001A1C3E">
            <w:pPr>
              <w:jc w:val="center"/>
              <w:rPr>
                <w:sz w:val="16"/>
                <w:szCs w:val="16"/>
              </w:rPr>
            </w:pPr>
            <w:r>
              <w:rPr>
                <w:sz w:val="16"/>
                <w:szCs w:val="16"/>
              </w:rPr>
              <w:t>0</w:t>
            </w:r>
          </w:p>
        </w:tc>
        <w:tc>
          <w:tcPr>
            <w:tcW w:w="1103" w:type="dxa"/>
            <w:vAlign w:val="center"/>
          </w:tcPr>
          <w:p w:rsidR="001A1C3E" w:rsidRPr="00B14604" w:rsidRDefault="00B15972" w:rsidP="001A1C3E">
            <w:pPr>
              <w:jc w:val="center"/>
              <w:rPr>
                <w:sz w:val="16"/>
                <w:szCs w:val="16"/>
              </w:rPr>
            </w:pPr>
            <w:r>
              <w:rPr>
                <w:sz w:val="16"/>
                <w:szCs w:val="16"/>
              </w:rPr>
              <w:t>0</w:t>
            </w:r>
          </w:p>
        </w:tc>
        <w:tc>
          <w:tcPr>
            <w:tcW w:w="971" w:type="dxa"/>
            <w:vAlign w:val="center"/>
          </w:tcPr>
          <w:p w:rsidR="001A1C3E" w:rsidRPr="00B14604" w:rsidRDefault="00B15972" w:rsidP="001A1C3E">
            <w:pPr>
              <w:jc w:val="center"/>
              <w:rPr>
                <w:sz w:val="16"/>
                <w:szCs w:val="16"/>
              </w:rPr>
            </w:pPr>
            <w:r>
              <w:rPr>
                <w:sz w:val="16"/>
                <w:szCs w:val="16"/>
              </w:rPr>
              <w:t>0</w:t>
            </w:r>
          </w:p>
        </w:tc>
        <w:tc>
          <w:tcPr>
            <w:tcW w:w="1103" w:type="dxa"/>
            <w:vAlign w:val="center"/>
          </w:tcPr>
          <w:p w:rsidR="001A1C3E" w:rsidRPr="00B14604" w:rsidRDefault="00B15972" w:rsidP="001A1C3E">
            <w:pPr>
              <w:jc w:val="center"/>
              <w:rPr>
                <w:sz w:val="16"/>
                <w:szCs w:val="16"/>
              </w:rPr>
            </w:pPr>
            <w:r>
              <w:rPr>
                <w:sz w:val="16"/>
                <w:szCs w:val="16"/>
              </w:rPr>
              <w:t>0</w:t>
            </w:r>
          </w:p>
        </w:tc>
        <w:tc>
          <w:tcPr>
            <w:tcW w:w="1103" w:type="dxa"/>
            <w:vAlign w:val="center"/>
          </w:tcPr>
          <w:p w:rsidR="001A1C3E" w:rsidRPr="00B14604" w:rsidRDefault="00B15972" w:rsidP="001A1C3E">
            <w:pPr>
              <w:jc w:val="center"/>
              <w:rPr>
                <w:sz w:val="16"/>
                <w:szCs w:val="16"/>
              </w:rPr>
            </w:pPr>
            <w:r>
              <w:rPr>
                <w:sz w:val="16"/>
                <w:szCs w:val="16"/>
              </w:rPr>
              <w:t>33.49</w:t>
            </w:r>
          </w:p>
        </w:tc>
      </w:tr>
      <w:tr w:rsidR="001A1C3E" w:rsidRPr="00B14604" w:rsidTr="00537DD5">
        <w:tc>
          <w:tcPr>
            <w:tcW w:w="1975" w:type="dxa"/>
            <w:vAlign w:val="center"/>
          </w:tcPr>
          <w:p w:rsidR="001A1C3E" w:rsidRPr="00B14604" w:rsidRDefault="001A1C3E" w:rsidP="009F326B">
            <w:pPr>
              <w:rPr>
                <w:sz w:val="16"/>
                <w:szCs w:val="16"/>
              </w:rPr>
            </w:pPr>
            <w:r w:rsidRPr="00B14604">
              <w:rPr>
                <w:sz w:val="16"/>
                <w:szCs w:val="16"/>
              </w:rPr>
              <w:t>T&amp;D Losses</w:t>
            </w:r>
          </w:p>
        </w:tc>
        <w:tc>
          <w:tcPr>
            <w:tcW w:w="946" w:type="dxa"/>
            <w:vAlign w:val="center"/>
          </w:tcPr>
          <w:p w:rsidR="001A1C3E" w:rsidRPr="00B14604" w:rsidRDefault="00B15972" w:rsidP="001A1C3E">
            <w:pPr>
              <w:jc w:val="center"/>
              <w:rPr>
                <w:sz w:val="16"/>
                <w:szCs w:val="16"/>
              </w:rPr>
            </w:pPr>
            <w:r>
              <w:rPr>
                <w:sz w:val="16"/>
                <w:szCs w:val="16"/>
              </w:rPr>
              <w:t>713,881</w:t>
            </w:r>
          </w:p>
        </w:tc>
        <w:tc>
          <w:tcPr>
            <w:tcW w:w="1103" w:type="dxa"/>
            <w:vAlign w:val="center"/>
          </w:tcPr>
          <w:p w:rsidR="001A1C3E" w:rsidRPr="00B14604" w:rsidRDefault="00B15972" w:rsidP="001A1C3E">
            <w:pPr>
              <w:jc w:val="center"/>
              <w:rPr>
                <w:sz w:val="16"/>
                <w:szCs w:val="16"/>
              </w:rPr>
            </w:pPr>
            <w:r>
              <w:rPr>
                <w:sz w:val="16"/>
                <w:szCs w:val="16"/>
              </w:rPr>
              <w:t>713.88</w:t>
            </w:r>
          </w:p>
        </w:tc>
        <w:tc>
          <w:tcPr>
            <w:tcW w:w="1103" w:type="dxa"/>
            <w:vAlign w:val="center"/>
          </w:tcPr>
          <w:p w:rsidR="001A1C3E" w:rsidRPr="00B14604" w:rsidRDefault="00B15972" w:rsidP="001A1C3E">
            <w:pPr>
              <w:jc w:val="center"/>
              <w:rPr>
                <w:sz w:val="16"/>
                <w:szCs w:val="16"/>
              </w:rPr>
            </w:pPr>
            <w:r>
              <w:rPr>
                <w:sz w:val="16"/>
                <w:szCs w:val="16"/>
              </w:rPr>
              <w:t>53</w:t>
            </w:r>
          </w:p>
        </w:tc>
        <w:tc>
          <w:tcPr>
            <w:tcW w:w="1103" w:type="dxa"/>
            <w:vAlign w:val="center"/>
          </w:tcPr>
          <w:p w:rsidR="001A1C3E" w:rsidRPr="00B14604" w:rsidRDefault="00B15972" w:rsidP="001A1C3E">
            <w:pPr>
              <w:jc w:val="center"/>
              <w:rPr>
                <w:sz w:val="16"/>
                <w:szCs w:val="16"/>
              </w:rPr>
            </w:pPr>
            <w:r>
              <w:rPr>
                <w:sz w:val="16"/>
                <w:szCs w:val="16"/>
              </w:rPr>
              <w:t>1.48</w:t>
            </w:r>
          </w:p>
        </w:tc>
        <w:tc>
          <w:tcPr>
            <w:tcW w:w="971" w:type="dxa"/>
            <w:vAlign w:val="center"/>
          </w:tcPr>
          <w:p w:rsidR="001A1C3E" w:rsidRPr="00B14604" w:rsidRDefault="00B15972" w:rsidP="001A1C3E">
            <w:pPr>
              <w:jc w:val="center"/>
              <w:rPr>
                <w:sz w:val="16"/>
                <w:szCs w:val="16"/>
              </w:rPr>
            </w:pPr>
            <w:r>
              <w:rPr>
                <w:sz w:val="16"/>
                <w:szCs w:val="16"/>
              </w:rPr>
              <w:t>8</w:t>
            </w:r>
          </w:p>
        </w:tc>
        <w:tc>
          <w:tcPr>
            <w:tcW w:w="1103" w:type="dxa"/>
            <w:vAlign w:val="center"/>
          </w:tcPr>
          <w:p w:rsidR="001A1C3E" w:rsidRPr="00B14604" w:rsidRDefault="00B15972" w:rsidP="001A1C3E">
            <w:pPr>
              <w:jc w:val="center"/>
              <w:rPr>
                <w:sz w:val="16"/>
                <w:szCs w:val="16"/>
              </w:rPr>
            </w:pPr>
            <w:r>
              <w:rPr>
                <w:sz w:val="16"/>
                <w:szCs w:val="16"/>
              </w:rPr>
              <w:t>2.07</w:t>
            </w:r>
          </w:p>
        </w:tc>
        <w:tc>
          <w:tcPr>
            <w:tcW w:w="1103" w:type="dxa"/>
            <w:vAlign w:val="center"/>
          </w:tcPr>
          <w:p w:rsidR="001A1C3E" w:rsidRPr="00B14604" w:rsidRDefault="00B15972" w:rsidP="001A1C3E">
            <w:pPr>
              <w:jc w:val="center"/>
              <w:rPr>
                <w:sz w:val="16"/>
                <w:szCs w:val="16"/>
              </w:rPr>
            </w:pPr>
            <w:r>
              <w:rPr>
                <w:sz w:val="16"/>
                <w:szCs w:val="16"/>
              </w:rPr>
              <w:t>717.43</w:t>
            </w:r>
          </w:p>
        </w:tc>
      </w:tr>
      <w:tr w:rsidR="001A1C3E" w:rsidRPr="00B14604" w:rsidTr="00537DD5">
        <w:tc>
          <w:tcPr>
            <w:tcW w:w="1975" w:type="dxa"/>
            <w:vAlign w:val="center"/>
          </w:tcPr>
          <w:p w:rsidR="001A1C3E" w:rsidRPr="00B14604" w:rsidRDefault="001A1C3E" w:rsidP="009F326B">
            <w:pPr>
              <w:rPr>
                <w:sz w:val="16"/>
                <w:szCs w:val="16"/>
              </w:rPr>
            </w:pPr>
            <w:r w:rsidRPr="00B14604">
              <w:rPr>
                <w:sz w:val="16"/>
                <w:szCs w:val="16"/>
              </w:rPr>
              <w:t>Food</w:t>
            </w:r>
          </w:p>
        </w:tc>
        <w:tc>
          <w:tcPr>
            <w:tcW w:w="946" w:type="dxa"/>
            <w:vAlign w:val="center"/>
          </w:tcPr>
          <w:p w:rsidR="001A1C3E" w:rsidRPr="00B14604" w:rsidRDefault="00B15972" w:rsidP="001A1C3E">
            <w:pPr>
              <w:jc w:val="center"/>
              <w:rPr>
                <w:sz w:val="16"/>
                <w:szCs w:val="16"/>
              </w:rPr>
            </w:pPr>
            <w:r>
              <w:rPr>
                <w:sz w:val="16"/>
                <w:szCs w:val="16"/>
              </w:rPr>
              <w:t>2,548,421</w:t>
            </w:r>
          </w:p>
        </w:tc>
        <w:tc>
          <w:tcPr>
            <w:tcW w:w="1103" w:type="dxa"/>
            <w:vAlign w:val="center"/>
          </w:tcPr>
          <w:p w:rsidR="001A1C3E" w:rsidRPr="00B14604" w:rsidRDefault="00B15972" w:rsidP="001A1C3E">
            <w:pPr>
              <w:jc w:val="center"/>
              <w:rPr>
                <w:sz w:val="16"/>
                <w:szCs w:val="16"/>
              </w:rPr>
            </w:pPr>
            <w:r>
              <w:rPr>
                <w:sz w:val="16"/>
                <w:szCs w:val="16"/>
              </w:rPr>
              <w:t>2,548.42</w:t>
            </w:r>
          </w:p>
        </w:tc>
        <w:tc>
          <w:tcPr>
            <w:tcW w:w="1103" w:type="dxa"/>
            <w:vAlign w:val="center"/>
          </w:tcPr>
          <w:p w:rsidR="001A1C3E" w:rsidRPr="00B14604" w:rsidRDefault="00B15972" w:rsidP="001A1C3E">
            <w:pPr>
              <w:jc w:val="center"/>
              <w:rPr>
                <w:sz w:val="16"/>
                <w:szCs w:val="16"/>
              </w:rPr>
            </w:pPr>
            <w:r>
              <w:rPr>
                <w:sz w:val="16"/>
                <w:szCs w:val="16"/>
              </w:rPr>
              <w:t>0</w:t>
            </w:r>
          </w:p>
        </w:tc>
        <w:tc>
          <w:tcPr>
            <w:tcW w:w="1103" w:type="dxa"/>
            <w:vAlign w:val="center"/>
          </w:tcPr>
          <w:p w:rsidR="001A1C3E" w:rsidRPr="00B14604" w:rsidRDefault="00B15972" w:rsidP="001A1C3E">
            <w:pPr>
              <w:jc w:val="center"/>
              <w:rPr>
                <w:sz w:val="16"/>
                <w:szCs w:val="16"/>
              </w:rPr>
            </w:pPr>
            <w:r>
              <w:rPr>
                <w:sz w:val="16"/>
                <w:szCs w:val="16"/>
              </w:rPr>
              <w:t>0</w:t>
            </w:r>
          </w:p>
        </w:tc>
        <w:tc>
          <w:tcPr>
            <w:tcW w:w="971" w:type="dxa"/>
            <w:vAlign w:val="center"/>
          </w:tcPr>
          <w:p w:rsidR="001A1C3E" w:rsidRPr="00B14604" w:rsidRDefault="00B15972" w:rsidP="001A1C3E">
            <w:pPr>
              <w:jc w:val="center"/>
              <w:rPr>
                <w:sz w:val="16"/>
                <w:szCs w:val="16"/>
              </w:rPr>
            </w:pPr>
            <w:r>
              <w:rPr>
                <w:sz w:val="16"/>
                <w:szCs w:val="16"/>
              </w:rPr>
              <w:t>0</w:t>
            </w:r>
          </w:p>
        </w:tc>
        <w:tc>
          <w:tcPr>
            <w:tcW w:w="1103" w:type="dxa"/>
            <w:vAlign w:val="center"/>
          </w:tcPr>
          <w:p w:rsidR="001A1C3E" w:rsidRPr="00B14604" w:rsidRDefault="00B15972" w:rsidP="001A1C3E">
            <w:pPr>
              <w:jc w:val="center"/>
              <w:rPr>
                <w:sz w:val="16"/>
                <w:szCs w:val="16"/>
              </w:rPr>
            </w:pPr>
            <w:r>
              <w:rPr>
                <w:sz w:val="16"/>
                <w:szCs w:val="16"/>
              </w:rPr>
              <w:t>0</w:t>
            </w:r>
          </w:p>
        </w:tc>
        <w:tc>
          <w:tcPr>
            <w:tcW w:w="1103" w:type="dxa"/>
            <w:vAlign w:val="center"/>
          </w:tcPr>
          <w:p w:rsidR="001A1C3E" w:rsidRPr="00B14604" w:rsidRDefault="00B15972" w:rsidP="001A1C3E">
            <w:pPr>
              <w:jc w:val="center"/>
              <w:rPr>
                <w:sz w:val="16"/>
                <w:szCs w:val="16"/>
              </w:rPr>
            </w:pPr>
            <w:r>
              <w:rPr>
                <w:sz w:val="16"/>
                <w:szCs w:val="16"/>
              </w:rPr>
              <w:t>2,548.42</w:t>
            </w:r>
          </w:p>
        </w:tc>
      </w:tr>
    </w:tbl>
    <w:p w:rsidR="007155A0" w:rsidRDefault="007155A0" w:rsidP="000C665A"/>
    <w:p w:rsidR="000C665A" w:rsidRDefault="000C665A" w:rsidP="000C665A"/>
    <w:p w:rsidR="000C665A" w:rsidRDefault="00B946B8" w:rsidP="006C3444">
      <w:pPr>
        <w:pStyle w:val="Caption"/>
        <w:keepNext/>
      </w:pPr>
      <w:bookmarkStart w:id="21" w:name="_Toc35933087"/>
      <w:r>
        <w:t xml:space="preserve">Table </w:t>
      </w:r>
      <w:fldSimple w:instr=" SEQ Table \* ARABIC ">
        <w:r>
          <w:rPr>
            <w:noProof/>
          </w:rPr>
          <w:t>3</w:t>
        </w:r>
      </w:fldSimple>
      <w:r>
        <w:t>: FY-2019 Emissions Per Scope</w:t>
      </w:r>
      <w:bookmarkEnd w:id="21"/>
    </w:p>
    <w:tbl>
      <w:tblPr>
        <w:tblStyle w:val="TableGridLight"/>
        <w:tblW w:w="0" w:type="auto"/>
        <w:tblLook w:val="04A0" w:firstRow="1" w:lastRow="0" w:firstColumn="1" w:lastColumn="0" w:noHBand="0" w:noVBand="1"/>
      </w:tblPr>
      <w:tblGrid>
        <w:gridCol w:w="971"/>
        <w:gridCol w:w="1774"/>
        <w:gridCol w:w="1685"/>
        <w:gridCol w:w="1685"/>
        <w:gridCol w:w="1675"/>
      </w:tblGrid>
      <w:tr w:rsidR="00276F08" w:rsidTr="0052080F">
        <w:trPr>
          <w:trHeight w:val="300"/>
        </w:trPr>
        <w:tc>
          <w:tcPr>
            <w:tcW w:w="971" w:type="dxa"/>
          </w:tcPr>
          <w:p w:rsidR="00276F08" w:rsidRPr="0052080F" w:rsidRDefault="00276F08" w:rsidP="006C3444">
            <w:pPr>
              <w:jc w:val="center"/>
              <w:rPr>
                <w:sz w:val="18"/>
                <w:szCs w:val="16"/>
              </w:rPr>
            </w:pPr>
            <w:r w:rsidRPr="0052080F">
              <w:rPr>
                <w:sz w:val="18"/>
                <w:szCs w:val="16"/>
              </w:rPr>
              <w:t>Scope</w:t>
            </w:r>
          </w:p>
        </w:tc>
        <w:tc>
          <w:tcPr>
            <w:tcW w:w="1774" w:type="dxa"/>
          </w:tcPr>
          <w:p w:rsidR="00276F08" w:rsidRPr="0052080F" w:rsidRDefault="00276F08" w:rsidP="006C3444">
            <w:pPr>
              <w:jc w:val="center"/>
              <w:rPr>
                <w:sz w:val="18"/>
                <w:szCs w:val="16"/>
              </w:rPr>
            </w:pPr>
            <w:r w:rsidRPr="0052080F">
              <w:rPr>
                <w:sz w:val="18"/>
                <w:szCs w:val="16"/>
              </w:rPr>
              <w:t>CO</w:t>
            </w:r>
            <w:r w:rsidRPr="0052080F">
              <w:rPr>
                <w:sz w:val="18"/>
                <w:szCs w:val="16"/>
                <w:vertAlign w:val="subscript"/>
              </w:rPr>
              <w:t xml:space="preserve">2 </w:t>
            </w:r>
            <w:r w:rsidRPr="0052080F">
              <w:rPr>
                <w:sz w:val="18"/>
                <w:szCs w:val="16"/>
              </w:rPr>
              <w:t>(</w:t>
            </w:r>
            <w:r w:rsidR="00450E80" w:rsidRPr="0052080F">
              <w:rPr>
                <w:sz w:val="18"/>
                <w:szCs w:val="16"/>
              </w:rPr>
              <w:t>kg</w:t>
            </w:r>
            <w:r w:rsidRPr="0052080F">
              <w:rPr>
                <w:sz w:val="18"/>
                <w:szCs w:val="16"/>
              </w:rPr>
              <w:t>)</w:t>
            </w:r>
          </w:p>
        </w:tc>
        <w:tc>
          <w:tcPr>
            <w:tcW w:w="1685" w:type="dxa"/>
          </w:tcPr>
          <w:p w:rsidR="00276F08" w:rsidRPr="0052080F" w:rsidRDefault="00450E80" w:rsidP="006C3444">
            <w:pPr>
              <w:jc w:val="center"/>
              <w:rPr>
                <w:sz w:val="18"/>
                <w:szCs w:val="16"/>
                <w:vertAlign w:val="subscript"/>
              </w:rPr>
            </w:pPr>
            <w:r w:rsidRPr="0052080F">
              <w:rPr>
                <w:sz w:val="18"/>
                <w:szCs w:val="16"/>
              </w:rPr>
              <w:t>CH</w:t>
            </w:r>
            <w:r w:rsidRPr="0052080F">
              <w:rPr>
                <w:sz w:val="18"/>
                <w:szCs w:val="16"/>
                <w:vertAlign w:val="subscript"/>
              </w:rPr>
              <w:t xml:space="preserve">4 </w:t>
            </w:r>
            <w:r w:rsidRPr="0052080F">
              <w:rPr>
                <w:sz w:val="18"/>
                <w:szCs w:val="16"/>
              </w:rPr>
              <w:t>(kg)</w:t>
            </w:r>
          </w:p>
        </w:tc>
        <w:tc>
          <w:tcPr>
            <w:tcW w:w="1685" w:type="dxa"/>
          </w:tcPr>
          <w:p w:rsidR="00276F08" w:rsidRPr="0052080F" w:rsidRDefault="00450E80" w:rsidP="006C3444">
            <w:pPr>
              <w:jc w:val="center"/>
              <w:rPr>
                <w:sz w:val="18"/>
                <w:szCs w:val="16"/>
              </w:rPr>
            </w:pPr>
            <w:r w:rsidRPr="0052080F">
              <w:rPr>
                <w:sz w:val="18"/>
                <w:szCs w:val="16"/>
              </w:rPr>
              <w:t>N</w:t>
            </w:r>
            <w:r w:rsidRPr="0052080F">
              <w:rPr>
                <w:sz w:val="18"/>
                <w:szCs w:val="16"/>
                <w:vertAlign w:val="subscript"/>
              </w:rPr>
              <w:t>2</w:t>
            </w:r>
            <w:r w:rsidRPr="0052080F">
              <w:rPr>
                <w:sz w:val="18"/>
                <w:szCs w:val="16"/>
              </w:rPr>
              <w:t>O (kg)</w:t>
            </w:r>
          </w:p>
        </w:tc>
        <w:tc>
          <w:tcPr>
            <w:tcW w:w="1675" w:type="dxa"/>
          </w:tcPr>
          <w:p w:rsidR="00276F08" w:rsidRPr="0052080F" w:rsidRDefault="00450E80" w:rsidP="006C3444">
            <w:pPr>
              <w:jc w:val="center"/>
              <w:rPr>
                <w:sz w:val="18"/>
                <w:szCs w:val="16"/>
              </w:rPr>
            </w:pPr>
            <w:r w:rsidRPr="0052080F">
              <w:rPr>
                <w:sz w:val="18"/>
                <w:szCs w:val="16"/>
              </w:rPr>
              <w:t>GHG MT</w:t>
            </w:r>
            <w:r w:rsidR="001A16A2" w:rsidRPr="0052080F">
              <w:rPr>
                <w:sz w:val="18"/>
                <w:szCs w:val="16"/>
              </w:rPr>
              <w:t>CDE</w:t>
            </w:r>
          </w:p>
        </w:tc>
      </w:tr>
      <w:tr w:rsidR="00276F08" w:rsidTr="0052080F">
        <w:trPr>
          <w:trHeight w:val="322"/>
        </w:trPr>
        <w:tc>
          <w:tcPr>
            <w:tcW w:w="971" w:type="dxa"/>
          </w:tcPr>
          <w:p w:rsidR="00276F08" w:rsidRPr="0052080F" w:rsidRDefault="001A16A2" w:rsidP="006C3444">
            <w:pPr>
              <w:jc w:val="center"/>
              <w:rPr>
                <w:sz w:val="18"/>
                <w:szCs w:val="16"/>
              </w:rPr>
            </w:pPr>
            <w:r w:rsidRPr="0052080F">
              <w:rPr>
                <w:sz w:val="18"/>
                <w:szCs w:val="16"/>
              </w:rPr>
              <w:t>1</w:t>
            </w:r>
          </w:p>
        </w:tc>
        <w:tc>
          <w:tcPr>
            <w:tcW w:w="1774" w:type="dxa"/>
          </w:tcPr>
          <w:p w:rsidR="00276F08" w:rsidRPr="0052080F" w:rsidRDefault="001A16A2" w:rsidP="006C3444">
            <w:pPr>
              <w:jc w:val="center"/>
              <w:rPr>
                <w:sz w:val="18"/>
                <w:szCs w:val="16"/>
              </w:rPr>
            </w:pPr>
            <w:r w:rsidRPr="0052080F">
              <w:rPr>
                <w:sz w:val="18"/>
                <w:szCs w:val="16"/>
              </w:rPr>
              <w:t>623,544</w:t>
            </w:r>
          </w:p>
        </w:tc>
        <w:tc>
          <w:tcPr>
            <w:tcW w:w="1685" w:type="dxa"/>
          </w:tcPr>
          <w:p w:rsidR="00276F08" w:rsidRPr="0052080F" w:rsidRDefault="001A16A2" w:rsidP="006C3444">
            <w:pPr>
              <w:jc w:val="center"/>
              <w:rPr>
                <w:sz w:val="18"/>
                <w:szCs w:val="16"/>
              </w:rPr>
            </w:pPr>
            <w:r w:rsidRPr="0052080F">
              <w:rPr>
                <w:sz w:val="18"/>
                <w:szCs w:val="16"/>
              </w:rPr>
              <w:t>90</w:t>
            </w:r>
          </w:p>
        </w:tc>
        <w:tc>
          <w:tcPr>
            <w:tcW w:w="1685" w:type="dxa"/>
          </w:tcPr>
          <w:p w:rsidR="00276F08" w:rsidRPr="0052080F" w:rsidRDefault="001A16A2" w:rsidP="006C3444">
            <w:pPr>
              <w:jc w:val="center"/>
              <w:rPr>
                <w:sz w:val="18"/>
                <w:szCs w:val="16"/>
              </w:rPr>
            </w:pPr>
            <w:r w:rsidRPr="0052080F">
              <w:rPr>
                <w:sz w:val="18"/>
                <w:szCs w:val="16"/>
              </w:rPr>
              <w:t>54</w:t>
            </w:r>
          </w:p>
        </w:tc>
        <w:tc>
          <w:tcPr>
            <w:tcW w:w="1675" w:type="dxa"/>
          </w:tcPr>
          <w:p w:rsidR="00276F08" w:rsidRPr="0052080F" w:rsidRDefault="001A16A2" w:rsidP="006C3444">
            <w:pPr>
              <w:jc w:val="center"/>
              <w:rPr>
                <w:sz w:val="18"/>
                <w:szCs w:val="16"/>
              </w:rPr>
            </w:pPr>
            <w:r w:rsidRPr="0052080F">
              <w:rPr>
                <w:sz w:val="18"/>
                <w:szCs w:val="16"/>
              </w:rPr>
              <w:t>954.52</w:t>
            </w:r>
          </w:p>
        </w:tc>
      </w:tr>
      <w:tr w:rsidR="00276F08" w:rsidTr="0052080F">
        <w:trPr>
          <w:trHeight w:val="300"/>
        </w:trPr>
        <w:tc>
          <w:tcPr>
            <w:tcW w:w="971" w:type="dxa"/>
          </w:tcPr>
          <w:p w:rsidR="00276F08" w:rsidRPr="0052080F" w:rsidRDefault="001A16A2" w:rsidP="006C3444">
            <w:pPr>
              <w:jc w:val="center"/>
              <w:rPr>
                <w:sz w:val="18"/>
                <w:szCs w:val="16"/>
              </w:rPr>
            </w:pPr>
            <w:r w:rsidRPr="0052080F">
              <w:rPr>
                <w:sz w:val="18"/>
                <w:szCs w:val="16"/>
              </w:rPr>
              <w:t>2</w:t>
            </w:r>
          </w:p>
        </w:tc>
        <w:tc>
          <w:tcPr>
            <w:tcW w:w="1774" w:type="dxa"/>
          </w:tcPr>
          <w:p w:rsidR="00276F08" w:rsidRPr="0052080F" w:rsidRDefault="001A16A2" w:rsidP="006C3444">
            <w:pPr>
              <w:jc w:val="center"/>
              <w:rPr>
                <w:sz w:val="18"/>
                <w:szCs w:val="16"/>
              </w:rPr>
            </w:pPr>
            <w:r w:rsidRPr="0052080F">
              <w:rPr>
                <w:sz w:val="18"/>
                <w:szCs w:val="16"/>
              </w:rPr>
              <w:t>13,924,581</w:t>
            </w:r>
          </w:p>
        </w:tc>
        <w:tc>
          <w:tcPr>
            <w:tcW w:w="1685" w:type="dxa"/>
          </w:tcPr>
          <w:p w:rsidR="00276F08" w:rsidRPr="0052080F" w:rsidRDefault="001A16A2" w:rsidP="006C3444">
            <w:pPr>
              <w:jc w:val="center"/>
              <w:rPr>
                <w:sz w:val="18"/>
                <w:szCs w:val="16"/>
              </w:rPr>
            </w:pPr>
            <w:r w:rsidRPr="0052080F">
              <w:rPr>
                <w:sz w:val="18"/>
                <w:szCs w:val="16"/>
              </w:rPr>
              <w:t>1,030</w:t>
            </w:r>
          </w:p>
        </w:tc>
        <w:tc>
          <w:tcPr>
            <w:tcW w:w="1685" w:type="dxa"/>
          </w:tcPr>
          <w:p w:rsidR="00276F08" w:rsidRPr="0052080F" w:rsidRDefault="001A16A2" w:rsidP="006C3444">
            <w:pPr>
              <w:jc w:val="center"/>
              <w:rPr>
                <w:sz w:val="18"/>
                <w:szCs w:val="16"/>
              </w:rPr>
            </w:pPr>
            <w:r w:rsidRPr="0052080F">
              <w:rPr>
                <w:sz w:val="18"/>
                <w:szCs w:val="16"/>
              </w:rPr>
              <w:t>153</w:t>
            </w:r>
          </w:p>
        </w:tc>
        <w:tc>
          <w:tcPr>
            <w:tcW w:w="1675" w:type="dxa"/>
          </w:tcPr>
          <w:p w:rsidR="00276F08" w:rsidRPr="0052080F" w:rsidRDefault="001A16A2" w:rsidP="006C3444">
            <w:pPr>
              <w:jc w:val="center"/>
              <w:rPr>
                <w:sz w:val="18"/>
                <w:szCs w:val="16"/>
              </w:rPr>
            </w:pPr>
            <w:r w:rsidRPr="0052080F">
              <w:rPr>
                <w:sz w:val="18"/>
                <w:szCs w:val="16"/>
              </w:rPr>
              <w:t>13,993.88</w:t>
            </w:r>
          </w:p>
        </w:tc>
      </w:tr>
      <w:tr w:rsidR="00276F08" w:rsidTr="0052080F">
        <w:trPr>
          <w:trHeight w:val="300"/>
        </w:trPr>
        <w:tc>
          <w:tcPr>
            <w:tcW w:w="971" w:type="dxa"/>
          </w:tcPr>
          <w:p w:rsidR="00276F08" w:rsidRPr="0052080F" w:rsidRDefault="001A16A2" w:rsidP="006C3444">
            <w:pPr>
              <w:jc w:val="center"/>
              <w:rPr>
                <w:sz w:val="18"/>
                <w:szCs w:val="16"/>
              </w:rPr>
            </w:pPr>
            <w:r w:rsidRPr="0052080F">
              <w:rPr>
                <w:sz w:val="18"/>
                <w:szCs w:val="16"/>
              </w:rPr>
              <w:t>3</w:t>
            </w:r>
          </w:p>
        </w:tc>
        <w:tc>
          <w:tcPr>
            <w:tcW w:w="1774" w:type="dxa"/>
          </w:tcPr>
          <w:p w:rsidR="00276F08" w:rsidRPr="0052080F" w:rsidRDefault="001A16A2" w:rsidP="006C3444">
            <w:pPr>
              <w:jc w:val="center"/>
              <w:rPr>
                <w:sz w:val="18"/>
                <w:szCs w:val="16"/>
              </w:rPr>
            </w:pPr>
            <w:r w:rsidRPr="0052080F">
              <w:rPr>
                <w:sz w:val="18"/>
                <w:szCs w:val="16"/>
              </w:rPr>
              <w:t>18,795,166</w:t>
            </w:r>
          </w:p>
        </w:tc>
        <w:tc>
          <w:tcPr>
            <w:tcW w:w="1685" w:type="dxa"/>
          </w:tcPr>
          <w:p w:rsidR="00276F08" w:rsidRPr="0052080F" w:rsidRDefault="001A16A2" w:rsidP="006C3444">
            <w:pPr>
              <w:jc w:val="center"/>
              <w:rPr>
                <w:sz w:val="18"/>
                <w:szCs w:val="16"/>
              </w:rPr>
            </w:pPr>
            <w:r w:rsidRPr="0052080F">
              <w:rPr>
                <w:sz w:val="18"/>
                <w:szCs w:val="16"/>
              </w:rPr>
              <w:t>15,989</w:t>
            </w:r>
          </w:p>
        </w:tc>
        <w:tc>
          <w:tcPr>
            <w:tcW w:w="1685" w:type="dxa"/>
          </w:tcPr>
          <w:p w:rsidR="00276F08" w:rsidRPr="0052080F" w:rsidRDefault="001A16A2" w:rsidP="006C3444">
            <w:pPr>
              <w:jc w:val="center"/>
              <w:rPr>
                <w:sz w:val="18"/>
                <w:szCs w:val="16"/>
              </w:rPr>
            </w:pPr>
            <w:r w:rsidRPr="0052080F">
              <w:rPr>
                <w:sz w:val="18"/>
                <w:szCs w:val="16"/>
              </w:rPr>
              <w:t>455</w:t>
            </w:r>
          </w:p>
        </w:tc>
        <w:tc>
          <w:tcPr>
            <w:tcW w:w="1675" w:type="dxa"/>
          </w:tcPr>
          <w:p w:rsidR="00276F08" w:rsidRPr="0052080F" w:rsidRDefault="001A16A2" w:rsidP="006C3444">
            <w:pPr>
              <w:jc w:val="center"/>
              <w:rPr>
                <w:sz w:val="18"/>
                <w:szCs w:val="16"/>
              </w:rPr>
            </w:pPr>
            <w:r w:rsidRPr="0052080F">
              <w:rPr>
                <w:sz w:val="18"/>
                <w:szCs w:val="16"/>
              </w:rPr>
              <w:t>19,396.93</w:t>
            </w:r>
          </w:p>
        </w:tc>
      </w:tr>
    </w:tbl>
    <w:p w:rsidR="00276F08" w:rsidRDefault="00276F08" w:rsidP="000C665A"/>
    <w:p w:rsidR="000C665A" w:rsidRDefault="000C665A" w:rsidP="000C665A"/>
    <w:p w:rsidR="000C665A" w:rsidRDefault="00B946B8" w:rsidP="007155A0">
      <w:pPr>
        <w:pStyle w:val="Caption"/>
        <w:keepNext/>
      </w:pPr>
      <w:bookmarkStart w:id="22" w:name="_Toc35933088"/>
      <w:r>
        <w:t xml:space="preserve">Table </w:t>
      </w:r>
      <w:fldSimple w:instr=" SEQ Table \* ARABIC ">
        <w:r>
          <w:rPr>
            <w:noProof/>
          </w:rPr>
          <w:t>4</w:t>
        </w:r>
      </w:fldSimple>
      <w:r>
        <w:t>: FY-2019 Total Emissions &amp; Net Emissions</w:t>
      </w:r>
      <w:bookmarkEnd w:id="22"/>
    </w:p>
    <w:tbl>
      <w:tblPr>
        <w:tblStyle w:val="TableGridLight"/>
        <w:tblW w:w="9483" w:type="dxa"/>
        <w:tblLook w:val="04A0" w:firstRow="1" w:lastRow="0" w:firstColumn="1" w:lastColumn="0" w:noHBand="0" w:noVBand="1"/>
      </w:tblPr>
      <w:tblGrid>
        <w:gridCol w:w="1116"/>
        <w:gridCol w:w="986"/>
        <w:gridCol w:w="1089"/>
        <w:gridCol w:w="1035"/>
        <w:gridCol w:w="1050"/>
        <w:gridCol w:w="1050"/>
        <w:gridCol w:w="1072"/>
        <w:gridCol w:w="1050"/>
        <w:gridCol w:w="1035"/>
      </w:tblGrid>
      <w:tr w:rsidR="009931EC" w:rsidTr="0052080F">
        <w:trPr>
          <w:trHeight w:val="557"/>
        </w:trPr>
        <w:tc>
          <w:tcPr>
            <w:tcW w:w="1116" w:type="dxa"/>
            <w:vAlign w:val="center"/>
          </w:tcPr>
          <w:p w:rsidR="009931EC" w:rsidRPr="0052080F" w:rsidRDefault="009931EC" w:rsidP="0052080F">
            <w:pPr>
              <w:jc w:val="center"/>
              <w:rPr>
                <w:sz w:val="18"/>
                <w:szCs w:val="16"/>
              </w:rPr>
            </w:pPr>
            <w:r w:rsidRPr="0052080F">
              <w:rPr>
                <w:sz w:val="18"/>
                <w:szCs w:val="16"/>
              </w:rPr>
              <w:t>CO</w:t>
            </w:r>
            <w:r w:rsidRPr="0052080F">
              <w:rPr>
                <w:sz w:val="18"/>
                <w:szCs w:val="16"/>
                <w:vertAlign w:val="subscript"/>
              </w:rPr>
              <w:t xml:space="preserve">2 </w:t>
            </w:r>
            <w:r w:rsidRPr="0052080F">
              <w:rPr>
                <w:sz w:val="18"/>
                <w:szCs w:val="16"/>
              </w:rPr>
              <w:t>(kg)</w:t>
            </w:r>
          </w:p>
        </w:tc>
        <w:tc>
          <w:tcPr>
            <w:tcW w:w="986" w:type="dxa"/>
            <w:vAlign w:val="center"/>
          </w:tcPr>
          <w:p w:rsidR="009931EC" w:rsidRPr="0052080F" w:rsidRDefault="009931EC" w:rsidP="0052080F">
            <w:pPr>
              <w:jc w:val="center"/>
              <w:rPr>
                <w:sz w:val="18"/>
                <w:szCs w:val="16"/>
              </w:rPr>
            </w:pPr>
            <w:r w:rsidRPr="0052080F">
              <w:rPr>
                <w:sz w:val="18"/>
                <w:szCs w:val="16"/>
              </w:rPr>
              <w:t>CH</w:t>
            </w:r>
            <w:r w:rsidRPr="0052080F">
              <w:rPr>
                <w:sz w:val="18"/>
                <w:szCs w:val="16"/>
                <w:vertAlign w:val="subscript"/>
              </w:rPr>
              <w:t>4</w:t>
            </w:r>
            <w:r w:rsidRPr="0052080F">
              <w:rPr>
                <w:sz w:val="18"/>
                <w:szCs w:val="16"/>
              </w:rPr>
              <w:t xml:space="preserve"> (kg)</w:t>
            </w:r>
          </w:p>
        </w:tc>
        <w:tc>
          <w:tcPr>
            <w:tcW w:w="1089" w:type="dxa"/>
            <w:vAlign w:val="center"/>
          </w:tcPr>
          <w:p w:rsidR="009931EC" w:rsidRPr="0052080F" w:rsidRDefault="009931EC" w:rsidP="0052080F">
            <w:pPr>
              <w:jc w:val="center"/>
              <w:rPr>
                <w:sz w:val="18"/>
                <w:szCs w:val="16"/>
              </w:rPr>
            </w:pPr>
            <w:r w:rsidRPr="0052080F">
              <w:rPr>
                <w:sz w:val="18"/>
                <w:szCs w:val="16"/>
              </w:rPr>
              <w:t>N</w:t>
            </w:r>
            <w:r w:rsidRPr="0052080F">
              <w:rPr>
                <w:sz w:val="18"/>
                <w:szCs w:val="16"/>
                <w:vertAlign w:val="subscript"/>
              </w:rPr>
              <w:t>2</w:t>
            </w:r>
            <w:r w:rsidRPr="0052080F">
              <w:rPr>
                <w:sz w:val="18"/>
                <w:szCs w:val="16"/>
              </w:rPr>
              <w:t>O (kg)</w:t>
            </w:r>
          </w:p>
        </w:tc>
        <w:tc>
          <w:tcPr>
            <w:tcW w:w="1035" w:type="dxa"/>
          </w:tcPr>
          <w:p w:rsidR="009931EC" w:rsidRPr="0052080F" w:rsidRDefault="009931EC" w:rsidP="009931EC">
            <w:pPr>
              <w:jc w:val="center"/>
              <w:rPr>
                <w:sz w:val="18"/>
                <w:szCs w:val="16"/>
              </w:rPr>
            </w:pPr>
            <w:r w:rsidRPr="0052080F">
              <w:rPr>
                <w:sz w:val="18"/>
                <w:szCs w:val="16"/>
              </w:rPr>
              <w:t>Gross MTCDE</w:t>
            </w:r>
          </w:p>
        </w:tc>
        <w:tc>
          <w:tcPr>
            <w:tcW w:w="1050" w:type="dxa"/>
          </w:tcPr>
          <w:p w:rsidR="009931EC" w:rsidRPr="0052080F" w:rsidRDefault="009931EC" w:rsidP="009931EC">
            <w:pPr>
              <w:jc w:val="center"/>
              <w:rPr>
                <w:sz w:val="18"/>
                <w:szCs w:val="16"/>
              </w:rPr>
            </w:pPr>
            <w:r w:rsidRPr="0052080F">
              <w:rPr>
                <w:sz w:val="18"/>
                <w:szCs w:val="16"/>
              </w:rPr>
              <w:t>Offsets (MTCDE)</w:t>
            </w:r>
          </w:p>
        </w:tc>
        <w:tc>
          <w:tcPr>
            <w:tcW w:w="1050" w:type="dxa"/>
          </w:tcPr>
          <w:p w:rsidR="009931EC" w:rsidRPr="0052080F" w:rsidRDefault="009931EC" w:rsidP="009931EC">
            <w:pPr>
              <w:jc w:val="center"/>
              <w:rPr>
                <w:sz w:val="18"/>
                <w:szCs w:val="16"/>
              </w:rPr>
            </w:pPr>
            <w:r w:rsidRPr="0052080F">
              <w:rPr>
                <w:sz w:val="18"/>
                <w:szCs w:val="16"/>
              </w:rPr>
              <w:t>Compost (MTCDE)</w:t>
            </w:r>
          </w:p>
        </w:tc>
        <w:tc>
          <w:tcPr>
            <w:tcW w:w="1072" w:type="dxa"/>
          </w:tcPr>
          <w:p w:rsidR="009931EC" w:rsidRPr="0052080F" w:rsidRDefault="009931EC" w:rsidP="009931EC">
            <w:pPr>
              <w:jc w:val="center"/>
              <w:rPr>
                <w:sz w:val="18"/>
                <w:szCs w:val="16"/>
              </w:rPr>
            </w:pPr>
            <w:r w:rsidRPr="0052080F">
              <w:rPr>
                <w:sz w:val="18"/>
                <w:szCs w:val="16"/>
              </w:rPr>
              <w:t>Non-Additional</w:t>
            </w:r>
          </w:p>
        </w:tc>
        <w:tc>
          <w:tcPr>
            <w:tcW w:w="1050" w:type="dxa"/>
          </w:tcPr>
          <w:p w:rsidR="009931EC" w:rsidRPr="0052080F" w:rsidRDefault="009931EC" w:rsidP="009931EC">
            <w:pPr>
              <w:jc w:val="center"/>
              <w:rPr>
                <w:sz w:val="18"/>
                <w:szCs w:val="16"/>
              </w:rPr>
            </w:pPr>
            <w:r w:rsidRPr="0052080F">
              <w:rPr>
                <w:sz w:val="18"/>
                <w:szCs w:val="16"/>
              </w:rPr>
              <w:t>Biogenic (MTCDE)</w:t>
            </w:r>
          </w:p>
        </w:tc>
        <w:tc>
          <w:tcPr>
            <w:tcW w:w="1035" w:type="dxa"/>
          </w:tcPr>
          <w:p w:rsidR="009931EC" w:rsidRPr="0052080F" w:rsidRDefault="009931EC" w:rsidP="009931EC">
            <w:pPr>
              <w:jc w:val="center"/>
              <w:rPr>
                <w:sz w:val="18"/>
                <w:szCs w:val="16"/>
              </w:rPr>
            </w:pPr>
            <w:r w:rsidRPr="0052080F">
              <w:rPr>
                <w:sz w:val="18"/>
                <w:szCs w:val="16"/>
              </w:rPr>
              <w:t>Net MTCDE</w:t>
            </w:r>
          </w:p>
        </w:tc>
      </w:tr>
      <w:tr w:rsidR="009931EC" w:rsidTr="00D25E20">
        <w:trPr>
          <w:trHeight w:val="269"/>
        </w:trPr>
        <w:tc>
          <w:tcPr>
            <w:tcW w:w="1116" w:type="dxa"/>
          </w:tcPr>
          <w:p w:rsidR="009931EC" w:rsidRPr="0052080F" w:rsidRDefault="009931EC" w:rsidP="009931EC">
            <w:pPr>
              <w:jc w:val="center"/>
              <w:rPr>
                <w:sz w:val="18"/>
                <w:szCs w:val="16"/>
              </w:rPr>
            </w:pPr>
            <w:r w:rsidRPr="0052080F">
              <w:rPr>
                <w:sz w:val="18"/>
                <w:szCs w:val="16"/>
              </w:rPr>
              <w:t>33,343,291</w:t>
            </w:r>
          </w:p>
        </w:tc>
        <w:tc>
          <w:tcPr>
            <w:tcW w:w="986" w:type="dxa"/>
          </w:tcPr>
          <w:p w:rsidR="009931EC" w:rsidRPr="0052080F" w:rsidRDefault="009931EC" w:rsidP="009931EC">
            <w:pPr>
              <w:jc w:val="center"/>
              <w:rPr>
                <w:sz w:val="18"/>
                <w:szCs w:val="16"/>
              </w:rPr>
            </w:pPr>
            <w:r w:rsidRPr="0052080F">
              <w:rPr>
                <w:sz w:val="18"/>
                <w:szCs w:val="16"/>
              </w:rPr>
              <w:t>17,110</w:t>
            </w:r>
          </w:p>
        </w:tc>
        <w:tc>
          <w:tcPr>
            <w:tcW w:w="1089" w:type="dxa"/>
          </w:tcPr>
          <w:p w:rsidR="009931EC" w:rsidRPr="0052080F" w:rsidRDefault="009931EC" w:rsidP="009931EC">
            <w:pPr>
              <w:jc w:val="center"/>
              <w:rPr>
                <w:sz w:val="18"/>
                <w:szCs w:val="16"/>
              </w:rPr>
            </w:pPr>
            <w:r w:rsidRPr="0052080F">
              <w:rPr>
                <w:sz w:val="18"/>
                <w:szCs w:val="16"/>
              </w:rPr>
              <w:t>661</w:t>
            </w:r>
          </w:p>
        </w:tc>
        <w:tc>
          <w:tcPr>
            <w:tcW w:w="1035" w:type="dxa"/>
          </w:tcPr>
          <w:p w:rsidR="009931EC" w:rsidRPr="0052080F" w:rsidRDefault="009931EC" w:rsidP="009931EC">
            <w:pPr>
              <w:jc w:val="center"/>
              <w:rPr>
                <w:sz w:val="18"/>
                <w:szCs w:val="16"/>
              </w:rPr>
            </w:pPr>
            <w:r w:rsidRPr="0052080F">
              <w:rPr>
                <w:sz w:val="18"/>
                <w:szCs w:val="16"/>
              </w:rPr>
              <w:t>34,345.34</w:t>
            </w:r>
          </w:p>
        </w:tc>
        <w:tc>
          <w:tcPr>
            <w:tcW w:w="1050" w:type="dxa"/>
          </w:tcPr>
          <w:p w:rsidR="009931EC" w:rsidRPr="0052080F" w:rsidRDefault="009931EC" w:rsidP="009931EC">
            <w:pPr>
              <w:jc w:val="center"/>
              <w:rPr>
                <w:sz w:val="18"/>
                <w:szCs w:val="16"/>
              </w:rPr>
            </w:pPr>
            <w:r w:rsidRPr="0052080F">
              <w:rPr>
                <w:sz w:val="18"/>
                <w:szCs w:val="16"/>
              </w:rPr>
              <w:t>0</w:t>
            </w:r>
          </w:p>
        </w:tc>
        <w:tc>
          <w:tcPr>
            <w:tcW w:w="1050" w:type="dxa"/>
          </w:tcPr>
          <w:p w:rsidR="009931EC" w:rsidRPr="0052080F" w:rsidRDefault="009931EC" w:rsidP="009931EC">
            <w:pPr>
              <w:jc w:val="center"/>
              <w:rPr>
                <w:sz w:val="18"/>
                <w:szCs w:val="16"/>
              </w:rPr>
            </w:pPr>
            <w:r w:rsidRPr="0052080F">
              <w:rPr>
                <w:sz w:val="18"/>
                <w:szCs w:val="16"/>
              </w:rPr>
              <w:t>0</w:t>
            </w:r>
          </w:p>
        </w:tc>
        <w:tc>
          <w:tcPr>
            <w:tcW w:w="1072" w:type="dxa"/>
          </w:tcPr>
          <w:p w:rsidR="009931EC" w:rsidRPr="0052080F" w:rsidRDefault="009931EC" w:rsidP="009931EC">
            <w:pPr>
              <w:jc w:val="center"/>
              <w:rPr>
                <w:sz w:val="18"/>
                <w:szCs w:val="16"/>
              </w:rPr>
            </w:pPr>
            <w:r w:rsidRPr="0052080F">
              <w:rPr>
                <w:sz w:val="18"/>
                <w:szCs w:val="16"/>
              </w:rPr>
              <w:t>3,864.00</w:t>
            </w:r>
          </w:p>
        </w:tc>
        <w:tc>
          <w:tcPr>
            <w:tcW w:w="1050" w:type="dxa"/>
          </w:tcPr>
          <w:p w:rsidR="009931EC" w:rsidRPr="0052080F" w:rsidRDefault="009931EC" w:rsidP="009931EC">
            <w:pPr>
              <w:jc w:val="center"/>
              <w:rPr>
                <w:sz w:val="18"/>
                <w:szCs w:val="16"/>
              </w:rPr>
            </w:pPr>
            <w:r w:rsidRPr="0052080F">
              <w:rPr>
                <w:sz w:val="18"/>
                <w:szCs w:val="16"/>
              </w:rPr>
              <w:t>150.27</w:t>
            </w:r>
          </w:p>
        </w:tc>
        <w:tc>
          <w:tcPr>
            <w:tcW w:w="1035" w:type="dxa"/>
          </w:tcPr>
          <w:p w:rsidR="009931EC" w:rsidRPr="0052080F" w:rsidRDefault="009931EC" w:rsidP="009931EC">
            <w:pPr>
              <w:jc w:val="center"/>
              <w:rPr>
                <w:sz w:val="18"/>
                <w:szCs w:val="16"/>
              </w:rPr>
            </w:pPr>
            <w:r w:rsidRPr="0052080F">
              <w:rPr>
                <w:sz w:val="18"/>
                <w:szCs w:val="16"/>
              </w:rPr>
              <w:t>34,345.34</w:t>
            </w:r>
          </w:p>
        </w:tc>
      </w:tr>
    </w:tbl>
    <w:p w:rsidR="000C665A" w:rsidRDefault="000C665A" w:rsidP="000C665A"/>
    <w:p w:rsidR="000C665A" w:rsidRPr="000C665A" w:rsidRDefault="000C665A" w:rsidP="000C665A"/>
    <w:sectPr w:rsidR="000C665A" w:rsidRPr="000C66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F6A" w:rsidRDefault="00E44F6A" w:rsidP="00E243AC">
      <w:pPr>
        <w:spacing w:after="0" w:line="240" w:lineRule="auto"/>
      </w:pPr>
      <w:r>
        <w:separator/>
      </w:r>
    </w:p>
  </w:endnote>
  <w:endnote w:type="continuationSeparator" w:id="0">
    <w:p w:rsidR="00E44F6A" w:rsidRDefault="00E44F6A" w:rsidP="00E24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F6A" w:rsidRDefault="00E44F6A" w:rsidP="00E243AC">
    <w:pPr>
      <w:pStyle w:val="Footer"/>
      <w:jc w:val="right"/>
    </w:pPr>
    <w:r>
      <w:t xml:space="preserve"> Florida Tech Facilities Operations | </w:t>
    </w:r>
    <w:sdt>
      <w:sdtPr>
        <w:id w:val="-13288289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514E3">
          <w:rPr>
            <w:noProof/>
          </w:rPr>
          <w:t>6</w:t>
        </w:r>
        <w:r>
          <w:rPr>
            <w:noProof/>
          </w:rPr>
          <w:fldChar w:fldCharType="end"/>
        </w:r>
      </w:sdtContent>
    </w:sdt>
  </w:p>
  <w:p w:rsidR="00E44F6A" w:rsidRDefault="00E44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F6A" w:rsidRDefault="00E44F6A" w:rsidP="00E243AC">
      <w:pPr>
        <w:spacing w:after="0" w:line="240" w:lineRule="auto"/>
      </w:pPr>
      <w:r>
        <w:separator/>
      </w:r>
    </w:p>
  </w:footnote>
  <w:footnote w:type="continuationSeparator" w:id="0">
    <w:p w:rsidR="00E44F6A" w:rsidRDefault="00E44F6A" w:rsidP="00E243AC">
      <w:pPr>
        <w:spacing w:after="0" w:line="240" w:lineRule="auto"/>
      </w:pPr>
      <w:r>
        <w:continuationSeparator/>
      </w:r>
    </w:p>
  </w:footnote>
  <w:footnote w:id="1">
    <w:p w:rsidR="000614CC" w:rsidRDefault="000614CC">
      <w:pPr>
        <w:pStyle w:val="FootnoteText"/>
      </w:pPr>
      <w:r>
        <w:rPr>
          <w:rStyle w:val="FootnoteReference"/>
        </w:rPr>
        <w:footnoteRef/>
      </w:r>
      <w:r>
        <w:t xml:space="preserve"> Source: Facilities Operations Electrical Department</w:t>
      </w:r>
    </w:p>
  </w:footnote>
  <w:footnote w:id="2">
    <w:p w:rsidR="000614CC" w:rsidRDefault="000614CC">
      <w:pPr>
        <w:pStyle w:val="FootnoteText"/>
      </w:pPr>
      <w:r>
        <w:rPr>
          <w:rStyle w:val="FootnoteReference"/>
        </w:rPr>
        <w:footnoteRef/>
      </w:r>
      <w:r>
        <w:t xml:space="preserve"> Source: Facilities Operations Transportation Department</w:t>
      </w:r>
    </w:p>
  </w:footnote>
  <w:footnote w:id="3">
    <w:p w:rsidR="000614CC" w:rsidRDefault="000614CC">
      <w:pPr>
        <w:pStyle w:val="FootnoteText"/>
      </w:pPr>
      <w:r>
        <w:rPr>
          <w:rStyle w:val="FootnoteReference"/>
        </w:rPr>
        <w:footnoteRef/>
      </w:r>
      <w:r>
        <w:t xml:space="preserve"> </w:t>
      </w:r>
      <w:r>
        <w:t>Source: Facilities Operations Transportation Department</w:t>
      </w:r>
    </w:p>
  </w:footnote>
  <w:footnote w:id="4">
    <w:p w:rsidR="000614CC" w:rsidRDefault="000614CC">
      <w:pPr>
        <w:pStyle w:val="FootnoteText"/>
      </w:pPr>
      <w:r>
        <w:rPr>
          <w:rStyle w:val="FootnoteReference"/>
        </w:rPr>
        <w:footnoteRef/>
      </w:r>
      <w:r>
        <w:t xml:space="preserve"> </w:t>
      </w:r>
      <w:r>
        <w:t>Source: Facilities Operations Transportation Department</w:t>
      </w:r>
    </w:p>
  </w:footnote>
  <w:footnote w:id="5">
    <w:p w:rsidR="000614CC" w:rsidRDefault="000614CC">
      <w:pPr>
        <w:pStyle w:val="FootnoteText"/>
      </w:pPr>
      <w:r>
        <w:rPr>
          <w:rStyle w:val="FootnoteReference"/>
        </w:rPr>
        <w:footnoteRef/>
      </w:r>
      <w:r>
        <w:t xml:space="preserve"> </w:t>
      </w:r>
      <w:r>
        <w:t>Source: Facilities Operations Transportation Department</w:t>
      </w:r>
    </w:p>
  </w:footnote>
  <w:footnote w:id="6">
    <w:p w:rsidR="000614CC" w:rsidRDefault="000614CC">
      <w:pPr>
        <w:pStyle w:val="FootnoteText"/>
      </w:pPr>
      <w:r>
        <w:rPr>
          <w:rStyle w:val="FootnoteReference"/>
        </w:rPr>
        <w:footnoteRef/>
      </w:r>
      <w:r>
        <w:t xml:space="preserve"> </w:t>
      </w:r>
      <w:r>
        <w:t>Source: Facilities Operations Transportation Department</w:t>
      </w:r>
    </w:p>
  </w:footnote>
  <w:footnote w:id="7">
    <w:p w:rsidR="000614CC" w:rsidRDefault="000614CC">
      <w:pPr>
        <w:pStyle w:val="FootnoteText"/>
      </w:pPr>
      <w:r>
        <w:rPr>
          <w:rStyle w:val="FootnoteReference"/>
        </w:rPr>
        <w:footnoteRef/>
      </w:r>
      <w:r>
        <w:t xml:space="preserve"> </w:t>
      </w:r>
      <w:r>
        <w:t>Source: Facilities Oper</w:t>
      </w:r>
      <w:r>
        <w:t>ations Grounds Department</w:t>
      </w:r>
    </w:p>
  </w:footnote>
  <w:footnote w:id="8">
    <w:p w:rsidR="000614CC" w:rsidRDefault="000614CC">
      <w:pPr>
        <w:pStyle w:val="FootnoteText"/>
      </w:pPr>
      <w:r>
        <w:rPr>
          <w:rStyle w:val="FootnoteReference"/>
        </w:rPr>
        <w:footnoteRef/>
      </w:r>
      <w:r>
        <w:t xml:space="preserve"> </w:t>
      </w:r>
      <w:r>
        <w:t>Source: Facilities Oper</w:t>
      </w:r>
      <w:r>
        <w:t>ations HVAC Department</w:t>
      </w:r>
    </w:p>
  </w:footnote>
  <w:footnote w:id="9">
    <w:p w:rsidR="000614CC" w:rsidRDefault="000614CC">
      <w:pPr>
        <w:pStyle w:val="FootnoteText"/>
      </w:pPr>
      <w:r>
        <w:rPr>
          <w:rStyle w:val="FootnoteReference"/>
        </w:rPr>
        <w:footnoteRef/>
      </w:r>
      <w:r>
        <w:t xml:space="preserve"> Source: Facilities Operations Accounts Payable Specialist</w:t>
      </w:r>
    </w:p>
  </w:footnote>
  <w:footnote w:id="10">
    <w:p w:rsidR="000614CC" w:rsidRDefault="000614CC">
      <w:pPr>
        <w:pStyle w:val="FootnoteText"/>
      </w:pPr>
      <w:r>
        <w:rPr>
          <w:rStyle w:val="FootnoteReference"/>
        </w:rPr>
        <w:footnoteRef/>
      </w:r>
      <w:r>
        <w:t xml:space="preserve"> Source: Facilities Operations Sustainability Coordinator</w:t>
      </w:r>
    </w:p>
  </w:footnote>
  <w:footnote w:id="11">
    <w:p w:rsidR="000614CC" w:rsidRDefault="000614CC">
      <w:pPr>
        <w:pStyle w:val="FootnoteText"/>
      </w:pPr>
      <w:r>
        <w:rPr>
          <w:rStyle w:val="FootnoteReference"/>
        </w:rPr>
        <w:footnoteRef/>
      </w:r>
      <w:r>
        <w:t xml:space="preserve"> Source(s): Florida Tech Human Resources, OIR, Student Life, &amp; Facilities Operations</w:t>
      </w:r>
    </w:p>
  </w:footnote>
  <w:footnote w:id="12">
    <w:p w:rsidR="000614CC" w:rsidRDefault="000614CC">
      <w:pPr>
        <w:pStyle w:val="FootnoteText"/>
      </w:pPr>
      <w:r>
        <w:rPr>
          <w:rStyle w:val="FootnoteReference"/>
        </w:rPr>
        <w:footnoteRef/>
      </w:r>
      <w:r>
        <w:t xml:space="preserve"> </w:t>
      </w:r>
      <w:r>
        <w:t>Source(s): Florida Tech Human Resources, OIR, Student Life, &amp; Facilities Operations</w:t>
      </w:r>
    </w:p>
  </w:footnote>
  <w:footnote w:id="13">
    <w:p w:rsidR="000614CC" w:rsidRDefault="000614CC">
      <w:pPr>
        <w:pStyle w:val="FootnoteText"/>
      </w:pPr>
      <w:r>
        <w:rPr>
          <w:rStyle w:val="FootnoteReference"/>
        </w:rPr>
        <w:footnoteRef/>
      </w:r>
      <w:r>
        <w:t xml:space="preserve"> Source(s): Florida Tech Dining Services &amp; Facilities Operations Sustainability Coordinator </w:t>
      </w:r>
    </w:p>
  </w:footnote>
  <w:footnote w:id="14">
    <w:p w:rsidR="000614CC" w:rsidRDefault="000614CC">
      <w:pPr>
        <w:pStyle w:val="FootnoteText"/>
      </w:pPr>
      <w:r>
        <w:rPr>
          <w:rStyle w:val="FootnoteReference"/>
        </w:rPr>
        <w:footnoteRef/>
      </w:r>
      <w:r>
        <w:t xml:space="preserve"> Source: Florida Tech Copy Center</w:t>
      </w:r>
    </w:p>
  </w:footnote>
  <w:footnote w:id="15">
    <w:p w:rsidR="000614CC" w:rsidRDefault="000614CC">
      <w:pPr>
        <w:pStyle w:val="FootnoteText"/>
      </w:pPr>
      <w:r>
        <w:rPr>
          <w:rStyle w:val="FootnoteReference"/>
        </w:rPr>
        <w:footnoteRef/>
      </w:r>
      <w:r>
        <w:t xml:space="preserve"> Source: Facilities Operations Accounts Payable Specialist </w:t>
      </w:r>
    </w:p>
  </w:footnote>
  <w:footnote w:id="16">
    <w:p w:rsidR="002D6615" w:rsidRDefault="002D6615">
      <w:pPr>
        <w:pStyle w:val="FootnoteText"/>
      </w:pPr>
      <w:r>
        <w:rPr>
          <w:rStyle w:val="FootnoteReference"/>
        </w:rPr>
        <w:footnoteRef/>
      </w:r>
      <w:r>
        <w:t xml:space="preserve"> Facilities Operations Grounds Department &amp; Sustainability Coordinator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1.25pt;height:71.25pt" o:bullet="t">
        <v:imagedata r:id="rId1" o:title="MK-138-216-FINAL-1-95x95"/>
      </v:shape>
    </w:pict>
  </w:numPicBullet>
  <w:abstractNum w:abstractNumId="0" w15:restartNumberingAfterBreak="0">
    <w:nsid w:val="060E00D0"/>
    <w:multiLevelType w:val="hybridMultilevel"/>
    <w:tmpl w:val="ED080DF2"/>
    <w:lvl w:ilvl="0" w:tplc="0409000F">
      <w:start w:val="1"/>
      <w:numFmt w:val="decimal"/>
      <w:lvlText w:val="%1."/>
      <w:lvlJc w:val="left"/>
      <w:pPr>
        <w:ind w:left="706" w:hanging="360"/>
      </w:pPr>
    </w:lvl>
    <w:lvl w:ilvl="1" w:tplc="04090019">
      <w:start w:val="1"/>
      <w:numFmt w:val="lowerLetter"/>
      <w:lvlText w:val="%2."/>
      <w:lvlJc w:val="left"/>
      <w:pPr>
        <w:ind w:left="1426" w:hanging="360"/>
      </w:pPr>
    </w:lvl>
    <w:lvl w:ilvl="2" w:tplc="0409001B">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 w15:restartNumberingAfterBreak="0">
    <w:nsid w:val="11B0380D"/>
    <w:multiLevelType w:val="multilevel"/>
    <w:tmpl w:val="1C30B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985EB4"/>
    <w:multiLevelType w:val="hybridMultilevel"/>
    <w:tmpl w:val="ED080DF2"/>
    <w:lvl w:ilvl="0" w:tplc="0409000F">
      <w:start w:val="1"/>
      <w:numFmt w:val="decimal"/>
      <w:lvlText w:val="%1."/>
      <w:lvlJc w:val="left"/>
      <w:pPr>
        <w:ind w:left="706" w:hanging="360"/>
      </w:pPr>
    </w:lvl>
    <w:lvl w:ilvl="1" w:tplc="04090019">
      <w:start w:val="1"/>
      <w:numFmt w:val="lowerLetter"/>
      <w:lvlText w:val="%2."/>
      <w:lvlJc w:val="left"/>
      <w:pPr>
        <w:ind w:left="1426" w:hanging="360"/>
      </w:pPr>
    </w:lvl>
    <w:lvl w:ilvl="2" w:tplc="0409001B">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 w15:restartNumberingAfterBreak="0">
    <w:nsid w:val="1EE86181"/>
    <w:multiLevelType w:val="multilevel"/>
    <w:tmpl w:val="D68A2CA4"/>
    <w:lvl w:ilvl="0">
      <w:start w:val="24"/>
      <w:numFmt w:val="decimal"/>
      <w:lvlText w:val="%1."/>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A0D6A59"/>
    <w:multiLevelType w:val="multilevel"/>
    <w:tmpl w:val="D644793A"/>
    <w:lvl w:ilvl="0">
      <w:start w:val="1"/>
      <w:numFmt w:val="bullet"/>
      <w:lvlText w:val=""/>
      <w:lvlPicBulletId w:val="0"/>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993B21"/>
    <w:multiLevelType w:val="hybridMultilevel"/>
    <w:tmpl w:val="5002B64C"/>
    <w:lvl w:ilvl="0" w:tplc="0409000F">
      <w:start w:val="1"/>
      <w:numFmt w:val="decimal"/>
      <w:lvlText w:val="%1."/>
      <w:lvlJc w:val="left"/>
      <w:pPr>
        <w:ind w:left="692"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6" w15:restartNumberingAfterBreak="0">
    <w:nsid w:val="45D54C77"/>
    <w:multiLevelType w:val="multilevel"/>
    <w:tmpl w:val="38D46628"/>
    <w:lvl w:ilvl="0">
      <w:start w:val="1"/>
      <w:numFmt w:val="bullet"/>
      <w:lvlText w:val=""/>
      <w:lvlPicBulletId w:val="0"/>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2221F7"/>
    <w:multiLevelType w:val="hybridMultilevel"/>
    <w:tmpl w:val="4E7C82D6"/>
    <w:lvl w:ilvl="0" w:tplc="B914B8FC">
      <w:start w:val="1"/>
      <w:numFmt w:val="decimal"/>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5A059A">
      <w:start w:val="1"/>
      <w:numFmt w:val="lowerLetter"/>
      <w:lvlText w:val="%2"/>
      <w:lvlJc w:val="left"/>
      <w:pPr>
        <w:ind w:left="1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02E8BA">
      <w:start w:val="1"/>
      <w:numFmt w:val="lowerRoman"/>
      <w:lvlText w:val="%3"/>
      <w:lvlJc w:val="left"/>
      <w:pPr>
        <w:ind w:left="1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28BF60">
      <w:start w:val="1"/>
      <w:numFmt w:val="decimal"/>
      <w:lvlText w:val="%4"/>
      <w:lvlJc w:val="left"/>
      <w:pPr>
        <w:ind w:left="2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265F3E">
      <w:start w:val="1"/>
      <w:numFmt w:val="lowerLetter"/>
      <w:lvlText w:val="%5"/>
      <w:lvlJc w:val="left"/>
      <w:pPr>
        <w:ind w:left="3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E6AAF8">
      <w:start w:val="1"/>
      <w:numFmt w:val="lowerRoman"/>
      <w:lvlText w:val="%6"/>
      <w:lvlJc w:val="left"/>
      <w:pPr>
        <w:ind w:left="3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48A2A8">
      <w:start w:val="1"/>
      <w:numFmt w:val="decimal"/>
      <w:lvlText w:val="%7"/>
      <w:lvlJc w:val="left"/>
      <w:pPr>
        <w:ind w:left="4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2E0D26">
      <w:start w:val="1"/>
      <w:numFmt w:val="lowerLetter"/>
      <w:lvlText w:val="%8"/>
      <w:lvlJc w:val="left"/>
      <w:pPr>
        <w:ind w:left="5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A86D06">
      <w:start w:val="1"/>
      <w:numFmt w:val="lowerRoman"/>
      <w:lvlText w:val="%9"/>
      <w:lvlJc w:val="left"/>
      <w:pPr>
        <w:ind w:left="6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F2F49E9"/>
    <w:multiLevelType w:val="hybridMultilevel"/>
    <w:tmpl w:val="5FA0F95A"/>
    <w:lvl w:ilvl="0" w:tplc="0409000F">
      <w:start w:val="1"/>
      <w:numFmt w:val="decimal"/>
      <w:lvlText w:val="%1."/>
      <w:lvlJc w:val="left"/>
      <w:pPr>
        <w:ind w:left="766"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60AC0085"/>
    <w:multiLevelType w:val="hybridMultilevel"/>
    <w:tmpl w:val="2D22C9A0"/>
    <w:lvl w:ilvl="0" w:tplc="91BC6B5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B2038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2E020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718CB0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2022E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250616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6C162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16953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418F67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390399A"/>
    <w:multiLevelType w:val="multilevel"/>
    <w:tmpl w:val="1C843F82"/>
    <w:lvl w:ilvl="0">
      <w:start w:val="2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5"/>
  </w:num>
  <w:num w:numId="3">
    <w:abstractNumId w:val="2"/>
  </w:num>
  <w:num w:numId="4">
    <w:abstractNumId w:val="3"/>
  </w:num>
  <w:num w:numId="5">
    <w:abstractNumId w:val="10"/>
  </w:num>
  <w:num w:numId="6">
    <w:abstractNumId w:val="8"/>
  </w:num>
  <w:num w:numId="7">
    <w:abstractNumId w:val="9"/>
  </w:num>
  <w:num w:numId="8">
    <w:abstractNumId w:val="7"/>
  </w:num>
  <w:num w:numId="9">
    <w:abstractNumId w:val="4"/>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3AC"/>
    <w:rsid w:val="000251F5"/>
    <w:rsid w:val="00035C14"/>
    <w:rsid w:val="000514E3"/>
    <w:rsid w:val="0005353C"/>
    <w:rsid w:val="000614CC"/>
    <w:rsid w:val="00071323"/>
    <w:rsid w:val="0008462E"/>
    <w:rsid w:val="000B557E"/>
    <w:rsid w:val="000C665A"/>
    <w:rsid w:val="000E0C15"/>
    <w:rsid w:val="0010018E"/>
    <w:rsid w:val="0011068E"/>
    <w:rsid w:val="00136234"/>
    <w:rsid w:val="00141DBA"/>
    <w:rsid w:val="00146DAF"/>
    <w:rsid w:val="00164FA1"/>
    <w:rsid w:val="00171EBE"/>
    <w:rsid w:val="00177908"/>
    <w:rsid w:val="001A08D2"/>
    <w:rsid w:val="001A16A2"/>
    <w:rsid w:val="001A1C3E"/>
    <w:rsid w:val="001C7A89"/>
    <w:rsid w:val="001D26E5"/>
    <w:rsid w:val="001D7D31"/>
    <w:rsid w:val="001E0D07"/>
    <w:rsid w:val="001E10EB"/>
    <w:rsid w:val="001E20FE"/>
    <w:rsid w:val="001F78C0"/>
    <w:rsid w:val="00217CB3"/>
    <w:rsid w:val="00221944"/>
    <w:rsid w:val="00224B72"/>
    <w:rsid w:val="00276F08"/>
    <w:rsid w:val="002A278E"/>
    <w:rsid w:val="002A7369"/>
    <w:rsid w:val="002B5AC1"/>
    <w:rsid w:val="002D6615"/>
    <w:rsid w:val="003022AF"/>
    <w:rsid w:val="00305FD0"/>
    <w:rsid w:val="00341768"/>
    <w:rsid w:val="003475D6"/>
    <w:rsid w:val="003630B8"/>
    <w:rsid w:val="003670AC"/>
    <w:rsid w:val="00367C3E"/>
    <w:rsid w:val="003B3A6A"/>
    <w:rsid w:val="003C1D7E"/>
    <w:rsid w:val="003F1543"/>
    <w:rsid w:val="003F2BAD"/>
    <w:rsid w:val="004050A7"/>
    <w:rsid w:val="00441D40"/>
    <w:rsid w:val="00450E80"/>
    <w:rsid w:val="00465893"/>
    <w:rsid w:val="0046702A"/>
    <w:rsid w:val="0049749D"/>
    <w:rsid w:val="004A745F"/>
    <w:rsid w:val="004B40DE"/>
    <w:rsid w:val="004F3A0E"/>
    <w:rsid w:val="00504B49"/>
    <w:rsid w:val="0052080F"/>
    <w:rsid w:val="00536EF7"/>
    <w:rsid w:val="00536FBB"/>
    <w:rsid w:val="00537DD5"/>
    <w:rsid w:val="00544AD7"/>
    <w:rsid w:val="005738D4"/>
    <w:rsid w:val="00580417"/>
    <w:rsid w:val="005814D4"/>
    <w:rsid w:val="0059069D"/>
    <w:rsid w:val="005D301E"/>
    <w:rsid w:val="005E0583"/>
    <w:rsid w:val="0063041C"/>
    <w:rsid w:val="006377E9"/>
    <w:rsid w:val="00641988"/>
    <w:rsid w:val="00642D1A"/>
    <w:rsid w:val="00671602"/>
    <w:rsid w:val="0068542C"/>
    <w:rsid w:val="006A62D5"/>
    <w:rsid w:val="006B64B6"/>
    <w:rsid w:val="006C2232"/>
    <w:rsid w:val="006C3444"/>
    <w:rsid w:val="006D6D00"/>
    <w:rsid w:val="00713427"/>
    <w:rsid w:val="007155A0"/>
    <w:rsid w:val="00762778"/>
    <w:rsid w:val="00775A04"/>
    <w:rsid w:val="007A36C2"/>
    <w:rsid w:val="007A4E22"/>
    <w:rsid w:val="007C5FF6"/>
    <w:rsid w:val="00834DA3"/>
    <w:rsid w:val="00851C30"/>
    <w:rsid w:val="00864FFB"/>
    <w:rsid w:val="00865D9A"/>
    <w:rsid w:val="00872465"/>
    <w:rsid w:val="00895586"/>
    <w:rsid w:val="008B7CBC"/>
    <w:rsid w:val="008C76FC"/>
    <w:rsid w:val="00900F76"/>
    <w:rsid w:val="009045EA"/>
    <w:rsid w:val="00911B39"/>
    <w:rsid w:val="00912164"/>
    <w:rsid w:val="009372D1"/>
    <w:rsid w:val="00952B57"/>
    <w:rsid w:val="0099068D"/>
    <w:rsid w:val="009931EC"/>
    <w:rsid w:val="009A3F46"/>
    <w:rsid w:val="009A582A"/>
    <w:rsid w:val="009C162E"/>
    <w:rsid w:val="009C7041"/>
    <w:rsid w:val="009D3BF2"/>
    <w:rsid w:val="009E487A"/>
    <w:rsid w:val="009F0F85"/>
    <w:rsid w:val="009F326B"/>
    <w:rsid w:val="00A017F0"/>
    <w:rsid w:val="00A0596F"/>
    <w:rsid w:val="00A36C00"/>
    <w:rsid w:val="00A76910"/>
    <w:rsid w:val="00A8102D"/>
    <w:rsid w:val="00AC2E79"/>
    <w:rsid w:val="00AD35E7"/>
    <w:rsid w:val="00AD36D8"/>
    <w:rsid w:val="00AD6653"/>
    <w:rsid w:val="00AF44C8"/>
    <w:rsid w:val="00B03EBC"/>
    <w:rsid w:val="00B14604"/>
    <w:rsid w:val="00B15972"/>
    <w:rsid w:val="00B374EC"/>
    <w:rsid w:val="00B500C0"/>
    <w:rsid w:val="00B76E1F"/>
    <w:rsid w:val="00B81018"/>
    <w:rsid w:val="00B8784B"/>
    <w:rsid w:val="00B946B8"/>
    <w:rsid w:val="00BA6199"/>
    <w:rsid w:val="00BC2095"/>
    <w:rsid w:val="00BE5D2A"/>
    <w:rsid w:val="00BE648A"/>
    <w:rsid w:val="00C177E8"/>
    <w:rsid w:val="00C407C1"/>
    <w:rsid w:val="00C45E58"/>
    <w:rsid w:val="00C55FC3"/>
    <w:rsid w:val="00C82B48"/>
    <w:rsid w:val="00CE6E92"/>
    <w:rsid w:val="00CF7109"/>
    <w:rsid w:val="00D061EF"/>
    <w:rsid w:val="00D25E20"/>
    <w:rsid w:val="00D41F08"/>
    <w:rsid w:val="00D60933"/>
    <w:rsid w:val="00D7033C"/>
    <w:rsid w:val="00D70C74"/>
    <w:rsid w:val="00D76F14"/>
    <w:rsid w:val="00D9078A"/>
    <w:rsid w:val="00DA044B"/>
    <w:rsid w:val="00DA7D18"/>
    <w:rsid w:val="00DB70FC"/>
    <w:rsid w:val="00DC66BF"/>
    <w:rsid w:val="00E0122B"/>
    <w:rsid w:val="00E014C2"/>
    <w:rsid w:val="00E02AF9"/>
    <w:rsid w:val="00E120A3"/>
    <w:rsid w:val="00E12A45"/>
    <w:rsid w:val="00E131BF"/>
    <w:rsid w:val="00E243AC"/>
    <w:rsid w:val="00E41264"/>
    <w:rsid w:val="00E422C5"/>
    <w:rsid w:val="00E44F6A"/>
    <w:rsid w:val="00E71ECC"/>
    <w:rsid w:val="00ED6CDB"/>
    <w:rsid w:val="00EE742A"/>
    <w:rsid w:val="00EF0531"/>
    <w:rsid w:val="00EF241F"/>
    <w:rsid w:val="00F415B0"/>
    <w:rsid w:val="00F416EE"/>
    <w:rsid w:val="00F53F22"/>
    <w:rsid w:val="00F84CF2"/>
    <w:rsid w:val="00FD3408"/>
    <w:rsid w:val="00FF5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314DE"/>
  <w15:chartTrackingRefBased/>
  <w15:docId w15:val="{2705B37A-3E74-437F-A6CB-98E918BA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3AC"/>
    <w:rPr>
      <w:rFonts w:ascii="Times New Roman" w:eastAsia="Calibri" w:hAnsi="Times New Roman" w:cs="Calibri"/>
      <w:color w:val="000000"/>
      <w:sz w:val="24"/>
    </w:rPr>
  </w:style>
  <w:style w:type="paragraph" w:styleId="Heading1">
    <w:name w:val="heading 1"/>
    <w:next w:val="Normal"/>
    <w:link w:val="Heading1Char"/>
    <w:uiPriority w:val="9"/>
    <w:unhideWhenUsed/>
    <w:qFormat/>
    <w:rsid w:val="00775A04"/>
    <w:pPr>
      <w:keepNext/>
      <w:keepLines/>
      <w:spacing w:after="0"/>
      <w:ind w:left="10" w:right="4" w:hanging="10"/>
      <w:jc w:val="center"/>
      <w:outlineLvl w:val="0"/>
    </w:pPr>
    <w:rPr>
      <w:rFonts w:ascii="Times New Roman" w:eastAsia="Arial" w:hAnsi="Times New Roman" w:cs="Arial"/>
      <w:b/>
      <w:color w:val="C00000"/>
      <w:sz w:val="32"/>
    </w:rPr>
  </w:style>
  <w:style w:type="paragraph" w:styleId="Heading2">
    <w:name w:val="heading 2"/>
    <w:basedOn w:val="Normal"/>
    <w:next w:val="Normal"/>
    <w:link w:val="Heading2Char"/>
    <w:uiPriority w:val="9"/>
    <w:unhideWhenUsed/>
    <w:qFormat/>
    <w:rsid w:val="0068542C"/>
    <w:pPr>
      <w:keepNext/>
      <w:keepLines/>
      <w:spacing w:before="40" w:after="0"/>
      <w:outlineLvl w:val="1"/>
    </w:pPr>
    <w:rPr>
      <w:rFonts w:eastAsiaTheme="majorEastAsia" w:cstheme="majorBidi"/>
      <w:color w:val="808080" w:themeColor="background1" w:themeShade="80"/>
      <w:sz w:val="32"/>
      <w:szCs w:val="26"/>
      <w:u w:val="single"/>
    </w:rPr>
  </w:style>
  <w:style w:type="paragraph" w:styleId="Heading3">
    <w:name w:val="heading 3"/>
    <w:basedOn w:val="Normal"/>
    <w:next w:val="Normal"/>
    <w:link w:val="Heading3Char"/>
    <w:uiPriority w:val="9"/>
    <w:semiHidden/>
    <w:unhideWhenUsed/>
    <w:qFormat/>
    <w:rsid w:val="00B374EC"/>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3AC"/>
    <w:rPr>
      <w:color w:val="0563C1" w:themeColor="hyperlink"/>
      <w:u w:val="single"/>
    </w:rPr>
  </w:style>
  <w:style w:type="paragraph" w:styleId="Header">
    <w:name w:val="header"/>
    <w:basedOn w:val="Normal"/>
    <w:link w:val="HeaderChar"/>
    <w:uiPriority w:val="99"/>
    <w:unhideWhenUsed/>
    <w:rsid w:val="00E24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3AC"/>
    <w:rPr>
      <w:rFonts w:ascii="Times New Roman" w:eastAsia="Calibri" w:hAnsi="Times New Roman" w:cs="Calibri"/>
      <w:color w:val="000000"/>
      <w:sz w:val="24"/>
    </w:rPr>
  </w:style>
  <w:style w:type="paragraph" w:styleId="Footer">
    <w:name w:val="footer"/>
    <w:basedOn w:val="Normal"/>
    <w:link w:val="FooterChar"/>
    <w:uiPriority w:val="99"/>
    <w:unhideWhenUsed/>
    <w:rsid w:val="00E24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3AC"/>
    <w:rPr>
      <w:rFonts w:ascii="Times New Roman" w:eastAsia="Calibri" w:hAnsi="Times New Roman" w:cs="Calibri"/>
      <w:color w:val="000000"/>
      <w:sz w:val="24"/>
    </w:rPr>
  </w:style>
  <w:style w:type="paragraph" w:styleId="ListParagraph">
    <w:name w:val="List Paragraph"/>
    <w:basedOn w:val="Normal"/>
    <w:uiPriority w:val="34"/>
    <w:qFormat/>
    <w:rsid w:val="00E243AC"/>
    <w:pPr>
      <w:ind w:left="720"/>
      <w:contextualSpacing/>
    </w:pPr>
  </w:style>
  <w:style w:type="character" w:customStyle="1" w:styleId="Heading1Char">
    <w:name w:val="Heading 1 Char"/>
    <w:basedOn w:val="DefaultParagraphFont"/>
    <w:link w:val="Heading1"/>
    <w:uiPriority w:val="9"/>
    <w:rsid w:val="00775A04"/>
    <w:rPr>
      <w:rFonts w:ascii="Times New Roman" w:eastAsia="Arial" w:hAnsi="Times New Roman" w:cs="Arial"/>
      <w:b/>
      <w:color w:val="C00000"/>
      <w:sz w:val="32"/>
    </w:rPr>
  </w:style>
  <w:style w:type="character" w:customStyle="1" w:styleId="Heading2Char">
    <w:name w:val="Heading 2 Char"/>
    <w:basedOn w:val="DefaultParagraphFont"/>
    <w:link w:val="Heading2"/>
    <w:uiPriority w:val="9"/>
    <w:rsid w:val="0068542C"/>
    <w:rPr>
      <w:rFonts w:ascii="Times New Roman" w:eastAsiaTheme="majorEastAsia" w:hAnsi="Times New Roman" w:cstheme="majorBidi"/>
      <w:color w:val="808080" w:themeColor="background1" w:themeShade="80"/>
      <w:sz w:val="32"/>
      <w:szCs w:val="26"/>
      <w:u w:val="single"/>
    </w:rPr>
  </w:style>
  <w:style w:type="table" w:customStyle="1" w:styleId="TableGrid">
    <w:name w:val="TableGrid"/>
    <w:rsid w:val="00F84CF2"/>
    <w:pPr>
      <w:spacing w:after="0" w:line="240" w:lineRule="auto"/>
    </w:pPr>
    <w:rPr>
      <w:rFonts w:eastAsiaTheme="minorEastAsia"/>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775A04"/>
    <w:pPr>
      <w:spacing w:before="240"/>
      <w:ind w:left="0" w:right="0" w:firstLine="0"/>
      <w:jc w:val="left"/>
      <w:outlineLvl w:val="9"/>
    </w:pPr>
    <w:rPr>
      <w:rFonts w:asciiTheme="majorHAnsi" w:eastAsiaTheme="majorEastAsia" w:hAnsiTheme="majorHAnsi" w:cstheme="majorBidi"/>
      <w:b w:val="0"/>
      <w:color w:val="2F5496" w:themeColor="accent1" w:themeShade="BF"/>
      <w:szCs w:val="32"/>
    </w:rPr>
  </w:style>
  <w:style w:type="paragraph" w:styleId="TOC2">
    <w:name w:val="toc 2"/>
    <w:basedOn w:val="Normal"/>
    <w:next w:val="Normal"/>
    <w:autoRedefine/>
    <w:uiPriority w:val="39"/>
    <w:unhideWhenUsed/>
    <w:rsid w:val="00775A04"/>
    <w:pPr>
      <w:spacing w:after="100"/>
      <w:ind w:left="240"/>
    </w:pPr>
  </w:style>
  <w:style w:type="paragraph" w:styleId="TOC1">
    <w:name w:val="toc 1"/>
    <w:basedOn w:val="Normal"/>
    <w:next w:val="Normal"/>
    <w:autoRedefine/>
    <w:uiPriority w:val="39"/>
    <w:unhideWhenUsed/>
    <w:rsid w:val="00775A04"/>
    <w:pPr>
      <w:spacing w:after="100"/>
    </w:pPr>
  </w:style>
  <w:style w:type="paragraph" w:styleId="BalloonText">
    <w:name w:val="Balloon Text"/>
    <w:basedOn w:val="Normal"/>
    <w:link w:val="BalloonTextChar"/>
    <w:uiPriority w:val="99"/>
    <w:semiHidden/>
    <w:unhideWhenUsed/>
    <w:rsid w:val="006A6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2D5"/>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0251F5"/>
    <w:rPr>
      <w:sz w:val="16"/>
      <w:szCs w:val="16"/>
    </w:rPr>
  </w:style>
  <w:style w:type="paragraph" w:styleId="CommentText">
    <w:name w:val="annotation text"/>
    <w:basedOn w:val="Normal"/>
    <w:link w:val="CommentTextChar"/>
    <w:uiPriority w:val="99"/>
    <w:semiHidden/>
    <w:unhideWhenUsed/>
    <w:rsid w:val="000251F5"/>
    <w:pPr>
      <w:spacing w:after="0" w:line="240" w:lineRule="auto"/>
    </w:pPr>
    <w:rPr>
      <w:rFonts w:ascii="Arial" w:eastAsia="Arial" w:hAnsi="Arial" w:cs="Arial"/>
      <w:color w:val="auto"/>
      <w:sz w:val="20"/>
      <w:szCs w:val="20"/>
      <w:lang w:val="en"/>
    </w:rPr>
  </w:style>
  <w:style w:type="character" w:customStyle="1" w:styleId="CommentTextChar">
    <w:name w:val="Comment Text Char"/>
    <w:basedOn w:val="DefaultParagraphFont"/>
    <w:link w:val="CommentText"/>
    <w:uiPriority w:val="99"/>
    <w:semiHidden/>
    <w:rsid w:val="000251F5"/>
    <w:rPr>
      <w:rFonts w:ascii="Arial" w:eastAsia="Arial" w:hAnsi="Arial" w:cs="Arial"/>
      <w:sz w:val="20"/>
      <w:szCs w:val="20"/>
      <w:lang w:val="en"/>
    </w:rPr>
  </w:style>
  <w:style w:type="table" w:styleId="TableGrid0">
    <w:name w:val="Table Grid"/>
    <w:basedOn w:val="TableNormal"/>
    <w:uiPriority w:val="39"/>
    <w:rsid w:val="00AD3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36234"/>
    <w:pPr>
      <w:spacing w:after="200" w:line="240" w:lineRule="auto"/>
    </w:pPr>
    <w:rPr>
      <w:i/>
      <w:iCs/>
      <w:color w:val="44546A" w:themeColor="text2"/>
      <w:sz w:val="18"/>
      <w:szCs w:val="18"/>
    </w:rPr>
  </w:style>
  <w:style w:type="paragraph" w:styleId="Bibliography">
    <w:name w:val="Bibliography"/>
    <w:basedOn w:val="Normal"/>
    <w:next w:val="Normal"/>
    <w:uiPriority w:val="37"/>
    <w:unhideWhenUsed/>
    <w:rsid w:val="00B374EC"/>
  </w:style>
  <w:style w:type="character" w:customStyle="1" w:styleId="Heading3Char">
    <w:name w:val="Heading 3 Char"/>
    <w:basedOn w:val="DefaultParagraphFont"/>
    <w:link w:val="Heading3"/>
    <w:uiPriority w:val="9"/>
    <w:semiHidden/>
    <w:rsid w:val="00B374EC"/>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B374EC"/>
    <w:pPr>
      <w:spacing w:before="100" w:beforeAutospacing="1" w:after="100" w:afterAutospacing="1" w:line="240" w:lineRule="auto"/>
    </w:pPr>
    <w:rPr>
      <w:rFonts w:eastAsia="Times New Roman" w:cs="Times New Roman"/>
      <w:color w:val="auto"/>
      <w:szCs w:val="24"/>
    </w:rPr>
  </w:style>
  <w:style w:type="table" w:styleId="TableGridLight">
    <w:name w:val="Grid Table Light"/>
    <w:basedOn w:val="TableNormal"/>
    <w:uiPriority w:val="40"/>
    <w:rsid w:val="006C34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B15972"/>
    <w:rPr>
      <w:color w:val="808080"/>
    </w:rPr>
  </w:style>
  <w:style w:type="paragraph" w:styleId="FootnoteText">
    <w:name w:val="footnote text"/>
    <w:basedOn w:val="Normal"/>
    <w:link w:val="FootnoteTextChar"/>
    <w:uiPriority w:val="99"/>
    <w:semiHidden/>
    <w:unhideWhenUsed/>
    <w:rsid w:val="000614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14CC"/>
    <w:rPr>
      <w:rFonts w:ascii="Times New Roman" w:eastAsia="Calibri" w:hAnsi="Times New Roman" w:cs="Calibri"/>
      <w:color w:val="000000"/>
      <w:sz w:val="20"/>
      <w:szCs w:val="20"/>
    </w:rPr>
  </w:style>
  <w:style w:type="character" w:styleId="FootnoteReference">
    <w:name w:val="footnote reference"/>
    <w:basedOn w:val="DefaultParagraphFont"/>
    <w:uiPriority w:val="99"/>
    <w:semiHidden/>
    <w:unhideWhenUsed/>
    <w:rsid w:val="000614CC"/>
    <w:rPr>
      <w:vertAlign w:val="superscript"/>
    </w:rPr>
  </w:style>
  <w:style w:type="paragraph" w:styleId="TableofFigures">
    <w:name w:val="table of figures"/>
    <w:basedOn w:val="Normal"/>
    <w:next w:val="Normal"/>
    <w:uiPriority w:val="99"/>
    <w:unhideWhenUsed/>
    <w:rsid w:val="000514E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9613">
      <w:bodyDiv w:val="1"/>
      <w:marLeft w:val="0"/>
      <w:marRight w:val="0"/>
      <w:marTop w:val="0"/>
      <w:marBottom w:val="0"/>
      <w:divBdr>
        <w:top w:val="none" w:sz="0" w:space="0" w:color="auto"/>
        <w:left w:val="none" w:sz="0" w:space="0" w:color="auto"/>
        <w:bottom w:val="none" w:sz="0" w:space="0" w:color="auto"/>
        <w:right w:val="none" w:sz="0" w:space="0" w:color="auto"/>
      </w:divBdr>
    </w:div>
    <w:div w:id="22631090">
      <w:bodyDiv w:val="1"/>
      <w:marLeft w:val="0"/>
      <w:marRight w:val="0"/>
      <w:marTop w:val="0"/>
      <w:marBottom w:val="0"/>
      <w:divBdr>
        <w:top w:val="none" w:sz="0" w:space="0" w:color="auto"/>
        <w:left w:val="none" w:sz="0" w:space="0" w:color="auto"/>
        <w:bottom w:val="none" w:sz="0" w:space="0" w:color="auto"/>
        <w:right w:val="none" w:sz="0" w:space="0" w:color="auto"/>
      </w:divBdr>
    </w:div>
    <w:div w:id="82461776">
      <w:bodyDiv w:val="1"/>
      <w:marLeft w:val="0"/>
      <w:marRight w:val="0"/>
      <w:marTop w:val="0"/>
      <w:marBottom w:val="0"/>
      <w:divBdr>
        <w:top w:val="none" w:sz="0" w:space="0" w:color="auto"/>
        <w:left w:val="none" w:sz="0" w:space="0" w:color="auto"/>
        <w:bottom w:val="none" w:sz="0" w:space="0" w:color="auto"/>
        <w:right w:val="none" w:sz="0" w:space="0" w:color="auto"/>
      </w:divBdr>
    </w:div>
    <w:div w:id="146551296">
      <w:bodyDiv w:val="1"/>
      <w:marLeft w:val="0"/>
      <w:marRight w:val="0"/>
      <w:marTop w:val="0"/>
      <w:marBottom w:val="0"/>
      <w:divBdr>
        <w:top w:val="none" w:sz="0" w:space="0" w:color="auto"/>
        <w:left w:val="none" w:sz="0" w:space="0" w:color="auto"/>
        <w:bottom w:val="none" w:sz="0" w:space="0" w:color="auto"/>
        <w:right w:val="none" w:sz="0" w:space="0" w:color="auto"/>
      </w:divBdr>
    </w:div>
    <w:div w:id="214631622">
      <w:bodyDiv w:val="1"/>
      <w:marLeft w:val="0"/>
      <w:marRight w:val="0"/>
      <w:marTop w:val="0"/>
      <w:marBottom w:val="0"/>
      <w:divBdr>
        <w:top w:val="none" w:sz="0" w:space="0" w:color="auto"/>
        <w:left w:val="none" w:sz="0" w:space="0" w:color="auto"/>
        <w:bottom w:val="none" w:sz="0" w:space="0" w:color="auto"/>
        <w:right w:val="none" w:sz="0" w:space="0" w:color="auto"/>
      </w:divBdr>
    </w:div>
    <w:div w:id="347293982">
      <w:bodyDiv w:val="1"/>
      <w:marLeft w:val="0"/>
      <w:marRight w:val="0"/>
      <w:marTop w:val="0"/>
      <w:marBottom w:val="0"/>
      <w:divBdr>
        <w:top w:val="none" w:sz="0" w:space="0" w:color="auto"/>
        <w:left w:val="none" w:sz="0" w:space="0" w:color="auto"/>
        <w:bottom w:val="none" w:sz="0" w:space="0" w:color="auto"/>
        <w:right w:val="none" w:sz="0" w:space="0" w:color="auto"/>
      </w:divBdr>
    </w:div>
    <w:div w:id="351884695">
      <w:bodyDiv w:val="1"/>
      <w:marLeft w:val="0"/>
      <w:marRight w:val="0"/>
      <w:marTop w:val="0"/>
      <w:marBottom w:val="0"/>
      <w:divBdr>
        <w:top w:val="none" w:sz="0" w:space="0" w:color="auto"/>
        <w:left w:val="none" w:sz="0" w:space="0" w:color="auto"/>
        <w:bottom w:val="none" w:sz="0" w:space="0" w:color="auto"/>
        <w:right w:val="none" w:sz="0" w:space="0" w:color="auto"/>
      </w:divBdr>
    </w:div>
    <w:div w:id="467631270">
      <w:bodyDiv w:val="1"/>
      <w:marLeft w:val="0"/>
      <w:marRight w:val="0"/>
      <w:marTop w:val="0"/>
      <w:marBottom w:val="0"/>
      <w:divBdr>
        <w:top w:val="none" w:sz="0" w:space="0" w:color="auto"/>
        <w:left w:val="none" w:sz="0" w:space="0" w:color="auto"/>
        <w:bottom w:val="none" w:sz="0" w:space="0" w:color="auto"/>
        <w:right w:val="none" w:sz="0" w:space="0" w:color="auto"/>
      </w:divBdr>
    </w:div>
    <w:div w:id="653074107">
      <w:bodyDiv w:val="1"/>
      <w:marLeft w:val="0"/>
      <w:marRight w:val="0"/>
      <w:marTop w:val="0"/>
      <w:marBottom w:val="0"/>
      <w:divBdr>
        <w:top w:val="none" w:sz="0" w:space="0" w:color="auto"/>
        <w:left w:val="none" w:sz="0" w:space="0" w:color="auto"/>
        <w:bottom w:val="none" w:sz="0" w:space="0" w:color="auto"/>
        <w:right w:val="none" w:sz="0" w:space="0" w:color="auto"/>
      </w:divBdr>
    </w:div>
    <w:div w:id="669599500">
      <w:bodyDiv w:val="1"/>
      <w:marLeft w:val="0"/>
      <w:marRight w:val="0"/>
      <w:marTop w:val="0"/>
      <w:marBottom w:val="0"/>
      <w:divBdr>
        <w:top w:val="none" w:sz="0" w:space="0" w:color="auto"/>
        <w:left w:val="none" w:sz="0" w:space="0" w:color="auto"/>
        <w:bottom w:val="none" w:sz="0" w:space="0" w:color="auto"/>
        <w:right w:val="none" w:sz="0" w:space="0" w:color="auto"/>
      </w:divBdr>
    </w:div>
    <w:div w:id="781610743">
      <w:bodyDiv w:val="1"/>
      <w:marLeft w:val="0"/>
      <w:marRight w:val="0"/>
      <w:marTop w:val="0"/>
      <w:marBottom w:val="0"/>
      <w:divBdr>
        <w:top w:val="none" w:sz="0" w:space="0" w:color="auto"/>
        <w:left w:val="none" w:sz="0" w:space="0" w:color="auto"/>
        <w:bottom w:val="none" w:sz="0" w:space="0" w:color="auto"/>
        <w:right w:val="none" w:sz="0" w:space="0" w:color="auto"/>
      </w:divBdr>
    </w:div>
    <w:div w:id="801464231">
      <w:bodyDiv w:val="1"/>
      <w:marLeft w:val="0"/>
      <w:marRight w:val="0"/>
      <w:marTop w:val="0"/>
      <w:marBottom w:val="0"/>
      <w:divBdr>
        <w:top w:val="none" w:sz="0" w:space="0" w:color="auto"/>
        <w:left w:val="none" w:sz="0" w:space="0" w:color="auto"/>
        <w:bottom w:val="none" w:sz="0" w:space="0" w:color="auto"/>
        <w:right w:val="none" w:sz="0" w:space="0" w:color="auto"/>
      </w:divBdr>
    </w:div>
    <w:div w:id="973099200">
      <w:bodyDiv w:val="1"/>
      <w:marLeft w:val="0"/>
      <w:marRight w:val="0"/>
      <w:marTop w:val="0"/>
      <w:marBottom w:val="0"/>
      <w:divBdr>
        <w:top w:val="none" w:sz="0" w:space="0" w:color="auto"/>
        <w:left w:val="none" w:sz="0" w:space="0" w:color="auto"/>
        <w:bottom w:val="none" w:sz="0" w:space="0" w:color="auto"/>
        <w:right w:val="none" w:sz="0" w:space="0" w:color="auto"/>
      </w:divBdr>
    </w:div>
    <w:div w:id="1193542212">
      <w:bodyDiv w:val="1"/>
      <w:marLeft w:val="0"/>
      <w:marRight w:val="0"/>
      <w:marTop w:val="0"/>
      <w:marBottom w:val="0"/>
      <w:divBdr>
        <w:top w:val="none" w:sz="0" w:space="0" w:color="auto"/>
        <w:left w:val="none" w:sz="0" w:space="0" w:color="auto"/>
        <w:bottom w:val="none" w:sz="0" w:space="0" w:color="auto"/>
        <w:right w:val="none" w:sz="0" w:space="0" w:color="auto"/>
      </w:divBdr>
    </w:div>
    <w:div w:id="1284847256">
      <w:bodyDiv w:val="1"/>
      <w:marLeft w:val="0"/>
      <w:marRight w:val="0"/>
      <w:marTop w:val="0"/>
      <w:marBottom w:val="0"/>
      <w:divBdr>
        <w:top w:val="none" w:sz="0" w:space="0" w:color="auto"/>
        <w:left w:val="none" w:sz="0" w:space="0" w:color="auto"/>
        <w:bottom w:val="none" w:sz="0" w:space="0" w:color="auto"/>
        <w:right w:val="none" w:sz="0" w:space="0" w:color="auto"/>
      </w:divBdr>
    </w:div>
    <w:div w:id="1362439976">
      <w:bodyDiv w:val="1"/>
      <w:marLeft w:val="0"/>
      <w:marRight w:val="0"/>
      <w:marTop w:val="0"/>
      <w:marBottom w:val="0"/>
      <w:divBdr>
        <w:top w:val="none" w:sz="0" w:space="0" w:color="auto"/>
        <w:left w:val="none" w:sz="0" w:space="0" w:color="auto"/>
        <w:bottom w:val="none" w:sz="0" w:space="0" w:color="auto"/>
        <w:right w:val="none" w:sz="0" w:space="0" w:color="auto"/>
      </w:divBdr>
    </w:div>
    <w:div w:id="1466192778">
      <w:bodyDiv w:val="1"/>
      <w:marLeft w:val="0"/>
      <w:marRight w:val="0"/>
      <w:marTop w:val="0"/>
      <w:marBottom w:val="0"/>
      <w:divBdr>
        <w:top w:val="none" w:sz="0" w:space="0" w:color="auto"/>
        <w:left w:val="none" w:sz="0" w:space="0" w:color="auto"/>
        <w:bottom w:val="none" w:sz="0" w:space="0" w:color="auto"/>
        <w:right w:val="none" w:sz="0" w:space="0" w:color="auto"/>
      </w:divBdr>
    </w:div>
    <w:div w:id="1556965534">
      <w:bodyDiv w:val="1"/>
      <w:marLeft w:val="0"/>
      <w:marRight w:val="0"/>
      <w:marTop w:val="0"/>
      <w:marBottom w:val="0"/>
      <w:divBdr>
        <w:top w:val="none" w:sz="0" w:space="0" w:color="auto"/>
        <w:left w:val="none" w:sz="0" w:space="0" w:color="auto"/>
        <w:bottom w:val="none" w:sz="0" w:space="0" w:color="auto"/>
        <w:right w:val="none" w:sz="0" w:space="0" w:color="auto"/>
      </w:divBdr>
    </w:div>
    <w:div w:id="1826510116">
      <w:bodyDiv w:val="1"/>
      <w:marLeft w:val="0"/>
      <w:marRight w:val="0"/>
      <w:marTop w:val="0"/>
      <w:marBottom w:val="0"/>
      <w:divBdr>
        <w:top w:val="none" w:sz="0" w:space="0" w:color="auto"/>
        <w:left w:val="none" w:sz="0" w:space="0" w:color="auto"/>
        <w:bottom w:val="none" w:sz="0" w:space="0" w:color="auto"/>
        <w:right w:val="none" w:sz="0" w:space="0" w:color="auto"/>
      </w:divBdr>
    </w:div>
    <w:div w:id="1998069720">
      <w:bodyDiv w:val="1"/>
      <w:marLeft w:val="0"/>
      <w:marRight w:val="0"/>
      <w:marTop w:val="0"/>
      <w:marBottom w:val="0"/>
      <w:divBdr>
        <w:top w:val="none" w:sz="0" w:space="0" w:color="auto"/>
        <w:left w:val="none" w:sz="0" w:space="0" w:color="auto"/>
        <w:bottom w:val="none" w:sz="0" w:space="0" w:color="auto"/>
        <w:right w:val="none" w:sz="0" w:space="0" w:color="auto"/>
      </w:divBdr>
    </w:div>
    <w:div w:id="201499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qduffy@fit.edu" TargetMode="External"/><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Ves19</b:Tag>
    <b:SourceType>Report</b:SourceType>
    <b:Guid>{98928A02-C30E-4651-B31A-A33108E57268}</b:Guid>
    <b:Author>
      <b:Author>
        <b:NameList>
          <b:Person>
            <b:Last>Vest</b:Last>
            <b:First>Hannah</b:First>
          </b:Person>
          <b:Person>
            <b:Last>Webb</b:Last>
            <b:First>Iven</b:First>
          </b:Person>
          <b:Person>
            <b:Last>Luya</b:Last>
            <b:First>Joseph</b:First>
          </b:Person>
        </b:NameList>
      </b:Author>
    </b:Author>
    <b:Title>Florida Institute of Technology Capstone Greenhouse Gas Inventory</b:Title>
    <b:Year>2019</b:Year>
    <b:Publisher>Florida Institute of Technology College of Engineering</b:Publisher>
    <b:City>Melbourne, FL</b:City>
    <b:RefOrder>6</b:RefOrder>
  </b:Source>
  <b:Source>
    <b:Tag>Wor04</b:Tag>
    <b:SourceType>Report</b:SourceType>
    <b:Guid>{3F126C4D-3B3D-41C2-AD0D-9B72D014E38A}</b:Guid>
    <b:Author>
      <b:Author>
        <b:Corporate>World Resources Institute</b:Corporate>
      </b:Author>
    </b:Author>
    <b:Title>Greenhouse Gas Protocol</b:Title>
    <b:Year>2004</b:Year>
    <b:Publisher>WRI</b:Publisher>
    <b:City>Washington, D.C.</b:City>
    <b:RefOrder>1</b:RefOrder>
  </b:Source>
  <b:Source>
    <b:Tag>Int15</b:Tag>
    <b:SourceType>Report</b:SourceType>
    <b:Guid>{8FD0E307-3DEA-4EBC-BB1C-4DAAE1270363}</b:Guid>
    <b:Author>
      <b:Author>
        <b:Corporate>International Code Council</b:Corporate>
      </b:Author>
    </b:Author>
    <b:Title>International Energy Conservation Code</b:Title>
    <b:Year>2015</b:Year>
    <b:Publisher>ICC Publishing</b:Publisher>
    <b:City>New York, NY</b:City>
    <b:RefOrder>2</b:RefOrder>
  </b:Source>
  <b:Source>
    <b:Tag>Flo20</b:Tag>
    <b:SourceType>InternetSite</b:SourceType>
    <b:Guid>{BB2ACDD4-7CD6-4367-8750-8B031BC6ED15}</b:Guid>
    <b:Title>Office of Institutiional Research </b:Title>
    <b:Year>2020</b:Year>
    <b:Author>
      <b:Author>
        <b:Corporate>Florida Institute of Technology, Inc. </b:Corporate>
      </b:Author>
    </b:Author>
    <b:InternetSiteTitle>Florida Tech Website</b:InternetSiteTitle>
    <b:Month>March</b:Month>
    <b:Day>24</b:Day>
    <b:URL>https://www.fit.edu/institutional-research/</b:URL>
    <b:RefOrder>3</b:RefOrder>
  </b:Source>
  <b:Source>
    <b:Tag>Sta20</b:Tag>
    <b:SourceType>InternetSite</b:SourceType>
    <b:Guid>{7D99F220-91BC-460C-8733-50158AB1D01F}</b:Guid>
    <b:Author>
      <b:Author>
        <b:Corporate>State of Florida Department of State</b:Corporate>
      </b:Author>
    </b:Author>
    <b:Title>Corporate Detail by Entity Name</b:Title>
    <b:InternetSiteTitle>Division of Corporations</b:InternetSiteTitle>
    <b:Year>2020</b:Year>
    <b:Month>March</b:Month>
    <b:Day>23</b:Day>
    <b:URL>http://search.sunbiz.org/Inquiry/CorporationSearch/SearchResultDetail?inquirytype=EntityName&amp;directionType=Initial&amp;searchNameOrder=FLORIDAINSTITUTETECHNOLOGY%207086701&amp;aggregateId=domnp-708670-d60ca048-8a13-4dec-8d09-f351578cc493&amp;searchTerm=Florida%20Inst</b:URL>
    <b:RefOrder>4</b:RefOrder>
  </b:Source>
  <b:Source>
    <b:Tag>Uni201</b:Tag>
    <b:SourceType>InternetSite</b:SourceType>
    <b:Guid>{143E41DF-F830-4780-A7E2-A8C6B9B84617}</b:Guid>
    <b:Author>
      <b:Author>
        <b:Corporate>United States Department of Energy, EIA</b:Corporate>
      </b:Author>
    </b:Author>
    <b:Title>Independent Statistics &amp; Analysis</b:Title>
    <b:InternetSiteTitle>US Energy Efficiency Administration</b:InternetSiteTitle>
    <b:Year>2020</b:Year>
    <b:Month>March</b:Month>
    <b:Day>23</b:Day>
    <b:URL>https://www.eia.gov/</b:URL>
    <b:RefOrder>7</b:RefOrder>
  </b:Source>
  <b:Source>
    <b:Tag>All20</b:Tag>
    <b:SourceType>InternetSite</b:SourceType>
    <b:Guid>{922A5945-A5B0-497F-B6D5-F7A91F978DC5}</b:Guid>
    <b:Author>
      <b:Author>
        <b:Corporate>Alliance for Sustainable Energy, LLC</b:Corporate>
      </b:Author>
    </b:Author>
    <b:Title>PVWatts Calculator</b:Title>
    <b:InternetSiteTitle>National Renewable Energy Laboratory</b:InternetSiteTitle>
    <b:Year>2020</b:Year>
    <b:Month>March</b:Month>
    <b:Day>23</b:Day>
    <b:URL>https://pvwatts.nrel.gov/</b:URL>
    <b:RefOrder>5</b:RefOrder>
  </b:Source>
</b:Sources>
</file>

<file path=customXml/itemProps1.xml><?xml version="1.0" encoding="utf-8"?>
<ds:datastoreItem xmlns:ds="http://schemas.openxmlformats.org/officeDocument/2006/customXml" ds:itemID="{2357E540-3BFD-41ED-A638-52E02CFC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3694</Words>
  <Characters>21056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Florida Institute of Technology</Company>
  <LinksUpToDate>false</LinksUpToDate>
  <CharactersWithSpaces>24701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Duffy</dc:creator>
  <cp:keywords/>
  <dc:description/>
  <cp:lastModifiedBy>Quinn Duffy</cp:lastModifiedBy>
  <cp:revision>5</cp:revision>
  <cp:lastPrinted>2019-12-05T13:18:00Z</cp:lastPrinted>
  <dcterms:created xsi:type="dcterms:W3CDTF">2020-03-24T12:58:00Z</dcterms:created>
  <dcterms:modified xsi:type="dcterms:W3CDTF">2020-03-24T13:04:00Z</dcterms:modified>
</cp:coreProperties>
</file>