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1B" w:rsidRPr="000F0428" w:rsidRDefault="0013521B" w:rsidP="0013521B">
      <w:pPr>
        <w:autoSpaceDE w:val="0"/>
        <w:autoSpaceDN w:val="0"/>
        <w:adjustRightInd w:val="0"/>
        <w:contextualSpacing/>
        <w:rPr>
          <w:rFonts w:ascii="Cambria" w:hAnsi="Cambria"/>
          <w:b/>
          <w:bCs/>
          <w:noProof/>
          <w:lang w:val="ro-RO" w:eastAsia="ro-RO"/>
        </w:rPr>
      </w:pPr>
      <w:r w:rsidRPr="000F0428">
        <w:rPr>
          <w:rFonts w:ascii="Cambria" w:hAnsi="Cambria"/>
          <w:b/>
          <w:bCs/>
          <w:noProof/>
          <w:lang w:val="ro-RO" w:eastAsia="ro-RO"/>
        </w:rPr>
        <w:t xml:space="preserve">ROMÂNIA </w:t>
      </w:r>
    </w:p>
    <w:p w:rsidR="0013521B" w:rsidRPr="000F0428" w:rsidRDefault="0013521B" w:rsidP="0013521B">
      <w:pPr>
        <w:autoSpaceDE w:val="0"/>
        <w:autoSpaceDN w:val="0"/>
        <w:adjustRightInd w:val="0"/>
        <w:contextualSpacing/>
        <w:rPr>
          <w:rFonts w:ascii="Cambria" w:hAnsi="Cambria"/>
          <w:b/>
          <w:bCs/>
          <w:noProof/>
          <w:lang w:val="ro-RO" w:eastAsia="ro-RO"/>
        </w:rPr>
      </w:pPr>
      <w:r w:rsidRPr="000F0428">
        <w:rPr>
          <w:rFonts w:ascii="Cambria" w:hAnsi="Cambria"/>
          <w:b/>
          <w:bCs/>
          <w:noProof/>
          <w:lang w:val="ro-RO" w:eastAsia="ro-RO"/>
        </w:rPr>
        <w:t>JUDEŢUL CLUJ</w:t>
      </w:r>
      <w:bookmarkStart w:id="0" w:name="_GoBack"/>
      <w:bookmarkEnd w:id="0"/>
    </w:p>
    <w:p w:rsidR="0013521B" w:rsidRPr="000F0428" w:rsidRDefault="0013521B" w:rsidP="0013521B">
      <w:pPr>
        <w:autoSpaceDE w:val="0"/>
        <w:autoSpaceDN w:val="0"/>
        <w:adjustRightInd w:val="0"/>
        <w:contextualSpacing/>
        <w:rPr>
          <w:rFonts w:ascii="Cambria" w:hAnsi="Cambria"/>
          <w:b/>
          <w:bCs/>
          <w:noProof/>
          <w:lang w:val="ro-RO" w:eastAsia="ro-RO"/>
        </w:rPr>
      </w:pPr>
      <w:r w:rsidRPr="000F0428">
        <w:rPr>
          <w:rFonts w:ascii="Cambria" w:hAnsi="Cambria"/>
          <w:b/>
          <w:bCs/>
          <w:noProof/>
          <w:lang w:val="ro-RO" w:eastAsia="ro-RO"/>
        </w:rPr>
        <w:t>CONSILIUL JUDEŢEAN</w:t>
      </w:r>
    </w:p>
    <w:p w:rsidR="0013521B" w:rsidRPr="000F0428" w:rsidRDefault="0013521B" w:rsidP="0013521B">
      <w:pPr>
        <w:autoSpaceDE w:val="0"/>
        <w:autoSpaceDN w:val="0"/>
        <w:adjustRightInd w:val="0"/>
        <w:contextualSpacing/>
        <w:jc w:val="center"/>
        <w:rPr>
          <w:rFonts w:ascii="Cambria" w:hAnsi="Cambria"/>
          <w:b/>
          <w:bCs/>
          <w:lang w:val="pt-BR" w:eastAsia="ro-RO"/>
        </w:rPr>
      </w:pPr>
      <w:r w:rsidRPr="000F0428">
        <w:rPr>
          <w:rFonts w:ascii="Cambria" w:hAnsi="Cambria"/>
          <w:b/>
          <w:bCs/>
          <w:lang w:val="pt-BR" w:eastAsia="ro-RO"/>
        </w:rPr>
        <w:t xml:space="preserve">H O T Ă R Â R E </w:t>
      </w:r>
    </w:p>
    <w:p w:rsidR="0013521B" w:rsidRPr="000F0428" w:rsidRDefault="0013521B" w:rsidP="0013521B">
      <w:pPr>
        <w:jc w:val="center"/>
        <w:rPr>
          <w:rFonts w:ascii="Cambria" w:hAnsi="Cambria"/>
          <w:b/>
          <w:bCs/>
          <w:lang w:val="ro-RO"/>
        </w:rPr>
      </w:pPr>
      <w:r w:rsidRPr="000F0428">
        <w:rPr>
          <w:rFonts w:ascii="Cambria" w:hAnsi="Cambria"/>
          <w:b/>
          <w:bCs/>
          <w:lang w:val="ro-RO"/>
        </w:rPr>
        <w:t>pentru modificarea Hotărârii Consiliului Județean Cluj nr.  233</w:t>
      </w:r>
      <w:r w:rsidRPr="000F0428">
        <w:rPr>
          <w:rFonts w:ascii="Cambria" w:hAnsi="Cambria"/>
        </w:rPr>
        <w:t xml:space="preserve"> </w:t>
      </w:r>
      <w:r w:rsidRPr="000F0428">
        <w:rPr>
          <w:rFonts w:ascii="Cambria" w:hAnsi="Cambria"/>
          <w:b/>
          <w:bCs/>
          <w:lang w:val="ro-RO"/>
        </w:rPr>
        <w:t>din 31 august 2011 privind aprobarea Acordului de parteneriat între Judetul Cluj și Comuna Feleacu, în vederea realizării Proiectului “Construire Parc Industrial TETAROM IV, extindere conductă gaz și stație de reglare, extindere rețea electrică și stație de transformare, captare apă, rezervor și stație de epurare, realizarea unei hale pentru IMM-uri, Comuna Feleacu, sat Vâlcele, Județul Cluj”</w:t>
      </w:r>
    </w:p>
    <w:p w:rsidR="0013521B" w:rsidRPr="000F0428" w:rsidRDefault="0013521B" w:rsidP="0013521B">
      <w:pPr>
        <w:autoSpaceDE w:val="0"/>
        <w:autoSpaceDN w:val="0"/>
        <w:adjustRightInd w:val="0"/>
        <w:contextualSpacing/>
        <w:jc w:val="center"/>
        <w:rPr>
          <w:rFonts w:ascii="Cambria" w:hAnsi="Cambria"/>
          <w:noProof/>
          <w:lang w:eastAsia="ro-RO"/>
        </w:rPr>
      </w:pPr>
    </w:p>
    <w:p w:rsidR="0013521B" w:rsidRPr="000F0428" w:rsidRDefault="0013521B" w:rsidP="0013521B">
      <w:pPr>
        <w:tabs>
          <w:tab w:val="left" w:pos="90"/>
        </w:tabs>
        <w:autoSpaceDE w:val="0"/>
        <w:autoSpaceDN w:val="0"/>
        <w:adjustRightInd w:val="0"/>
        <w:contextualSpacing/>
        <w:jc w:val="both"/>
        <w:rPr>
          <w:rFonts w:ascii="Cambria" w:hAnsi="Cambria"/>
          <w:noProof/>
          <w:lang w:eastAsia="ro-RO"/>
        </w:rPr>
      </w:pPr>
      <w:r w:rsidRPr="000F0428">
        <w:rPr>
          <w:rFonts w:ascii="Cambria" w:hAnsi="Cambria"/>
          <w:noProof/>
          <w:lang w:eastAsia="ro-RO"/>
        </w:rPr>
        <w:tab/>
      </w:r>
      <w:r w:rsidRPr="000F0428">
        <w:rPr>
          <w:rFonts w:ascii="Cambria" w:hAnsi="Cambria"/>
          <w:noProof/>
          <w:lang w:eastAsia="ro-RO"/>
        </w:rPr>
        <w:tab/>
        <w:t xml:space="preserve"> Consiliul Judeţean Cluj întrunit în şedinţă ordinară;</w:t>
      </w:r>
    </w:p>
    <w:p w:rsidR="0013521B" w:rsidRPr="000F0428" w:rsidRDefault="0013521B" w:rsidP="0013521B">
      <w:pPr>
        <w:tabs>
          <w:tab w:val="left" w:pos="90"/>
        </w:tabs>
        <w:autoSpaceDE w:val="0"/>
        <w:autoSpaceDN w:val="0"/>
        <w:adjustRightInd w:val="0"/>
        <w:contextualSpacing/>
        <w:jc w:val="both"/>
        <w:rPr>
          <w:rFonts w:ascii="Cambria" w:hAnsi="Cambria"/>
          <w:noProof/>
          <w:lang w:eastAsia="ro-RO"/>
        </w:rPr>
      </w:pPr>
      <w:r w:rsidRPr="000F0428">
        <w:rPr>
          <w:rFonts w:ascii="Cambria" w:hAnsi="Cambria"/>
          <w:noProof/>
          <w:lang w:eastAsia="ro-RO"/>
        </w:rPr>
        <w:tab/>
      </w:r>
      <w:r w:rsidRPr="000F0428">
        <w:rPr>
          <w:rFonts w:ascii="Cambria" w:hAnsi="Cambria"/>
          <w:noProof/>
          <w:lang w:eastAsia="ro-RO"/>
        </w:rPr>
        <w:tab/>
        <w:t>Având în vedere Referatul de aprobare nr.</w:t>
      </w:r>
      <w:r w:rsidRPr="000F0428">
        <w:rPr>
          <w:rFonts w:ascii="Cambria" w:hAnsi="Cambria"/>
          <w:bCs/>
          <w:noProof/>
          <w:lang w:eastAsia="ro-RO"/>
        </w:rPr>
        <w:t xml:space="preserve"> 3341/2019 </w:t>
      </w:r>
      <w:r w:rsidRPr="000F0428">
        <w:rPr>
          <w:rFonts w:ascii="Cambria" w:hAnsi="Cambria"/>
          <w:noProof/>
          <w:lang w:eastAsia="ro-RO"/>
        </w:rPr>
        <w:t xml:space="preserve">la Proiectul de hotărâre </w:t>
      </w:r>
      <w:r w:rsidRPr="000F0428">
        <w:rPr>
          <w:rFonts w:ascii="Cambria" w:hAnsi="Cambria"/>
          <w:bCs/>
          <w:lang w:val="ro-RO"/>
        </w:rPr>
        <w:t>pentru modificarea Hotărârii Consiliului Județean Cluj nr.  233</w:t>
      </w:r>
      <w:r w:rsidRPr="000F0428">
        <w:rPr>
          <w:rFonts w:ascii="Cambria" w:hAnsi="Cambria"/>
        </w:rPr>
        <w:t xml:space="preserve"> </w:t>
      </w:r>
      <w:r w:rsidRPr="000F0428">
        <w:rPr>
          <w:rFonts w:ascii="Cambria" w:hAnsi="Cambria"/>
          <w:bCs/>
          <w:lang w:val="ro-RO"/>
        </w:rPr>
        <w:t>din 31 august 2011 privind aprobarea Acordului de parteneriat între Județul Cluj și Comuna Feleacu, în vederea realizării Proiectului “Construire Parc Industrial TETAROM IV, extindere conductă gaz și stație de reglare, extindere rețea electrică și stație de transformare, captare apă, rezervor și stație de epurare, realizarea unei hale pentru IMM-uri, Comuna Feleacu, sat Vâlcele, Județul Cluj”</w:t>
      </w:r>
      <w:r w:rsidRPr="000F0428">
        <w:rPr>
          <w:rFonts w:ascii="Cambria" w:hAnsi="Cambria"/>
          <w:noProof/>
          <w:lang w:eastAsia="ro-RO"/>
        </w:rPr>
        <w:t>, propus de Preşedintele Consiliului Judeţean Cluj, domnul Alin Tișe, însoţit de Rapoartele compartimentelor de resort din cadrul aparatului de specialitate al Consiliului Judeţean Cluj cu nr.</w:t>
      </w:r>
      <w:r w:rsidRPr="000F0428">
        <w:rPr>
          <w:rFonts w:ascii="Cambria" w:hAnsi="Cambria"/>
          <w:bCs/>
          <w:noProof/>
          <w:lang w:eastAsia="ro-RO"/>
        </w:rPr>
        <w:t xml:space="preserve"> 3341/2019 </w:t>
      </w:r>
      <w:r w:rsidRPr="000F0428">
        <w:rPr>
          <w:rFonts w:ascii="Cambria" w:hAnsi="Cambria"/>
          <w:noProof/>
          <w:lang w:eastAsia="ro-RO"/>
        </w:rPr>
        <w:t>şi de Rapoartele Comisiilor de specialitate nr. 1, 3, 4 și 7;</w:t>
      </w:r>
    </w:p>
    <w:p w:rsidR="0013521B" w:rsidRPr="000F0428" w:rsidRDefault="0013521B" w:rsidP="0013521B">
      <w:pPr>
        <w:jc w:val="both"/>
        <w:rPr>
          <w:rFonts w:ascii="Cambria" w:hAnsi="Cambria" w:cs="Calibri Light"/>
          <w:lang w:val="ro-RO" w:eastAsia="ro-RO"/>
        </w:rPr>
      </w:pPr>
      <w:r w:rsidRPr="000F0428">
        <w:rPr>
          <w:rFonts w:ascii="Cambria" w:hAnsi="Cambria"/>
          <w:noProof/>
          <w:lang w:eastAsia="ro-RO"/>
        </w:rPr>
        <w:tab/>
      </w:r>
      <w:r w:rsidRPr="000F0428">
        <w:rPr>
          <w:rFonts w:ascii="Cambria" w:hAnsi="Cambria" w:cs="Calibri Light"/>
          <w:lang w:val="ro-RO" w:eastAsia="ro-RO"/>
        </w:rPr>
        <w:t>Luând în considerare prevederile:</w:t>
      </w:r>
    </w:p>
    <w:p w:rsidR="0013521B" w:rsidRPr="000F0428" w:rsidRDefault="0013521B" w:rsidP="0013521B">
      <w:pPr>
        <w:numPr>
          <w:ilvl w:val="0"/>
          <w:numId w:val="5"/>
        </w:numPr>
        <w:autoSpaceDE w:val="0"/>
        <w:autoSpaceDN w:val="0"/>
        <w:adjustRightInd w:val="0"/>
        <w:jc w:val="both"/>
        <w:rPr>
          <w:rFonts w:ascii="Cambria" w:hAnsi="Cambria"/>
          <w:lang w:val="ro-RO"/>
        </w:rPr>
      </w:pPr>
      <w:bookmarkStart w:id="1" w:name="_Hlk508022111"/>
      <w:r w:rsidRPr="000F0428">
        <w:rPr>
          <w:rFonts w:ascii="Cambria" w:hAnsi="Cambria" w:cs="Cambria"/>
          <w:lang w:val="ro-RO" w:eastAsia="ro-RO"/>
        </w:rPr>
        <w:t xml:space="preserve">art. 2, ale </w:t>
      </w:r>
      <w:r w:rsidRPr="000F0428">
        <w:rPr>
          <w:rFonts w:ascii="Cambria" w:hAnsi="Cambria"/>
          <w:lang w:val="ro-RO"/>
        </w:rPr>
        <w:t>art. 3 alin. (2), a</w:t>
      </w:r>
      <w:r w:rsidRPr="000F0428">
        <w:rPr>
          <w:rFonts w:ascii="Cambria" w:eastAsia="Calibri" w:hAnsi="Cambria" w:cs="Calibri Light"/>
          <w:lang w:val="ro-RO" w:eastAsia="ro-RO"/>
        </w:rPr>
        <w:t xml:space="preserve">le art. 47 alin. (4), ale art. 55 alin. (1), </w:t>
      </w:r>
      <w:r w:rsidRPr="000F0428">
        <w:rPr>
          <w:rFonts w:ascii="Cambria" w:hAnsi="Cambria" w:cs="Cambria"/>
          <w:lang w:val="ro-RO" w:eastAsia="ro-RO"/>
        </w:rPr>
        <w:t xml:space="preserve">ale art. 58 alin. (1) și (3) </w:t>
      </w:r>
      <w:r w:rsidRPr="000F0428">
        <w:rPr>
          <w:rFonts w:ascii="Cambria" w:hAnsi="Cambria"/>
          <w:lang w:val="ro-RO"/>
        </w:rPr>
        <w:t xml:space="preserve">și ale </w:t>
      </w:r>
      <w:r w:rsidRPr="000F0428">
        <w:rPr>
          <w:rFonts w:ascii="Cambria" w:hAnsi="Cambria" w:cs="Cambria"/>
          <w:lang w:val="ro-RO" w:eastAsia="ro-RO"/>
        </w:rPr>
        <w:t xml:space="preserve">art. 64 - 65 </w:t>
      </w:r>
      <w:r w:rsidRPr="000F0428">
        <w:rPr>
          <w:rFonts w:ascii="Cambria" w:hAnsi="Cambria"/>
          <w:lang w:val="ro-RO"/>
        </w:rPr>
        <w:t>din Legea privind normele de tehnică legislativă pentru elaborarea actelor normative nr. 24/2000, republicată, cu modificările și completările ulterioare;</w:t>
      </w:r>
    </w:p>
    <w:p w:rsidR="0013521B" w:rsidRPr="000F0428" w:rsidRDefault="0013521B" w:rsidP="0013521B">
      <w:pPr>
        <w:numPr>
          <w:ilvl w:val="0"/>
          <w:numId w:val="5"/>
        </w:numPr>
        <w:autoSpaceDE w:val="0"/>
        <w:autoSpaceDN w:val="0"/>
        <w:adjustRightInd w:val="0"/>
        <w:jc w:val="both"/>
        <w:rPr>
          <w:rFonts w:ascii="Cambria" w:hAnsi="Cambria"/>
          <w:lang w:val="ro-RO"/>
        </w:rPr>
      </w:pPr>
      <w:r w:rsidRPr="000F0428">
        <w:rPr>
          <w:rFonts w:ascii="Cambria" w:hAnsi="Cambria" w:cs="Cambria"/>
          <w:lang w:val="ro-RO"/>
        </w:rPr>
        <w:t xml:space="preserve">art. 141 - 155, ale art. 221 </w:t>
      </w:r>
      <w:r w:rsidRPr="000F0428">
        <w:rPr>
          <w:rFonts w:ascii="Cambria" w:hAnsi="Cambria"/>
          <w:lang w:val="ro-RO"/>
        </w:rPr>
        <w:t>și ale art. 226 din Regulamentul de organizare și funcționare a Consiliului Județean Cluj, aprobat prin Hotărârea Consiliului Județean Cluj nr. 143/2016;</w:t>
      </w:r>
    </w:p>
    <w:bookmarkEnd w:id="1"/>
    <w:p w:rsidR="0013521B" w:rsidRPr="000F0428" w:rsidRDefault="0013521B" w:rsidP="0013521B">
      <w:pPr>
        <w:autoSpaceDE w:val="0"/>
        <w:autoSpaceDN w:val="0"/>
        <w:adjustRightInd w:val="0"/>
        <w:ind w:firstLine="708"/>
        <w:contextualSpacing/>
        <w:jc w:val="both"/>
        <w:rPr>
          <w:rFonts w:ascii="Cambria" w:hAnsi="Cambria"/>
          <w:lang w:val="ro-RO" w:eastAsia="ro-RO" w:bidi="ne-NP"/>
        </w:rPr>
      </w:pPr>
      <w:r w:rsidRPr="000F0428">
        <w:rPr>
          <w:rFonts w:ascii="Cambria" w:hAnsi="Cambria"/>
          <w:lang w:val="ro-RO" w:eastAsia="ro-RO" w:bidi="ne-NP"/>
        </w:rPr>
        <w:t>În conformitate cu prevederile:</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bookmarkStart w:id="2" w:name="_Hlk4650924"/>
      <w:r w:rsidRPr="000F0428">
        <w:rPr>
          <w:rFonts w:ascii="Cambria" w:eastAsia="Calibri" w:hAnsi="Cambria"/>
          <w:lang w:val="ro-RO" w:eastAsia="ro-RO" w:bidi="ne-NP"/>
        </w:rPr>
        <w:t>art. 4, ale art. 6, ale art. 10, ale art. 14, ale art. 21 alin. (1), ale art. 36 alin. (6) lit. a) pct. 11 și 18 și alin. (7) lit. a) și ale art. 91 alin. (1) lit. e) și alin. (6) lit. a) din Legea administraţiei publice locale nr. 215/2001, republicată, cu modificările şi completările ulterioare;</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r w:rsidRPr="000F0428">
        <w:rPr>
          <w:rFonts w:ascii="Cambria" w:eastAsia="Calibri" w:hAnsi="Cambria"/>
          <w:lang w:val="ro-RO" w:eastAsia="ro-RO" w:bidi="ne-NP"/>
        </w:rPr>
        <w:t>art. 20 alin. (1) lit. e) și lit. h) -  k) și ale art. 35 din Legea privind finanțele publice locale nr. 273/2006, cu modificările și completările ulterioare;</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r w:rsidRPr="000F0428">
        <w:rPr>
          <w:rFonts w:ascii="Cambria" w:eastAsia="Calibri" w:hAnsi="Cambria"/>
          <w:lang w:val="ro-RO" w:eastAsia="ro-RO" w:bidi="ne-NP"/>
        </w:rPr>
        <w:t>art. 3 pct. 10, ale art.  5 - 6, ale art.  10 - 11, ale art. 13 și ale art. 20 din Legea privind constituirea și funcționarea parcurilor industriale nr. 186/2013, cu modificările și completările ulterioare;</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r w:rsidRPr="000F0428">
        <w:rPr>
          <w:rFonts w:ascii="Cambria" w:eastAsia="Calibri" w:hAnsi="Cambria"/>
          <w:lang w:val="ro-RO" w:eastAsia="ro-RO" w:bidi="ne-NP"/>
        </w:rPr>
        <w:t>Ordinului Ministerului Dezvoltării Regionale și Administrației Publice nr. 2.137/2013 privind acordarea celui de-al patrulea titlu de parc industrial Societății "Tetarom" - S.A.;</w:t>
      </w:r>
    </w:p>
    <w:p w:rsidR="0013521B" w:rsidRPr="000F0428" w:rsidRDefault="0013521B" w:rsidP="0013521B">
      <w:pPr>
        <w:pStyle w:val="ListParagraph"/>
        <w:numPr>
          <w:ilvl w:val="0"/>
          <w:numId w:val="4"/>
        </w:numPr>
        <w:autoSpaceDE w:val="0"/>
        <w:autoSpaceDN w:val="0"/>
        <w:adjustRightInd w:val="0"/>
        <w:jc w:val="both"/>
        <w:rPr>
          <w:rFonts w:ascii="Cambria" w:hAnsi="Cambria"/>
          <w:lang w:val="ro-RO" w:eastAsia="ro-RO" w:bidi="ne-NP"/>
        </w:rPr>
      </w:pPr>
      <w:r w:rsidRPr="000F0428">
        <w:rPr>
          <w:rFonts w:ascii="Cambria" w:hAnsi="Cambria"/>
          <w:lang w:val="ro-RO" w:eastAsia="ro-RO" w:bidi="ne-NP"/>
        </w:rPr>
        <w:t>Ordinului Ministrului Dezvoltării Regionale și Administrației Publice nr. 2.980/2013 privind aprobarea condițiilor de acordare a măsurilor de sprijin pentru investițiile realizate în parcurile industriale, cu modificările și completările ulterioare;</w:t>
      </w:r>
    </w:p>
    <w:bookmarkEnd w:id="2"/>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r w:rsidRPr="000F0428">
        <w:rPr>
          <w:rFonts w:ascii="Cambria" w:eastAsia="Calibri" w:hAnsi="Cambria"/>
          <w:lang w:val="ro-RO" w:eastAsia="ro-RO" w:bidi="ne-NP"/>
        </w:rPr>
        <w:t>Hotărârii Consiliului Județean Cluj nr. 343 din 21 decembrie 2011 privind aprobarea Actului adițional nr. 1 la Acordul de parteneriat încheiat între Judetul Cluj și Comuna Feleacu, având ca obiect realizarea Parcului Industrial Tetarom IV;</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bookmarkStart w:id="3" w:name="_Hlk4598607"/>
      <w:r w:rsidRPr="000F0428">
        <w:rPr>
          <w:rFonts w:ascii="Cambria" w:eastAsia="Calibri" w:hAnsi="Cambria"/>
          <w:lang w:val="ro-RO" w:eastAsia="ro-RO" w:bidi="ne-NP"/>
        </w:rPr>
        <w:t>Hotărârii Consiliului Județean Cluj nr.</w:t>
      </w:r>
      <w:r w:rsidRPr="000F0428">
        <w:rPr>
          <w:rFonts w:ascii="Cambria" w:hAnsi="Cambria"/>
        </w:rPr>
        <w:t xml:space="preserve"> </w:t>
      </w:r>
      <w:r w:rsidRPr="000F0428">
        <w:rPr>
          <w:rFonts w:ascii="Cambria" w:eastAsia="Calibri" w:hAnsi="Cambria"/>
          <w:lang w:val="ro-RO" w:eastAsia="ro-RO" w:bidi="ne-NP"/>
        </w:rPr>
        <w:t xml:space="preserve">339 din 19 decembrie 2012 </w:t>
      </w:r>
      <w:bookmarkEnd w:id="3"/>
      <w:r w:rsidRPr="000F0428">
        <w:rPr>
          <w:rFonts w:ascii="Cambria" w:eastAsia="Calibri" w:hAnsi="Cambria"/>
          <w:lang w:val="ro-RO" w:eastAsia="ro-RO" w:bidi="ne-NP"/>
        </w:rPr>
        <w:t>privind aprobarea Actului aditional nr. 2 la Acordul de parteneriat încheiat între Judetul Cluj și Comuna Feleacu având ca obiect realizarea Parcului Industrial Tetarom IV;</w:t>
      </w: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bookmarkStart w:id="4" w:name="_Hlk4650517"/>
      <w:r w:rsidRPr="000F0428">
        <w:rPr>
          <w:rFonts w:ascii="Cambria" w:eastAsia="Calibri" w:hAnsi="Cambria"/>
          <w:lang w:val="ro-RO" w:eastAsia="ro-RO" w:bidi="ne-NP"/>
        </w:rPr>
        <w:t xml:space="preserve">Hotărârii Consiliului Județean Cluj </w:t>
      </w:r>
      <w:bookmarkEnd w:id="4"/>
      <w:r w:rsidRPr="000F0428">
        <w:rPr>
          <w:rFonts w:ascii="Cambria" w:eastAsia="Calibri" w:hAnsi="Cambria"/>
          <w:lang w:val="ro-RO" w:eastAsia="ro-RO" w:bidi="ne-NP"/>
        </w:rPr>
        <w:t>nr. 101 din 27 martie 2013 privind aprobarea Contractului de administrare a Parcului Industrial Tetarom I;</w:t>
      </w:r>
    </w:p>
    <w:p w:rsidR="0013521B" w:rsidRPr="000F0428" w:rsidRDefault="0013521B" w:rsidP="0013521B">
      <w:pPr>
        <w:autoSpaceDE w:val="0"/>
        <w:autoSpaceDN w:val="0"/>
        <w:adjustRightInd w:val="0"/>
        <w:jc w:val="both"/>
        <w:rPr>
          <w:rFonts w:ascii="Cambria" w:eastAsia="Calibri" w:hAnsi="Cambria"/>
          <w:lang w:val="ro-RO" w:eastAsia="ro-RO" w:bidi="ne-NP"/>
        </w:rPr>
      </w:pPr>
    </w:p>
    <w:p w:rsidR="0013521B" w:rsidRPr="000F0428" w:rsidRDefault="0013521B" w:rsidP="0013521B">
      <w:pPr>
        <w:autoSpaceDE w:val="0"/>
        <w:autoSpaceDN w:val="0"/>
        <w:adjustRightInd w:val="0"/>
        <w:jc w:val="both"/>
        <w:rPr>
          <w:rFonts w:ascii="Cambria" w:eastAsia="Calibri" w:hAnsi="Cambria"/>
          <w:lang w:val="ro-RO" w:eastAsia="ro-RO" w:bidi="ne-NP"/>
        </w:rPr>
      </w:pPr>
    </w:p>
    <w:p w:rsidR="0013521B" w:rsidRPr="000F0428" w:rsidRDefault="0013521B" w:rsidP="0013521B">
      <w:pPr>
        <w:pStyle w:val="ListParagraph"/>
        <w:numPr>
          <w:ilvl w:val="0"/>
          <w:numId w:val="4"/>
        </w:numPr>
        <w:autoSpaceDE w:val="0"/>
        <w:autoSpaceDN w:val="0"/>
        <w:adjustRightInd w:val="0"/>
        <w:jc w:val="both"/>
        <w:rPr>
          <w:rFonts w:ascii="Cambria" w:eastAsia="Calibri" w:hAnsi="Cambria"/>
          <w:lang w:val="ro-RO" w:eastAsia="ro-RO" w:bidi="ne-NP"/>
        </w:rPr>
      </w:pPr>
      <w:bookmarkStart w:id="5" w:name="_Hlk4650963"/>
      <w:r w:rsidRPr="000F0428">
        <w:rPr>
          <w:rFonts w:ascii="Cambria" w:eastAsia="Calibri" w:hAnsi="Cambria"/>
          <w:lang w:val="ro-RO" w:eastAsia="ro-RO" w:bidi="ne-NP"/>
        </w:rPr>
        <w:t>Hotărârii Consiliului Județean Cluj 102 din 30 aprilie 2015 privind inițierea demersurilor în vederea încetării Contractului de finanțare nr. 3665 din 29.03.2012, aferent Proiectului “Parc Industrial TETAROM IV”;</w:t>
      </w:r>
    </w:p>
    <w:bookmarkEnd w:id="5"/>
    <w:p w:rsidR="0013521B" w:rsidRPr="000F0428" w:rsidRDefault="0013521B" w:rsidP="0013521B">
      <w:pPr>
        <w:pStyle w:val="BodyText2"/>
        <w:spacing w:after="0" w:line="240" w:lineRule="auto"/>
        <w:ind w:right="-1" w:firstLine="708"/>
        <w:contextualSpacing/>
        <w:jc w:val="both"/>
        <w:rPr>
          <w:rFonts w:ascii="Cambria" w:hAnsi="Cambria"/>
        </w:rPr>
      </w:pPr>
      <w:r w:rsidRPr="000F0428">
        <w:rPr>
          <w:rFonts w:ascii="Cambria" w:hAnsi="Cambria"/>
        </w:rPr>
        <w:t>Fiind îndeplinite prevederile cuprinse la art. 94-98 coroborate cu cele ale art. 44-46 din Legea administraţiei publice locale nr. 215/2001, republicată, cu modificările şi completările ulterioare;</w:t>
      </w:r>
    </w:p>
    <w:p w:rsidR="0013521B" w:rsidRPr="000F0428" w:rsidRDefault="0013521B" w:rsidP="0013521B">
      <w:pPr>
        <w:pStyle w:val="BodyText2"/>
        <w:spacing w:after="0" w:line="240" w:lineRule="auto"/>
        <w:ind w:right="-1" w:firstLine="708"/>
        <w:contextualSpacing/>
        <w:jc w:val="both"/>
        <w:rPr>
          <w:rFonts w:ascii="Cambria" w:hAnsi="Cambria"/>
        </w:rPr>
      </w:pPr>
      <w:r w:rsidRPr="000F0428">
        <w:rPr>
          <w:rFonts w:ascii="Cambria" w:hAnsi="Cambria"/>
        </w:rPr>
        <w:t>În temeiul drepturilor conferite prin art. 97 alin. (1) şi prin art. 115 alin. (1) lit. c) din Legea administraţiei publice locale nr. 215/2001, republicată, cu modificările şi completările ulterioare;</w:t>
      </w:r>
    </w:p>
    <w:p w:rsidR="0013521B" w:rsidRPr="000F0428" w:rsidRDefault="0013521B" w:rsidP="0013521B">
      <w:pPr>
        <w:tabs>
          <w:tab w:val="left" w:pos="90"/>
        </w:tabs>
        <w:autoSpaceDE w:val="0"/>
        <w:autoSpaceDN w:val="0"/>
        <w:adjustRightInd w:val="0"/>
        <w:contextualSpacing/>
        <w:jc w:val="center"/>
        <w:rPr>
          <w:rFonts w:ascii="Cambria" w:hAnsi="Cambria"/>
          <w:b/>
          <w:bCs/>
          <w:noProof/>
          <w:lang w:eastAsia="ro-RO"/>
        </w:rPr>
      </w:pPr>
      <w:r w:rsidRPr="000F0428">
        <w:rPr>
          <w:rFonts w:ascii="Cambria" w:hAnsi="Cambria"/>
          <w:b/>
          <w:bCs/>
          <w:noProof/>
          <w:lang w:eastAsia="ro-RO"/>
        </w:rPr>
        <w:t>hotărăşte:</w:t>
      </w:r>
    </w:p>
    <w:p w:rsidR="0013521B" w:rsidRPr="000F0428" w:rsidRDefault="0013521B" w:rsidP="0013521B">
      <w:pPr>
        <w:tabs>
          <w:tab w:val="left" w:pos="90"/>
        </w:tabs>
        <w:autoSpaceDE w:val="0"/>
        <w:autoSpaceDN w:val="0"/>
        <w:adjustRightInd w:val="0"/>
        <w:contextualSpacing/>
        <w:jc w:val="center"/>
        <w:rPr>
          <w:rFonts w:ascii="Cambria" w:hAnsi="Cambria"/>
          <w:b/>
          <w:bCs/>
          <w:noProof/>
          <w:lang w:eastAsia="ro-RO"/>
        </w:rPr>
      </w:pPr>
    </w:p>
    <w:p w:rsidR="0013521B" w:rsidRPr="000F0428" w:rsidRDefault="0013521B" w:rsidP="0013521B">
      <w:pPr>
        <w:ind w:firstLine="709"/>
        <w:contextualSpacing/>
        <w:jc w:val="both"/>
        <w:rPr>
          <w:rFonts w:ascii="Cambria" w:hAnsi="Cambria"/>
          <w:lang w:val="ro-RO"/>
        </w:rPr>
      </w:pPr>
      <w:r w:rsidRPr="000F0428">
        <w:rPr>
          <w:rFonts w:ascii="Cambria" w:hAnsi="Cambria"/>
          <w:b/>
          <w:bCs/>
          <w:lang w:val="ro-RO"/>
        </w:rPr>
        <w:t>Art. I.</w:t>
      </w:r>
      <w:r w:rsidRPr="000F0428">
        <w:rPr>
          <w:rFonts w:ascii="Cambria" w:hAnsi="Cambria"/>
          <w:b/>
          <w:lang w:val="ro-RO"/>
        </w:rPr>
        <w:t xml:space="preserve"> </w:t>
      </w:r>
      <w:r w:rsidRPr="000F0428">
        <w:rPr>
          <w:rFonts w:ascii="Cambria" w:hAnsi="Cambria"/>
          <w:lang w:val="ro-RO"/>
        </w:rPr>
        <w:t>Hotărârea Consiliului Județean Cluj nr.  233 din 31 august 2011 privind aprobarea Acordului de parteneriat între Județul Cluj și Comuna Feleacu, în vederea realizării Proiectului “Construire Parc Industrial TETAROM IV, extindere conductă gaz și stație de reglare, extindere rețea electrică și stație de transformare, captare apă, rezervor și stație de epurare, realizarea unei hale pentru IMM-uri, Comuna Feleacu, sat Vâlcele” se modifică după cum urmează:</w:t>
      </w:r>
    </w:p>
    <w:p w:rsidR="0013521B" w:rsidRPr="000F0428" w:rsidRDefault="0013521B" w:rsidP="0013521B">
      <w:pPr>
        <w:pStyle w:val="ListParagraph"/>
        <w:numPr>
          <w:ilvl w:val="0"/>
          <w:numId w:val="11"/>
        </w:numPr>
        <w:jc w:val="both"/>
        <w:rPr>
          <w:rFonts w:ascii="Cambria" w:hAnsi="Cambria"/>
          <w:lang w:val="ro-RO"/>
        </w:rPr>
      </w:pPr>
      <w:r w:rsidRPr="000F0428">
        <w:rPr>
          <w:rFonts w:ascii="Cambria" w:hAnsi="Cambria"/>
          <w:lang w:val="ro-RO"/>
        </w:rPr>
        <w:t>Titlul va avea următorul cuprins:</w:t>
      </w:r>
    </w:p>
    <w:p w:rsidR="0013521B" w:rsidRPr="000F0428" w:rsidRDefault="0013521B" w:rsidP="0013521B">
      <w:pPr>
        <w:jc w:val="both"/>
        <w:rPr>
          <w:rFonts w:ascii="Cambria" w:hAnsi="Cambria"/>
          <w:lang w:val="ro-RO"/>
        </w:rPr>
      </w:pPr>
      <w:r w:rsidRPr="000F0428">
        <w:rPr>
          <w:rFonts w:ascii="Cambria" w:hAnsi="Cambria"/>
        </w:rPr>
        <w:tab/>
        <w:t>“</w:t>
      </w:r>
      <w:r w:rsidRPr="000F0428">
        <w:rPr>
          <w:rFonts w:ascii="Cambria" w:hAnsi="Cambria"/>
          <w:lang w:val="ro-RO"/>
        </w:rPr>
        <w:t xml:space="preserve">Hotărârea Consiliului Județean Cluj nr.  233 din 31 august 2011 privind aprobarea asocierii Județului Cluj cu Comuna </w:t>
      </w:r>
      <w:bookmarkStart w:id="6" w:name="_Hlk4596672"/>
      <w:r w:rsidRPr="000F0428">
        <w:rPr>
          <w:rFonts w:ascii="Cambria" w:hAnsi="Cambria"/>
          <w:lang w:val="ro-RO"/>
        </w:rPr>
        <w:t xml:space="preserve">Feleacu și societatea Tetarom S.A. </w:t>
      </w:r>
      <w:bookmarkEnd w:id="6"/>
      <w:r w:rsidRPr="000F0428">
        <w:rPr>
          <w:rFonts w:ascii="Cambria" w:hAnsi="Cambria"/>
          <w:lang w:val="ro-RO"/>
        </w:rPr>
        <w:t>în vederea realizării Parcului industrial Tetarom IV”.</w:t>
      </w:r>
    </w:p>
    <w:p w:rsidR="0013521B" w:rsidRPr="000F0428" w:rsidRDefault="0013521B" w:rsidP="0013521B">
      <w:pPr>
        <w:pStyle w:val="ListParagraph"/>
        <w:numPr>
          <w:ilvl w:val="0"/>
          <w:numId w:val="11"/>
        </w:numPr>
        <w:jc w:val="both"/>
        <w:rPr>
          <w:rFonts w:ascii="Cambria" w:hAnsi="Cambria"/>
          <w:lang w:val="ro-RO"/>
        </w:rPr>
      </w:pPr>
      <w:r w:rsidRPr="000F0428">
        <w:rPr>
          <w:rFonts w:ascii="Cambria" w:hAnsi="Cambria"/>
          <w:lang w:val="ro-RO"/>
        </w:rPr>
        <w:t>Articolul 1 se modifică și va avea următorul conținut:</w:t>
      </w:r>
    </w:p>
    <w:p w:rsidR="0013521B" w:rsidRPr="000F0428" w:rsidRDefault="0013521B" w:rsidP="0013521B">
      <w:pPr>
        <w:tabs>
          <w:tab w:val="left" w:pos="90"/>
        </w:tabs>
        <w:autoSpaceDE w:val="0"/>
        <w:autoSpaceDN w:val="0"/>
        <w:adjustRightInd w:val="0"/>
        <w:ind w:firstLine="720"/>
        <w:jc w:val="both"/>
        <w:rPr>
          <w:rFonts w:ascii="Cambria" w:hAnsi="Cambria"/>
          <w:lang w:val="ro-RO"/>
        </w:rPr>
      </w:pPr>
      <w:r w:rsidRPr="000F0428">
        <w:rPr>
          <w:rFonts w:ascii="Cambria" w:hAnsi="Cambria"/>
          <w:lang w:val="ro-RO"/>
        </w:rPr>
        <w:t>„</w:t>
      </w:r>
      <w:r w:rsidRPr="000F0428">
        <w:rPr>
          <w:rFonts w:ascii="Cambria" w:hAnsi="Cambria"/>
          <w:b/>
          <w:lang w:val="ro-RO"/>
        </w:rPr>
        <w:t>Art. 1.</w:t>
      </w:r>
      <w:r w:rsidRPr="000F0428">
        <w:rPr>
          <w:rFonts w:ascii="Cambria" w:hAnsi="Cambria"/>
          <w:lang w:val="ro-RO"/>
        </w:rPr>
        <w:t xml:space="preserve"> </w:t>
      </w:r>
      <w:r w:rsidRPr="000F0428">
        <w:rPr>
          <w:rFonts w:ascii="Cambria" w:eastAsia="Calibri" w:hAnsi="Cambria" w:cs="Calibri"/>
          <w:lang w:val="ro-RO"/>
        </w:rPr>
        <w:t>Se aprobă asocierea Județului Cluj cu Comuna Feleacu și societatea Tetarom S.A.  în vederea realizării infrastructurii Parcului industrial Tetarom IV, conform contractului-cadru de asociere cuprins în anexa care face parte integrantă din prezenta hotărâre.</w:t>
      </w:r>
      <w:r w:rsidRPr="000F0428">
        <w:rPr>
          <w:rFonts w:ascii="Cambria" w:hAnsi="Cambria"/>
          <w:lang w:val="ro-RO"/>
        </w:rPr>
        <w:t>”</w:t>
      </w:r>
    </w:p>
    <w:p w:rsidR="0013521B" w:rsidRPr="000F0428" w:rsidRDefault="0013521B" w:rsidP="0013521B">
      <w:pPr>
        <w:pStyle w:val="ListParagraph"/>
        <w:numPr>
          <w:ilvl w:val="0"/>
          <w:numId w:val="11"/>
        </w:numPr>
        <w:jc w:val="both"/>
        <w:rPr>
          <w:rFonts w:ascii="Cambria" w:hAnsi="Cambria"/>
          <w:lang w:val="ro-RO"/>
        </w:rPr>
      </w:pPr>
      <w:r w:rsidRPr="000F0428">
        <w:rPr>
          <w:rFonts w:ascii="Cambria" w:hAnsi="Cambria"/>
          <w:lang w:val="ro-RO"/>
        </w:rPr>
        <w:t>Articolul 2 se modifică și va avea următorul conținut:</w:t>
      </w:r>
    </w:p>
    <w:p w:rsidR="0013521B" w:rsidRPr="000F0428" w:rsidRDefault="0013521B" w:rsidP="0013521B">
      <w:pPr>
        <w:ind w:firstLine="360"/>
        <w:jc w:val="both"/>
        <w:rPr>
          <w:rFonts w:ascii="Cambria" w:hAnsi="Cambria"/>
          <w:lang w:val="ro-RO"/>
        </w:rPr>
      </w:pPr>
      <w:r w:rsidRPr="000F0428">
        <w:rPr>
          <w:rFonts w:ascii="Cambria" w:hAnsi="Cambria"/>
          <w:b/>
          <w:lang w:val="ro-RO"/>
        </w:rPr>
        <w:tab/>
        <w:t>„Art. 1.</w:t>
      </w:r>
      <w:r w:rsidRPr="000F0428">
        <w:rPr>
          <w:rFonts w:ascii="Cambria" w:hAnsi="Cambria"/>
          <w:lang w:val="ro-RO"/>
        </w:rPr>
        <w:t xml:space="preserve"> </w:t>
      </w:r>
      <w:r w:rsidRPr="000F0428">
        <w:rPr>
          <w:rFonts w:ascii="Cambria" w:hAnsi="Cambria"/>
          <w:b/>
          <w:lang w:val="ro-RO"/>
        </w:rPr>
        <w:t>(1)</w:t>
      </w:r>
      <w:r w:rsidRPr="000F0428">
        <w:rPr>
          <w:rFonts w:ascii="Cambria" w:hAnsi="Cambria"/>
          <w:lang w:val="ro-RO"/>
        </w:rPr>
        <w:t xml:space="preserve"> Se mandatează societatea Tetarom S.A., </w:t>
      </w:r>
      <w:bookmarkStart w:id="7" w:name="_Hlk4656294"/>
      <w:r w:rsidRPr="000F0428">
        <w:rPr>
          <w:rFonts w:ascii="Cambria" w:hAnsi="Cambria"/>
          <w:lang w:val="ro-RO"/>
        </w:rPr>
        <w:t>ca în numele și pe seama Județului Cluj, să stabilească, în colaborare cu Comuna Feleacu, următoarele:</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forma finală a contractului de asociere;</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strategia de organizare, funcționare și dezvoltare a parcului industrial;</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modalitățile de realizare a infrastructurii parcului industrial;</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procedura de selecționare a rezidenților parcului industrial;</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contractul-cadru de administrare și prestări de servicii conexe;</w:t>
      </w:r>
    </w:p>
    <w:p w:rsidR="0013521B" w:rsidRPr="000F0428" w:rsidRDefault="0013521B" w:rsidP="0013521B">
      <w:pPr>
        <w:pStyle w:val="ListParagraph"/>
        <w:numPr>
          <w:ilvl w:val="0"/>
          <w:numId w:val="12"/>
        </w:numPr>
        <w:jc w:val="both"/>
        <w:rPr>
          <w:rFonts w:ascii="Cambria" w:hAnsi="Cambria"/>
          <w:lang w:val="ro-RO"/>
        </w:rPr>
      </w:pPr>
      <w:r w:rsidRPr="000F0428">
        <w:rPr>
          <w:rFonts w:ascii="Cambria" w:hAnsi="Cambria"/>
          <w:lang w:val="ro-RO"/>
        </w:rPr>
        <w:t>destinația unităților.</w:t>
      </w:r>
    </w:p>
    <w:bookmarkEnd w:id="7"/>
    <w:p w:rsidR="0013521B" w:rsidRPr="000F0428" w:rsidRDefault="0013521B" w:rsidP="0013521B">
      <w:pPr>
        <w:pStyle w:val="ListParagraph"/>
        <w:ind w:left="0"/>
        <w:jc w:val="both"/>
        <w:rPr>
          <w:rFonts w:ascii="Cambria" w:hAnsi="Cambria"/>
          <w:lang w:val="ro-RO"/>
        </w:rPr>
      </w:pPr>
      <w:r w:rsidRPr="000F0428">
        <w:rPr>
          <w:rFonts w:ascii="Cambria" w:hAnsi="Cambria"/>
          <w:b/>
          <w:lang w:val="ro-RO"/>
        </w:rPr>
        <w:tab/>
        <w:t>(2)</w:t>
      </w:r>
      <w:r w:rsidRPr="000F0428">
        <w:rPr>
          <w:rFonts w:ascii="Cambria" w:hAnsi="Cambria"/>
          <w:lang w:val="ro-RO"/>
        </w:rPr>
        <w:t xml:space="preserve"> Regulamentele și documentele elaborate potrivit alin. (1) vor fi supuse aprobării Consiliului Județean Cluj.”</w:t>
      </w:r>
    </w:p>
    <w:p w:rsidR="0013521B" w:rsidRPr="000F0428" w:rsidRDefault="0013521B" w:rsidP="0013521B">
      <w:pPr>
        <w:pStyle w:val="ListParagraph"/>
        <w:ind w:left="0"/>
        <w:jc w:val="both"/>
        <w:rPr>
          <w:rFonts w:ascii="Cambria" w:hAnsi="Cambria"/>
          <w:lang w:val="ro-RO"/>
        </w:rPr>
      </w:pPr>
      <w:r w:rsidRPr="000F0428">
        <w:rPr>
          <w:rFonts w:ascii="Cambria" w:hAnsi="Cambria"/>
          <w:lang w:val="ro-RO"/>
        </w:rPr>
        <w:tab/>
      </w:r>
      <w:r w:rsidRPr="000F0428">
        <w:rPr>
          <w:rFonts w:ascii="Cambria" w:hAnsi="Cambria"/>
          <w:b/>
          <w:lang w:val="ro-RO"/>
        </w:rPr>
        <w:t>4.</w:t>
      </w:r>
      <w:r w:rsidRPr="000F0428">
        <w:rPr>
          <w:rFonts w:ascii="Cambria" w:hAnsi="Cambria"/>
          <w:lang w:val="ro-RO"/>
        </w:rPr>
        <w:t xml:space="preserve"> Anexa ”</w:t>
      </w:r>
      <w:r w:rsidRPr="000F0428">
        <w:rPr>
          <w:rFonts w:ascii="Cambria" w:hAnsi="Cambria"/>
        </w:rPr>
        <w:t xml:space="preserve">ACORD DE PARTENERIAT” </w:t>
      </w:r>
      <w:r w:rsidRPr="000F0428">
        <w:rPr>
          <w:rFonts w:ascii="Cambria" w:hAnsi="Cambria"/>
          <w:lang w:val="ro-RO"/>
        </w:rPr>
        <w:t xml:space="preserve">se modifică și se înlocuiește cu </w:t>
      </w:r>
      <w:r w:rsidRPr="000F0428">
        <w:rPr>
          <w:rFonts w:ascii="Cambria" w:hAnsi="Cambria"/>
          <w:b/>
          <w:lang w:val="ro-RO"/>
        </w:rPr>
        <w:t xml:space="preserve">anexa </w:t>
      </w:r>
      <w:r w:rsidRPr="000F0428">
        <w:rPr>
          <w:rFonts w:ascii="Cambria" w:hAnsi="Cambria"/>
          <w:lang w:val="ro-RO"/>
        </w:rPr>
        <w:t>care face parte integrantă din</w:t>
      </w:r>
      <w:r w:rsidRPr="000F0428">
        <w:rPr>
          <w:rFonts w:ascii="Cambria" w:hAnsi="Cambria"/>
          <w:b/>
          <w:lang w:val="ro-RO"/>
        </w:rPr>
        <w:t xml:space="preserve"> </w:t>
      </w:r>
      <w:r w:rsidRPr="000F0428">
        <w:rPr>
          <w:rFonts w:ascii="Cambria" w:hAnsi="Cambria"/>
          <w:lang w:val="ro-RO"/>
        </w:rPr>
        <w:t>prezenta hotărâre.</w:t>
      </w:r>
    </w:p>
    <w:p w:rsidR="0013521B" w:rsidRPr="000F0428" w:rsidRDefault="0013521B" w:rsidP="0013521B">
      <w:pPr>
        <w:pStyle w:val="ListParagraph"/>
        <w:ind w:left="0"/>
        <w:jc w:val="both"/>
        <w:rPr>
          <w:rFonts w:ascii="Cambria" w:hAnsi="Cambria"/>
          <w:lang w:val="ro-RO"/>
        </w:rPr>
      </w:pPr>
    </w:p>
    <w:p w:rsidR="0013521B" w:rsidRPr="000F0428" w:rsidRDefault="0013521B" w:rsidP="0013521B">
      <w:pPr>
        <w:ind w:firstLine="720"/>
        <w:jc w:val="both"/>
        <w:rPr>
          <w:rFonts w:ascii="Cambria" w:eastAsia="Calibri" w:hAnsi="Cambria" w:cs="Calibri"/>
          <w:lang w:val="en-GB"/>
        </w:rPr>
      </w:pPr>
      <w:r w:rsidRPr="000F0428">
        <w:rPr>
          <w:rFonts w:ascii="Cambria" w:hAnsi="Cambria"/>
          <w:b/>
          <w:lang w:val="ro-RO"/>
        </w:rPr>
        <w:t xml:space="preserve">Art. II. </w:t>
      </w:r>
      <w:r w:rsidRPr="000F0428">
        <w:rPr>
          <w:rFonts w:ascii="Cambria" w:eastAsia="Calibri" w:hAnsi="Cambria" w:cs="Calibri"/>
          <w:lang w:val="en-GB"/>
        </w:rPr>
        <w:t>Cu punerea în aplicare a prevederilor prezentei hotărâri se încredinţează Preşedintele Consiliului Judeţean Cluj, prin societatea Tetarom S.A.</w:t>
      </w:r>
    </w:p>
    <w:p w:rsidR="0013521B" w:rsidRPr="000F0428" w:rsidRDefault="0013521B" w:rsidP="0013521B">
      <w:pPr>
        <w:ind w:firstLine="720"/>
        <w:jc w:val="both"/>
        <w:rPr>
          <w:rFonts w:ascii="Cambria" w:eastAsia="Calibri" w:hAnsi="Cambria" w:cs="Calibri"/>
          <w:lang w:val="en-GB"/>
        </w:rPr>
      </w:pPr>
    </w:p>
    <w:p w:rsidR="0013521B" w:rsidRPr="000F0428" w:rsidRDefault="0013521B" w:rsidP="0013521B">
      <w:pPr>
        <w:autoSpaceDE w:val="0"/>
        <w:autoSpaceDN w:val="0"/>
        <w:adjustRightInd w:val="0"/>
        <w:ind w:firstLine="709"/>
        <w:contextualSpacing/>
        <w:jc w:val="both"/>
        <w:rPr>
          <w:rFonts w:ascii="Cambria" w:hAnsi="Cambria"/>
        </w:rPr>
      </w:pPr>
      <w:r w:rsidRPr="000F0428">
        <w:rPr>
          <w:rFonts w:ascii="Cambria" w:hAnsi="Cambria"/>
          <w:b/>
          <w:lang w:eastAsia="ro-RO"/>
        </w:rPr>
        <w:t>Art. III.</w:t>
      </w:r>
      <w:r w:rsidRPr="000F0428">
        <w:rPr>
          <w:rFonts w:ascii="Cambria" w:hAnsi="Cambria"/>
        </w:rPr>
        <w:t xml:space="preserve"> Prezenta hotărâre se comunică prin intermediul secretarului judeţului, în termenul prevăzut de lege, societății Tetarom S.A.; </w:t>
      </w:r>
      <w:r w:rsidRPr="000F0428">
        <w:rPr>
          <w:rFonts w:ascii="Cambria" w:hAnsi="Cambria"/>
          <w:lang w:val="ro-RO"/>
        </w:rPr>
        <w:t>Comunei Feleacu,</w:t>
      </w:r>
      <w:r w:rsidRPr="000F0428">
        <w:rPr>
          <w:rFonts w:ascii="Cambria" w:hAnsi="Cambria"/>
        </w:rPr>
        <w:t xml:space="preserve"> precum şi Prefectului Judeţului Cluj şi se aduce la cunoştinţa publică prin afişarea la sediul Consiliului Judeţean Cluj şi postare pe pagina de internet ”</w:t>
      </w:r>
      <w:hyperlink r:id="rId5" w:history="1">
        <w:r w:rsidRPr="000F0428">
          <w:rPr>
            <w:rStyle w:val="Hyperlink"/>
            <w:rFonts w:ascii="Cambria" w:hAnsi="Cambria"/>
            <w:color w:val="auto"/>
            <w:u w:val="none"/>
          </w:rPr>
          <w:t>www.cjcluj.ro</w:t>
        </w:r>
      </w:hyperlink>
      <w:r w:rsidRPr="000F0428">
        <w:rPr>
          <w:rStyle w:val="Hyperlink"/>
          <w:rFonts w:ascii="Cambria" w:hAnsi="Cambria"/>
          <w:color w:val="auto"/>
          <w:u w:val="none"/>
        </w:rPr>
        <w:t>”.</w:t>
      </w:r>
      <w:r w:rsidRPr="000F0428">
        <w:rPr>
          <w:rFonts w:ascii="Cambria" w:hAnsi="Cambria"/>
        </w:rPr>
        <w:t xml:space="preserve"> </w:t>
      </w:r>
    </w:p>
    <w:p w:rsidR="0013521B" w:rsidRPr="000F0428" w:rsidRDefault="0013521B" w:rsidP="0013521B">
      <w:pPr>
        <w:autoSpaceDE w:val="0"/>
        <w:autoSpaceDN w:val="0"/>
        <w:adjustRightInd w:val="0"/>
        <w:ind w:left="5760" w:firstLine="720"/>
        <w:contextualSpacing/>
        <w:rPr>
          <w:rFonts w:ascii="Cambria" w:hAnsi="Cambria"/>
          <w:b/>
          <w:bCs/>
          <w:noProof/>
          <w:lang w:eastAsia="ro-RO"/>
        </w:rPr>
      </w:pPr>
      <w:r w:rsidRPr="000F0428">
        <w:rPr>
          <w:rFonts w:ascii="Cambria" w:hAnsi="Cambria"/>
          <w:b/>
          <w:bCs/>
          <w:noProof/>
          <w:lang w:eastAsia="ro-RO"/>
        </w:rPr>
        <w:t>Contrasemnează:</w:t>
      </w:r>
    </w:p>
    <w:p w:rsidR="0013521B" w:rsidRPr="000F0428" w:rsidRDefault="0013521B" w:rsidP="0013521B">
      <w:pPr>
        <w:autoSpaceDE w:val="0"/>
        <w:autoSpaceDN w:val="0"/>
        <w:adjustRightInd w:val="0"/>
        <w:contextualSpacing/>
        <w:rPr>
          <w:rFonts w:ascii="Cambria" w:hAnsi="Cambria"/>
          <w:b/>
          <w:bCs/>
          <w:noProof/>
          <w:lang w:eastAsia="ro-RO"/>
        </w:rPr>
      </w:pPr>
      <w:r w:rsidRPr="000F0428">
        <w:rPr>
          <w:rFonts w:ascii="Cambria" w:hAnsi="Cambria"/>
          <w:b/>
          <w:bCs/>
          <w:noProof/>
          <w:lang w:eastAsia="ro-RO"/>
        </w:rPr>
        <w:t xml:space="preserve">                  PREŞEDINTE,</w:t>
      </w:r>
      <w:r w:rsidRPr="000F0428">
        <w:rPr>
          <w:rFonts w:ascii="Cambria" w:hAnsi="Cambria"/>
          <w:b/>
          <w:bCs/>
          <w:noProof/>
          <w:lang w:eastAsia="ro-RO"/>
        </w:rPr>
        <w:tab/>
      </w:r>
      <w:r w:rsidRPr="000F0428">
        <w:rPr>
          <w:rFonts w:ascii="Cambria" w:hAnsi="Cambria"/>
          <w:b/>
          <w:bCs/>
          <w:noProof/>
          <w:lang w:eastAsia="ro-RO"/>
        </w:rPr>
        <w:tab/>
      </w:r>
      <w:r w:rsidRPr="000F0428">
        <w:rPr>
          <w:rFonts w:ascii="Cambria" w:hAnsi="Cambria"/>
          <w:b/>
          <w:bCs/>
          <w:noProof/>
          <w:lang w:eastAsia="ro-RO"/>
        </w:rPr>
        <w:tab/>
      </w:r>
      <w:r w:rsidRPr="000F0428">
        <w:rPr>
          <w:rFonts w:ascii="Cambria" w:hAnsi="Cambria"/>
          <w:b/>
          <w:bCs/>
          <w:noProof/>
          <w:lang w:eastAsia="ro-RO"/>
        </w:rPr>
        <w:tab/>
        <w:t xml:space="preserve">     </w:t>
      </w:r>
      <w:r w:rsidRPr="000F0428">
        <w:rPr>
          <w:rFonts w:ascii="Cambria" w:hAnsi="Cambria"/>
          <w:b/>
          <w:bCs/>
          <w:noProof/>
          <w:lang w:eastAsia="ro-RO"/>
        </w:rPr>
        <w:tab/>
        <w:t xml:space="preserve">   SECRETAR AL JUDEŢULUI,</w:t>
      </w:r>
    </w:p>
    <w:p w:rsidR="0013521B" w:rsidRPr="000F0428" w:rsidRDefault="0013521B" w:rsidP="0013521B">
      <w:pPr>
        <w:autoSpaceDE w:val="0"/>
        <w:autoSpaceDN w:val="0"/>
        <w:adjustRightInd w:val="0"/>
        <w:contextualSpacing/>
        <w:rPr>
          <w:rFonts w:ascii="Cambria" w:hAnsi="Cambria"/>
          <w:b/>
          <w:bCs/>
          <w:noProof/>
          <w:lang w:eastAsia="ro-RO"/>
        </w:rPr>
      </w:pPr>
      <w:r w:rsidRPr="000F0428">
        <w:rPr>
          <w:rFonts w:ascii="Cambria" w:hAnsi="Cambria"/>
          <w:b/>
          <w:bCs/>
          <w:noProof/>
          <w:lang w:eastAsia="ro-RO"/>
        </w:rPr>
        <w:t xml:space="preserve">   </w:t>
      </w:r>
      <w:r w:rsidRPr="000F0428">
        <w:rPr>
          <w:rFonts w:ascii="Cambria" w:hAnsi="Cambria"/>
          <w:b/>
          <w:bCs/>
          <w:noProof/>
          <w:lang w:eastAsia="ro-RO"/>
        </w:rPr>
        <w:tab/>
        <w:t xml:space="preserve">         Alin Tişe                                                                                    Simona Gaci</w:t>
      </w:r>
    </w:p>
    <w:p w:rsidR="0013521B" w:rsidRPr="000F0428" w:rsidRDefault="0013521B" w:rsidP="0013521B">
      <w:pPr>
        <w:autoSpaceDE w:val="0"/>
        <w:autoSpaceDN w:val="0"/>
        <w:adjustRightInd w:val="0"/>
        <w:contextualSpacing/>
        <w:rPr>
          <w:rFonts w:ascii="Cambria" w:hAnsi="Cambria"/>
          <w:b/>
          <w:bCs/>
          <w:noProof/>
          <w:lang w:eastAsia="ro-RO"/>
        </w:rPr>
      </w:pPr>
    </w:p>
    <w:p w:rsidR="0013521B" w:rsidRPr="000F0428" w:rsidRDefault="0013521B" w:rsidP="0013521B">
      <w:pPr>
        <w:autoSpaceDE w:val="0"/>
        <w:autoSpaceDN w:val="0"/>
        <w:adjustRightInd w:val="0"/>
        <w:rPr>
          <w:rFonts w:ascii="Cambria" w:hAnsi="Cambria"/>
          <w:b/>
          <w:bCs/>
          <w:noProof/>
          <w:lang w:eastAsia="ro-RO"/>
        </w:rPr>
      </w:pPr>
    </w:p>
    <w:p w:rsidR="00F26439" w:rsidRPr="000F0428" w:rsidRDefault="00F26439" w:rsidP="00F26439">
      <w:pPr>
        <w:autoSpaceDE w:val="0"/>
        <w:autoSpaceDN w:val="0"/>
        <w:adjustRightInd w:val="0"/>
        <w:jc w:val="both"/>
        <w:rPr>
          <w:rFonts w:ascii="Cambria" w:hAnsi="Cambria"/>
          <w:b/>
        </w:rPr>
      </w:pPr>
      <w:r w:rsidRPr="000F0428">
        <w:rPr>
          <w:rFonts w:ascii="Cambria" w:hAnsi="Cambria"/>
          <w:b/>
        </w:rPr>
        <w:t xml:space="preserve">Nr. </w:t>
      </w:r>
      <w:r w:rsidR="00950121" w:rsidRPr="000F0428">
        <w:rPr>
          <w:rFonts w:ascii="Cambria" w:hAnsi="Cambria"/>
          <w:b/>
        </w:rPr>
        <w:t>40</w:t>
      </w:r>
      <w:r w:rsidRPr="000F0428">
        <w:rPr>
          <w:rFonts w:ascii="Cambria" w:hAnsi="Cambria"/>
          <w:b/>
        </w:rPr>
        <w:t xml:space="preserve"> din 29 martie 2019</w:t>
      </w:r>
    </w:p>
    <w:p w:rsidR="001F2240" w:rsidRPr="000F0428" w:rsidRDefault="00F26439" w:rsidP="00F26439">
      <w:pPr>
        <w:autoSpaceDE w:val="0"/>
        <w:autoSpaceDN w:val="0"/>
        <w:adjustRightInd w:val="0"/>
        <w:jc w:val="both"/>
        <w:rPr>
          <w:b/>
          <w:sz w:val="18"/>
          <w:szCs w:val="18"/>
        </w:rPr>
      </w:pPr>
      <w:r w:rsidRPr="000F0428">
        <w:rPr>
          <w:rFonts w:ascii="Cambria" w:hAnsi="Cambria"/>
          <w:i/>
          <w:iCs/>
          <w:sz w:val="18"/>
          <w:szCs w:val="18"/>
        </w:rPr>
        <w:t>Prezenta hotărâre a fost adoptată cu respectarea prevederilor legale privind majoritatea de voturi, astfel: 32 voturi “pentru” și 1 consilier judeţean nu a votat</w:t>
      </w:r>
      <w:r w:rsidRPr="000F0428">
        <w:rPr>
          <w:rFonts w:ascii="Cambria" w:hAnsi="Cambria"/>
          <w:i/>
          <w:sz w:val="18"/>
          <w:szCs w:val="18"/>
        </w:rPr>
        <w:t>. Consilieri judeţeni prezenţi: 33 din totalul de 37 consilieri judeţeni în funcţie.</w:t>
      </w:r>
    </w:p>
    <w:sectPr w:rsidR="001F2240" w:rsidRPr="000F0428" w:rsidSect="00BA2E78">
      <w:pgSz w:w="12240" w:h="15840"/>
      <w:pgMar w:top="284" w:right="1183"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72B"/>
    <w:multiLevelType w:val="hybridMultilevel"/>
    <w:tmpl w:val="778E045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537C2"/>
    <w:multiLevelType w:val="hybridMultilevel"/>
    <w:tmpl w:val="B2D0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BF2"/>
    <w:multiLevelType w:val="hybridMultilevel"/>
    <w:tmpl w:val="820C8A9E"/>
    <w:lvl w:ilvl="0" w:tplc="7AF0CB2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35BF"/>
    <w:multiLevelType w:val="hybridMultilevel"/>
    <w:tmpl w:val="FE5A811A"/>
    <w:lvl w:ilvl="0" w:tplc="407A18F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B00F6D"/>
    <w:multiLevelType w:val="hybridMultilevel"/>
    <w:tmpl w:val="F4AC12CE"/>
    <w:lvl w:ilvl="0" w:tplc="E92E474E">
      <w:start w:val="1"/>
      <w:numFmt w:val="lowerLetter"/>
      <w:lvlText w:val="%1)"/>
      <w:lvlJc w:val="left"/>
      <w:pPr>
        <w:ind w:left="720" w:hanging="360"/>
      </w:pPr>
      <w:rPr>
        <w:rFonts w:ascii="Cambria" w:eastAsia="Calibri"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22C5"/>
    <w:multiLevelType w:val="hybridMultilevel"/>
    <w:tmpl w:val="7138D696"/>
    <w:lvl w:ilvl="0" w:tplc="0818000B">
      <w:start w:val="1"/>
      <w:numFmt w:val="bullet"/>
      <w:lvlText w:val=""/>
      <w:lvlJc w:val="left"/>
      <w:pPr>
        <w:ind w:left="1080" w:hanging="360"/>
      </w:pPr>
      <w:rPr>
        <w:rFonts w:ascii="Wingdings" w:hAnsi="Wingdings" w:hint="default"/>
      </w:rPr>
    </w:lvl>
    <w:lvl w:ilvl="1" w:tplc="08180003">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 w15:restartNumberingAfterBreak="0">
    <w:nsid w:val="2CA579AB"/>
    <w:multiLevelType w:val="hybridMultilevel"/>
    <w:tmpl w:val="C4185F3C"/>
    <w:lvl w:ilvl="0" w:tplc="08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7" w15:restartNumberingAfterBreak="0">
    <w:nsid w:val="5312330A"/>
    <w:multiLevelType w:val="hybridMultilevel"/>
    <w:tmpl w:val="3890337C"/>
    <w:lvl w:ilvl="0" w:tplc="0409000B">
      <w:start w:val="1"/>
      <w:numFmt w:val="bullet"/>
      <w:lvlText w:val=""/>
      <w:lvlJc w:val="left"/>
      <w:pPr>
        <w:ind w:left="2851" w:hanging="360"/>
      </w:pPr>
      <w:rPr>
        <w:rFonts w:ascii="Wingdings" w:hAnsi="Wingdings"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8" w15:restartNumberingAfterBreak="0">
    <w:nsid w:val="651513B0"/>
    <w:multiLevelType w:val="hybridMultilevel"/>
    <w:tmpl w:val="39E2EFC0"/>
    <w:lvl w:ilvl="0" w:tplc="A8B49B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6C292E69"/>
    <w:multiLevelType w:val="hybridMultilevel"/>
    <w:tmpl w:val="905A615E"/>
    <w:lvl w:ilvl="0" w:tplc="BCF2318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E226B45"/>
    <w:multiLevelType w:val="hybridMultilevel"/>
    <w:tmpl w:val="BD56216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D6CE9"/>
    <w:multiLevelType w:val="hybridMultilevel"/>
    <w:tmpl w:val="E4E6F82A"/>
    <w:lvl w:ilvl="0" w:tplc="FC26FBD6">
      <w:start w:val="1"/>
      <w:numFmt w:val="upperRoman"/>
      <w:lvlText w:val="%1."/>
      <w:lvlJc w:val="left"/>
      <w:pPr>
        <w:ind w:left="1095" w:hanging="72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15" w15:restartNumberingAfterBreak="0">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7F4D0EF2"/>
    <w:multiLevelType w:val="hybridMultilevel"/>
    <w:tmpl w:val="F51E37A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6"/>
  </w:num>
  <w:num w:numId="5">
    <w:abstractNumId w:val="5"/>
  </w:num>
  <w:num w:numId="6">
    <w:abstractNumId w:val="8"/>
  </w:num>
  <w:num w:numId="7">
    <w:abstractNumId w:val="13"/>
  </w:num>
  <w:num w:numId="8">
    <w:abstractNumId w:val="0"/>
  </w:num>
  <w:num w:numId="9">
    <w:abstractNumId w:val="15"/>
  </w:num>
  <w:num w:numId="10">
    <w:abstractNumId w:val="11"/>
  </w:num>
  <w:num w:numId="11">
    <w:abstractNumId w:val="3"/>
  </w:num>
  <w:num w:numId="12">
    <w:abstractNumId w:val="12"/>
  </w:num>
  <w:num w:numId="13">
    <w:abstractNumId w:val="2"/>
  </w:num>
  <w:num w:numId="14">
    <w:abstractNumId w:val="7"/>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6B"/>
    <w:rsid w:val="00002FC2"/>
    <w:rsid w:val="00020F43"/>
    <w:rsid w:val="00036434"/>
    <w:rsid w:val="00064324"/>
    <w:rsid w:val="000A05CF"/>
    <w:rsid w:val="000C2C2D"/>
    <w:rsid w:val="000F0428"/>
    <w:rsid w:val="000F1DAF"/>
    <w:rsid w:val="00111FBD"/>
    <w:rsid w:val="0013521B"/>
    <w:rsid w:val="00174B8B"/>
    <w:rsid w:val="001F2240"/>
    <w:rsid w:val="00236D69"/>
    <w:rsid w:val="002C1F6E"/>
    <w:rsid w:val="002C62BB"/>
    <w:rsid w:val="00332CDF"/>
    <w:rsid w:val="003350FB"/>
    <w:rsid w:val="003664D2"/>
    <w:rsid w:val="003A7AE6"/>
    <w:rsid w:val="003B7492"/>
    <w:rsid w:val="00413936"/>
    <w:rsid w:val="004471E7"/>
    <w:rsid w:val="00451A1B"/>
    <w:rsid w:val="00484DD2"/>
    <w:rsid w:val="004A6207"/>
    <w:rsid w:val="004C14D1"/>
    <w:rsid w:val="004E7B6D"/>
    <w:rsid w:val="00512EB6"/>
    <w:rsid w:val="00582647"/>
    <w:rsid w:val="00590F7A"/>
    <w:rsid w:val="005A3EAD"/>
    <w:rsid w:val="005B3683"/>
    <w:rsid w:val="005F21D1"/>
    <w:rsid w:val="006510A7"/>
    <w:rsid w:val="006526A4"/>
    <w:rsid w:val="00687870"/>
    <w:rsid w:val="00694609"/>
    <w:rsid w:val="006C2A84"/>
    <w:rsid w:val="006D3CC5"/>
    <w:rsid w:val="007141F4"/>
    <w:rsid w:val="007654F9"/>
    <w:rsid w:val="0078114F"/>
    <w:rsid w:val="007939CA"/>
    <w:rsid w:val="007C51FD"/>
    <w:rsid w:val="007C5774"/>
    <w:rsid w:val="007C61A6"/>
    <w:rsid w:val="007D0A12"/>
    <w:rsid w:val="007E5283"/>
    <w:rsid w:val="007F6E54"/>
    <w:rsid w:val="00887E8F"/>
    <w:rsid w:val="008F0EAE"/>
    <w:rsid w:val="008F49AC"/>
    <w:rsid w:val="0092182D"/>
    <w:rsid w:val="00944798"/>
    <w:rsid w:val="00950121"/>
    <w:rsid w:val="009B4BCC"/>
    <w:rsid w:val="00AF2674"/>
    <w:rsid w:val="00AF6C2A"/>
    <w:rsid w:val="00B5409E"/>
    <w:rsid w:val="00B54CB9"/>
    <w:rsid w:val="00BA2E78"/>
    <w:rsid w:val="00BC366B"/>
    <w:rsid w:val="00BC7C14"/>
    <w:rsid w:val="00BF39B5"/>
    <w:rsid w:val="00C05806"/>
    <w:rsid w:val="00C235B2"/>
    <w:rsid w:val="00C76E67"/>
    <w:rsid w:val="00C9639B"/>
    <w:rsid w:val="00D04B8D"/>
    <w:rsid w:val="00D31BB7"/>
    <w:rsid w:val="00D3401C"/>
    <w:rsid w:val="00D6773D"/>
    <w:rsid w:val="00D969B7"/>
    <w:rsid w:val="00DF5652"/>
    <w:rsid w:val="00E408E8"/>
    <w:rsid w:val="00E6364C"/>
    <w:rsid w:val="00E7154B"/>
    <w:rsid w:val="00E95295"/>
    <w:rsid w:val="00ED094B"/>
    <w:rsid w:val="00EE5235"/>
    <w:rsid w:val="00F226EB"/>
    <w:rsid w:val="00F26439"/>
    <w:rsid w:val="00F84B23"/>
    <w:rsid w:val="00F901EE"/>
    <w:rsid w:val="00FA1A9E"/>
    <w:rsid w:val="00FC489B"/>
    <w:rsid w:val="00FC6B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C55A6-60D6-4412-AD98-6853CB3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6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366B"/>
    <w:pPr>
      <w:spacing w:after="120"/>
    </w:pPr>
    <w:rPr>
      <w:lang w:val="ro-RO" w:eastAsia="ro-RO"/>
    </w:rPr>
  </w:style>
  <w:style w:type="character" w:customStyle="1" w:styleId="BodyTextChar">
    <w:name w:val="Body Text Char"/>
    <w:basedOn w:val="DefaultParagraphFont"/>
    <w:link w:val="BodyText"/>
    <w:rsid w:val="00BC366B"/>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rsid w:val="00BC366B"/>
    <w:pPr>
      <w:spacing w:after="120" w:line="480" w:lineRule="auto"/>
    </w:pPr>
    <w:rPr>
      <w:lang w:val="ro-RO" w:eastAsia="ro-RO"/>
    </w:rPr>
  </w:style>
  <w:style w:type="character" w:customStyle="1" w:styleId="BodyText2Char">
    <w:name w:val="Body Text 2 Char"/>
    <w:basedOn w:val="DefaultParagraphFont"/>
    <w:link w:val="BodyText2"/>
    <w:uiPriority w:val="99"/>
    <w:rsid w:val="00BC366B"/>
    <w:rPr>
      <w:rFonts w:ascii="Times New Roman" w:eastAsia="Times New Roman" w:hAnsi="Times New Roman" w:cs="Times New Roman"/>
      <w:sz w:val="24"/>
      <w:szCs w:val="24"/>
      <w:lang w:val="ro-RO" w:eastAsia="ro-RO"/>
    </w:rPr>
  </w:style>
  <w:style w:type="character" w:styleId="Hyperlink">
    <w:name w:val="Hyperlink"/>
    <w:rsid w:val="00BC366B"/>
    <w:rPr>
      <w:color w:val="0000FF"/>
      <w:u w:val="single"/>
    </w:rPr>
  </w:style>
  <w:style w:type="paragraph" w:styleId="ListParagraph">
    <w:name w:val="List Paragraph"/>
    <w:basedOn w:val="Normal"/>
    <w:uiPriority w:val="34"/>
    <w:qFormat/>
    <w:rsid w:val="00BC366B"/>
    <w:pPr>
      <w:ind w:left="720"/>
      <w:contextualSpacing/>
    </w:pPr>
  </w:style>
  <w:style w:type="paragraph" w:styleId="Title">
    <w:name w:val="Title"/>
    <w:basedOn w:val="Normal"/>
    <w:link w:val="TitleChar"/>
    <w:qFormat/>
    <w:rsid w:val="00BC366B"/>
    <w:pPr>
      <w:jc w:val="center"/>
    </w:pPr>
    <w:rPr>
      <w:rFonts w:ascii="Tahoma" w:hAnsi="Tahoma"/>
      <w:b/>
      <w:bCs/>
    </w:rPr>
  </w:style>
  <w:style w:type="character" w:customStyle="1" w:styleId="TitleChar">
    <w:name w:val="Title Char"/>
    <w:basedOn w:val="DefaultParagraphFont"/>
    <w:link w:val="Title"/>
    <w:rsid w:val="00BC366B"/>
    <w:rPr>
      <w:rFonts w:ascii="Tahoma" w:eastAsia="Times New Roman" w:hAnsi="Tahoma" w:cs="Times New Roman"/>
      <w:b/>
      <w:bCs/>
      <w:sz w:val="24"/>
      <w:szCs w:val="24"/>
    </w:rPr>
  </w:style>
  <w:style w:type="paragraph" w:styleId="Header">
    <w:name w:val="header"/>
    <w:basedOn w:val="Normal"/>
    <w:link w:val="HeaderChar"/>
    <w:uiPriority w:val="99"/>
    <w:unhideWhenUsed/>
    <w:rsid w:val="00BC366B"/>
    <w:pPr>
      <w:tabs>
        <w:tab w:val="center" w:pos="4680"/>
        <w:tab w:val="right" w:pos="9360"/>
      </w:tabs>
    </w:pPr>
  </w:style>
  <w:style w:type="character" w:customStyle="1" w:styleId="HeaderChar">
    <w:name w:val="Header Char"/>
    <w:basedOn w:val="DefaultParagraphFont"/>
    <w:link w:val="Header"/>
    <w:uiPriority w:val="99"/>
    <w:rsid w:val="00BC366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5A3E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3EAD"/>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0F1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DA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A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clu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1036</Words>
  <Characters>6013</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 Biscovan</cp:lastModifiedBy>
  <cp:revision>10</cp:revision>
  <cp:lastPrinted>2019-03-29T10:29:00Z</cp:lastPrinted>
  <dcterms:created xsi:type="dcterms:W3CDTF">2019-03-28T10:18:00Z</dcterms:created>
  <dcterms:modified xsi:type="dcterms:W3CDTF">2019-04-02T08:39:00Z</dcterms:modified>
</cp:coreProperties>
</file>