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9DD4008" w14:textId="6B4C34C6" w:rsidR="008D4B1C" w:rsidRDefault="008D4B1C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65917827" w14:textId="77777777" w:rsidR="00A23F81" w:rsidRPr="00A5148F" w:rsidRDefault="00A23F8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50344A3A" w14:textId="2B78F748" w:rsidR="00E939C1" w:rsidRDefault="00E939C1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  <w:r w:rsidRPr="00A501AD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A501AD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desfăşurării probei </w:t>
      </w:r>
      <w:r w:rsidR="00A501AD" w:rsidRPr="00A501AD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scrise</w:t>
      </w:r>
      <w:r w:rsidRPr="00A501AD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și a probei de interviu la</w:t>
      </w:r>
      <w:r w:rsidRPr="00A501AD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</w:t>
      </w:r>
      <w:bookmarkStart w:id="0" w:name="_Hlk26355234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de </w:t>
      </w:r>
      <w:bookmarkStart w:id="1" w:name="_Hlk126151049"/>
      <w:bookmarkEnd w:id="0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23.02.2023 </w:t>
      </w:r>
      <w:r w:rsidR="00A501AD" w:rsidRPr="00A501A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pentru </w:t>
      </w:r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ocuparea pe perioadă nedeterminată a</w:t>
      </w:r>
      <w:r w:rsidR="00A501AD" w:rsidRPr="00A501AD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bookmarkStart w:id="2" w:name="_Hlk126220300"/>
      <w:r w:rsidR="00A501AD" w:rsidRPr="00A501AD">
        <w:rPr>
          <w:rFonts w:ascii="Montserrat Light" w:hAnsi="Montserrat Light"/>
          <w:b w:val="0"/>
          <w:bCs w:val="0"/>
          <w:color w:val="000000"/>
          <w:sz w:val="22"/>
          <w:szCs w:val="22"/>
        </w:rPr>
        <w:t>2 posturi contractuale vacante, de</w:t>
      </w:r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 Referent treapta IA și Referent </w:t>
      </w:r>
      <w:bookmarkStart w:id="3" w:name="_Hlk126055425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treapta</w:t>
      </w:r>
      <w:bookmarkEnd w:id="3"/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 II, la </w:t>
      </w:r>
      <w:r w:rsidR="00A501AD" w:rsidRPr="00A501AD">
        <w:rPr>
          <w:rFonts w:ascii="Montserrat Light" w:hAnsi="Montserrat Light" w:cs="Calibri"/>
          <w:b w:val="0"/>
          <w:bCs w:val="0"/>
          <w:sz w:val="22"/>
          <w:szCs w:val="22"/>
        </w:rPr>
        <w:t>Compartimentul Administrare și Funcționare</w:t>
      </w:r>
      <w:r w:rsidR="00A501AD" w:rsidRPr="00A501AD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din cadrul Direcției de Administrare și Exploatare a Stadionului </w:t>
      </w:r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„Cluj Arena”</w:t>
      </w:r>
      <w:bookmarkEnd w:id="1"/>
      <w:bookmarkEnd w:id="2"/>
      <w:r w:rsidRPr="00A501AD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Pr="00A501AD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p w14:paraId="5AB360F1" w14:textId="4B534D74" w:rsidR="00A501AD" w:rsidRPr="00A23F81" w:rsidRDefault="00A501AD" w:rsidP="00A23F81">
      <w:pPr>
        <w:pStyle w:val="NoSpacing"/>
        <w:spacing w:line="276" w:lineRule="auto"/>
        <w:rPr>
          <w:rFonts w:ascii="Montserrat" w:eastAsiaTheme="minorHAnsi" w:hAnsi="Montserrat"/>
          <w:sz w:val="22"/>
          <w:szCs w:val="22"/>
          <w:u w:val="single"/>
          <w:lang w:val="ro-RO"/>
        </w:rPr>
      </w:pPr>
      <w:bookmarkStart w:id="4" w:name="_Hlk126225538"/>
      <w:r w:rsidRPr="00A23F81">
        <w:rPr>
          <w:rFonts w:ascii="Montserrat" w:eastAsiaTheme="minorHAnsi" w:hAnsi="Montserrat"/>
          <w:sz w:val="22"/>
          <w:szCs w:val="22"/>
          <w:u w:val="single"/>
          <w:lang w:val="ro-RO"/>
        </w:rPr>
        <w:t>Referent 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418"/>
        <w:gridCol w:w="1559"/>
        <w:gridCol w:w="1559"/>
      </w:tblGrid>
      <w:tr w:rsidR="00FF1B74" w:rsidRPr="00A5148F" w14:paraId="5ACE7737" w14:textId="772C5343" w:rsidTr="007E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EA" w14:textId="77777777" w:rsidR="00FF1B74" w:rsidRPr="00A5148F" w:rsidRDefault="00FF1B74" w:rsidP="00A5148F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3006A847" w14:textId="77777777" w:rsidR="00FF1B74" w:rsidRPr="00A5148F" w:rsidRDefault="00FF1B74" w:rsidP="00A5148F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AFB" w14:textId="7A8CBAC3" w:rsidR="00FF1B74" w:rsidRPr="00A5148F" w:rsidRDefault="00597AE9" w:rsidP="00BB7D6F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Cod </w:t>
            </w:r>
            <w:r w:rsidR="00FF1B74"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BD4" w14:textId="77777777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02181C65" w14:textId="0FF4CEE4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proba </w:t>
            </w:r>
            <w:r w:rsidR="00A501AD"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scrisă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03" w14:textId="3DB1AADD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6BB35B9D" w14:textId="7B4788CC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99B" w14:textId="77777777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751E2ABC" w14:textId="01A99D94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Concurs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812" w14:textId="77777777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Rezultat</w:t>
            </w:r>
          </w:p>
          <w:p w14:paraId="7A833B48" w14:textId="4DE9D8F1" w:rsidR="00FF1B74" w:rsidRPr="00A5148F" w:rsidRDefault="00FF1B74" w:rsidP="004A6B21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5148F">
              <w:rPr>
                <w:rFonts w:ascii="Montserrat Light" w:hAnsi="Montserrat Light"/>
                <w:sz w:val="22"/>
                <w:szCs w:val="22"/>
                <w:lang w:val="ro-RO"/>
              </w:rPr>
              <w:t>Final</w:t>
            </w:r>
          </w:p>
        </w:tc>
      </w:tr>
      <w:tr w:rsidR="007E62F0" w:rsidRPr="008A6C58" w14:paraId="5C93C205" w14:textId="77777777" w:rsidTr="007E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9FE0" w14:textId="0D31734E" w:rsidR="007E62F0" w:rsidRPr="008A6C58" w:rsidRDefault="007E62F0" w:rsidP="007E62F0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1.</w:t>
            </w:r>
          </w:p>
          <w:p w14:paraId="20031195" w14:textId="3F29D2B3" w:rsidR="007E62F0" w:rsidRPr="008A6C58" w:rsidRDefault="007E62F0" w:rsidP="007E62F0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CFF" w14:textId="765A2294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4954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1EE17F" w14:textId="3DA84240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50,33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D9D53" w14:textId="6C0D97F1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8</w:t>
            </w:r>
            <w:r w:rsidR="008A6C58"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0</w:t>
            </w: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,00</w:t>
            </w:r>
          </w:p>
        </w:tc>
        <w:tc>
          <w:tcPr>
            <w:tcW w:w="1559" w:type="dxa"/>
            <w:vAlign w:val="center"/>
          </w:tcPr>
          <w:p w14:paraId="34497157" w14:textId="034A780B" w:rsidR="007E62F0" w:rsidRPr="008A6C58" w:rsidRDefault="008A6C58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65,16</w:t>
            </w:r>
          </w:p>
        </w:tc>
        <w:tc>
          <w:tcPr>
            <w:tcW w:w="1559" w:type="dxa"/>
            <w:vAlign w:val="center"/>
          </w:tcPr>
          <w:p w14:paraId="008DD793" w14:textId="3E06C5D8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ADMIS</w:t>
            </w:r>
          </w:p>
        </w:tc>
      </w:tr>
      <w:tr w:rsidR="007E62F0" w:rsidRPr="008A6C58" w14:paraId="135D8275" w14:textId="77777777" w:rsidTr="007E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E2D" w14:textId="30A69CF7" w:rsidR="007E62F0" w:rsidRPr="008A6C58" w:rsidRDefault="007E62F0" w:rsidP="007E62F0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FCC" w14:textId="0B58772D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6361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AB9" w14:textId="208819F3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45,66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B14DF" w14:textId="2DBB690A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C6230" w14:textId="2A27B14C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FA79A" w14:textId="7FC8E6DB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RESPINS</w:t>
            </w:r>
          </w:p>
        </w:tc>
      </w:tr>
      <w:tr w:rsidR="007E62F0" w:rsidRPr="008A6C58" w14:paraId="718B9D73" w14:textId="77777777" w:rsidTr="007E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67B" w14:textId="76E7D630" w:rsidR="007E62F0" w:rsidRPr="008A6C58" w:rsidRDefault="007E62F0" w:rsidP="007E62F0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17F" w14:textId="5BE0A45B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6330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5CB" w14:textId="76C49810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39,66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C22B8" w14:textId="051B1326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CF536" w14:textId="7ABA55CB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808F0" w14:textId="597A4767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RESPINS</w:t>
            </w:r>
          </w:p>
        </w:tc>
      </w:tr>
      <w:tr w:rsidR="007E62F0" w:rsidRPr="008A6C58" w14:paraId="17F9CE63" w14:textId="77777777" w:rsidTr="007E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618" w14:textId="63CC5005" w:rsidR="007E62F0" w:rsidRPr="008A6C58" w:rsidRDefault="007E62F0" w:rsidP="007E62F0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489" w14:textId="540E1AF0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</w:rPr>
              <w:t>5698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FFD" w14:textId="019F9C58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30,33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5AD0B" w14:textId="299FA2A1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C5A8F" w14:textId="6C2ECF3B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AF871" w14:textId="5AD0F4FB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RESPINS</w:t>
            </w:r>
          </w:p>
        </w:tc>
      </w:tr>
      <w:tr w:rsidR="007E62F0" w:rsidRPr="008A6C58" w14:paraId="58BC3D07" w14:textId="77777777" w:rsidTr="007E62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C25" w14:textId="63EC43E6" w:rsidR="007E62F0" w:rsidRPr="008A6C58" w:rsidRDefault="007E62F0" w:rsidP="007E62F0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5..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B65" w14:textId="7688CD3A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A6C58">
              <w:rPr>
                <w:rFonts w:ascii="Montserrat Light" w:hAnsi="Montserrat Light"/>
                <w:sz w:val="22"/>
                <w:szCs w:val="22"/>
              </w:rPr>
              <w:t>5478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75E" w14:textId="4BCACDC2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1BDA5" w14:textId="3E446AB6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53D61" w14:textId="61BE9CC9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0954B" w14:textId="6891AE99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RESPINS</w:t>
            </w:r>
          </w:p>
        </w:tc>
      </w:tr>
    </w:tbl>
    <w:p w14:paraId="1CA7C295" w14:textId="77777777" w:rsidR="00A23F81" w:rsidRPr="008A6C58" w:rsidRDefault="00A23F81" w:rsidP="00A5148F">
      <w:pPr>
        <w:pStyle w:val="NoSpacing"/>
        <w:rPr>
          <w:rFonts w:ascii="Montserrat Light" w:eastAsiaTheme="minorHAnsi" w:hAnsi="Montserrat Light"/>
          <w:sz w:val="22"/>
          <w:szCs w:val="22"/>
          <w:lang w:val="ro-RO"/>
        </w:rPr>
      </w:pPr>
    </w:p>
    <w:p w14:paraId="1FAEE5E0" w14:textId="3D87C545" w:rsidR="00A501AD" w:rsidRPr="008A6C58" w:rsidRDefault="00A501AD" w:rsidP="00A23F81">
      <w:pPr>
        <w:pStyle w:val="NoSpacing"/>
        <w:spacing w:line="276" w:lineRule="auto"/>
        <w:rPr>
          <w:rFonts w:ascii="Montserrat" w:eastAsiaTheme="minorHAnsi" w:hAnsi="Montserrat"/>
          <w:sz w:val="22"/>
          <w:szCs w:val="22"/>
          <w:u w:val="single"/>
          <w:lang w:val="ro-RO"/>
        </w:rPr>
      </w:pPr>
      <w:r w:rsidRPr="008A6C58">
        <w:rPr>
          <w:rFonts w:ascii="Montserrat" w:eastAsiaTheme="minorHAnsi" w:hAnsi="Montserrat"/>
          <w:sz w:val="22"/>
          <w:szCs w:val="22"/>
          <w:u w:val="single"/>
          <w:lang w:val="ro-RO"/>
        </w:rPr>
        <w:t>Referent II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418"/>
        <w:gridCol w:w="1559"/>
        <w:gridCol w:w="1559"/>
      </w:tblGrid>
      <w:tr w:rsidR="00A501AD" w:rsidRPr="008A6C58" w14:paraId="33685E9B" w14:textId="77777777" w:rsidTr="007E62F0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78ED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33ECD891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FC8F" w14:textId="165006BD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B12B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61E6B9CD" w14:textId="4A41B249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scrisă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EFD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Punctaj </w:t>
            </w:r>
          </w:p>
          <w:p w14:paraId="30E170DE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Interviu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049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344A5FFB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Concurs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365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Rezultat</w:t>
            </w:r>
          </w:p>
          <w:p w14:paraId="4E3070E8" w14:textId="77777777" w:rsidR="00A501AD" w:rsidRPr="008A6C58" w:rsidRDefault="00A501AD" w:rsidP="002108A1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Final</w:t>
            </w:r>
          </w:p>
        </w:tc>
      </w:tr>
      <w:tr w:rsidR="007E62F0" w:rsidRPr="008A6C58" w14:paraId="74863C9A" w14:textId="77777777" w:rsidTr="008A6C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07B" w14:textId="77777777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1.</w:t>
            </w:r>
          </w:p>
          <w:p w14:paraId="5D0AC628" w14:textId="77777777" w:rsidR="007E62F0" w:rsidRPr="008A6C58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6D2" w14:textId="68A1D058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</w:rPr>
              <w:t>5732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A42F" w14:textId="23E8CE71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E8B1F" w14:textId="0515B5DF" w:rsidR="007E62F0" w:rsidRPr="008A6C58" w:rsidRDefault="008A6C58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77,33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C06CC" w14:textId="15C45B0F" w:rsidR="007E62F0" w:rsidRPr="008A6C58" w:rsidRDefault="008A6C58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68,66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D6E1D" w14:textId="77777777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ADMIS</w:t>
            </w:r>
          </w:p>
        </w:tc>
      </w:tr>
      <w:tr w:rsidR="007E62F0" w:rsidRPr="008A6C58" w14:paraId="61BC990E" w14:textId="77777777" w:rsidTr="008A6C5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E517" w14:textId="77777777" w:rsidR="007E62F0" w:rsidRPr="007E62F0" w:rsidRDefault="007E62F0" w:rsidP="007E62F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E62F0">
              <w:rPr>
                <w:rFonts w:ascii="Montserrat Light" w:hAnsi="Montserrat Light"/>
                <w:sz w:val="22"/>
                <w:szCs w:val="22"/>
                <w:lang w:val="ro-RO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B04" w14:textId="35449D78" w:rsidR="007E62F0" w:rsidRPr="007E62F0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E62F0">
              <w:rPr>
                <w:rFonts w:ascii="Montserrat Light" w:hAnsi="Montserrat Light"/>
                <w:sz w:val="22"/>
                <w:szCs w:val="22"/>
                <w:lang w:val="ro-RO"/>
              </w:rPr>
              <w:t>5477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C55E" w14:textId="22E5C5F8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37,00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F639D" w14:textId="77777777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D6E47" w14:textId="54FC7066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C7761" w14:textId="77777777" w:rsidR="007E62F0" w:rsidRPr="008A6C58" w:rsidRDefault="007E62F0" w:rsidP="007E62F0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6C58">
              <w:rPr>
                <w:rFonts w:ascii="Montserrat Light" w:hAnsi="Montserrat Light"/>
                <w:sz w:val="22"/>
                <w:szCs w:val="22"/>
                <w:lang w:val="ro-RO"/>
              </w:rPr>
              <w:t>RESPINS</w:t>
            </w:r>
          </w:p>
        </w:tc>
      </w:tr>
      <w:bookmarkEnd w:id="4"/>
    </w:tbl>
    <w:p w14:paraId="0BB4AA4B" w14:textId="77777777" w:rsidR="00A501AD" w:rsidRPr="007D4775" w:rsidRDefault="00A501AD" w:rsidP="00A501AD">
      <w:pPr>
        <w:autoSpaceDE w:val="0"/>
        <w:autoSpaceDN w:val="0"/>
        <w:adjustRightInd w:val="0"/>
        <w:ind w:right="-426" w:firstLine="708"/>
        <w:jc w:val="both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02BF1994" w14:textId="5D888D45" w:rsidR="008D4B1C" w:rsidRPr="007D4775" w:rsidRDefault="00D43B39" w:rsidP="00405ED4">
      <w:pPr>
        <w:autoSpaceDE w:val="0"/>
        <w:autoSpaceDN w:val="0"/>
        <w:adjustRightInd w:val="0"/>
        <w:ind w:right="-1"/>
        <w:jc w:val="both"/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sz w:val="22"/>
          <w:szCs w:val="22"/>
          <w:lang w:val="ro-RO"/>
        </w:rPr>
        <w:t xml:space="preserve">Conform </w:t>
      </w:r>
      <w:r w:rsidR="00A501AD" w:rsidRPr="00A501AD">
        <w:rPr>
          <w:rFonts w:ascii="Montserrat Light" w:hAnsi="Montserrat Light"/>
          <w:b w:val="0"/>
          <w:bCs w:val="0"/>
          <w:sz w:val="22"/>
          <w:szCs w:val="22"/>
        </w:rPr>
        <w:t>art. 47 alin. (1) din H.G. nr. 1336/2022</w:t>
      </w:r>
      <w:r w:rsidR="00A501AD">
        <w:rPr>
          <w:rFonts w:ascii="Montserrat Light" w:hAnsi="Montserrat Light"/>
          <w:sz w:val="22"/>
          <w:szCs w:val="22"/>
        </w:rPr>
        <w:t xml:space="preserve"> </w:t>
      </w:r>
      <w:r w:rsidR="00E6629C" w:rsidRPr="007D4775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  <w:t>p</w:t>
      </w:r>
      <w:r w:rsidRPr="007D4775">
        <w:rPr>
          <w:rFonts w:ascii="Montserrat Light" w:eastAsiaTheme="minorHAnsi" w:hAnsi="Montserrat Light" w:cs="Courier New"/>
          <w:b w:val="0"/>
          <w:bCs w:val="0"/>
          <w:sz w:val="22"/>
          <w:szCs w:val="22"/>
          <w:lang w:val="ro-RO"/>
        </w:rPr>
        <w:t>unctajul final se calculează ca medie aritmetică a punctajelor obţinute la proba scrisă şi/sau la proba practică şi interviu, după caz.</w:t>
      </w:r>
    </w:p>
    <w:p w14:paraId="7844E348" w14:textId="113DA37E" w:rsidR="008D4B1C" w:rsidRPr="007D4775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bookmarkStart w:id="5" w:name="_Hlk126225581"/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Conform prevederilor </w:t>
      </w:r>
      <w:r w:rsidR="006B0E62" w:rsidRPr="00A501AD">
        <w:rPr>
          <w:rFonts w:ascii="Montserrat Light" w:hAnsi="Montserrat Light"/>
          <w:b w:val="0"/>
          <w:bCs w:val="0"/>
          <w:sz w:val="22"/>
          <w:szCs w:val="22"/>
        </w:rPr>
        <w:t xml:space="preserve">art. </w:t>
      </w:r>
      <w:r w:rsidR="006B0E62">
        <w:rPr>
          <w:rFonts w:ascii="Montserrat Light" w:hAnsi="Montserrat Light"/>
          <w:b w:val="0"/>
          <w:bCs w:val="0"/>
          <w:sz w:val="22"/>
          <w:szCs w:val="22"/>
        </w:rPr>
        <w:t>6</w:t>
      </w:r>
      <w:r w:rsidR="006B0E62" w:rsidRPr="00A501AD">
        <w:rPr>
          <w:rFonts w:ascii="Montserrat Light" w:hAnsi="Montserrat Light"/>
          <w:b w:val="0"/>
          <w:bCs w:val="0"/>
          <w:sz w:val="22"/>
          <w:szCs w:val="22"/>
        </w:rPr>
        <w:t>7 alin. (1) din H.G. nr. 1336/2022</w:t>
      </w:r>
      <w:r w:rsidR="006B0E62">
        <w:rPr>
          <w:rFonts w:ascii="Montserrat Light" w:hAnsi="Montserrat Light"/>
          <w:sz w:val="22"/>
          <w:szCs w:val="22"/>
        </w:rPr>
        <w:t xml:space="preserve"> 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candidaţii declaraţi admişi la concursul de ocupare a unui post vacant sau temporar vacant corespunzător unei funcţii contractuale sunt obligaţi să se prezinte la post în termen de maximum </w:t>
      </w:r>
      <w:r w:rsidRPr="007D4775">
        <w:rPr>
          <w:rFonts w:ascii="Montserrat Light" w:hAnsi="Montserrat Light"/>
          <w:bCs w:val="0"/>
          <w:color w:val="000000"/>
          <w:sz w:val="22"/>
          <w:szCs w:val="22"/>
          <w:lang w:val="ro-RO"/>
        </w:rPr>
        <w:t>15 zile</w:t>
      </w: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calendaristice de la data afişării.</w:t>
      </w:r>
    </w:p>
    <w:bookmarkEnd w:id="5"/>
    <w:p w14:paraId="05D03AEC" w14:textId="3EE9FDA3" w:rsidR="008D4B1C" w:rsidRPr="007D4775" w:rsidRDefault="008D4B1C" w:rsidP="00405ED4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Prin excepţie de la prevederile de mai sus, în urma formulării unei cereri scrise şi temeinic motivate, candidatul declarat "admis" la concurs poate solicita, în termen de 3 zile lucrătoare de la afişarea rezultatului concursului, un termen ulterior de prezentare la post, care nu poate depăşi 20 de zile lucrătoare de la data afişării rezultatului concursul</w:t>
      </w:r>
      <w:r w:rsidR="00C76D94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ui pentru funcţiile de execuţie.</w:t>
      </w:r>
    </w:p>
    <w:p w14:paraId="20711A39" w14:textId="4147BA09" w:rsidR="008D4B1C" w:rsidRPr="007D4775" w:rsidRDefault="008D4B1C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În cazul neprezentării la post la termenul stabilit postul este declarat vacant</w:t>
      </w:r>
      <w:r w:rsidR="003D1678" w:rsidRPr="007D4775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, urmând să se comunice candidatului care a obținut nota finală imediat inferioară posibilitatea de a ocupa postul respectiv.</w:t>
      </w:r>
    </w:p>
    <w:p w14:paraId="77B8C40E" w14:textId="77777777" w:rsidR="00405ED4" w:rsidRPr="007D4775" w:rsidRDefault="00405ED4" w:rsidP="00405ED4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4F28D724" w:rsidR="0061398A" w:rsidRPr="007D4775" w:rsidRDefault="0061398A" w:rsidP="00405ED4">
      <w:pPr>
        <w:spacing w:line="276" w:lineRule="auto"/>
        <w:ind w:right="-1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În termen de 10 zile lucrătoare de la data afișării rezultatului final al concursului </w:t>
      </w:r>
      <w:r w:rsidR="0089495B"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candidații declarați respinși trebuie să se prezinte la Serviciul Resurse Umane pentru ridicarea dosarului depus, în sens contrar </w:t>
      </w:r>
      <w:r w:rsidRPr="007D477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documentele depuse se vor distruge</w:t>
      </w:r>
      <w:r w:rsidRPr="007D4775">
        <w:rPr>
          <w:rFonts w:ascii="Montserrat Light" w:hAnsi="Montserrat Light"/>
          <w:b w:val="0"/>
          <w:sz w:val="22"/>
          <w:szCs w:val="22"/>
          <w:lang w:val="ro-RO"/>
        </w:rPr>
        <w:t>.</w:t>
      </w: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4691DC89" w:rsidR="00EB4B2D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</w:t>
      </w:r>
      <w:r w:rsidR="00D36AD5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de 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0</w:t>
      </w:r>
      <w:r w:rsidR="008A6C58" w:rsidRPr="008A6C58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.03.2023</w:t>
      </w:r>
      <w:r w:rsidR="007304D6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2D1E20" w:rsidRPr="008A6C58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8A6C58" w:rsidRPr="008A6C58">
        <w:rPr>
          <w:rFonts w:ascii="Montserrat Light" w:hAnsi="Montserrat Light"/>
          <w:bCs w:val="0"/>
          <w:sz w:val="22"/>
          <w:szCs w:val="22"/>
          <w:lang w:val="ro-RO"/>
        </w:rPr>
        <w:t>4</w:t>
      </w:r>
      <w:r w:rsidR="002D1E20" w:rsidRPr="008A6C58">
        <w:rPr>
          <w:rFonts w:ascii="Montserrat Light" w:hAnsi="Montserrat Light"/>
          <w:bCs w:val="0"/>
          <w:sz w:val="22"/>
          <w:szCs w:val="22"/>
          <w:lang w:val="ro-RO"/>
        </w:rPr>
        <w:t>,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00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1837D382" w14:textId="71F96633" w:rsidR="00C20D3F" w:rsidRPr="00AA3B6D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AA3B6D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AA3B6D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4B3C"/>
    <w:rsid w:val="000C76EE"/>
    <w:rsid w:val="000D3D42"/>
    <w:rsid w:val="00144F15"/>
    <w:rsid w:val="001F7433"/>
    <w:rsid w:val="00221FF4"/>
    <w:rsid w:val="00227F1C"/>
    <w:rsid w:val="0028168D"/>
    <w:rsid w:val="00285359"/>
    <w:rsid w:val="002976A4"/>
    <w:rsid w:val="002D1E20"/>
    <w:rsid w:val="00307BC2"/>
    <w:rsid w:val="00330073"/>
    <w:rsid w:val="00332D8E"/>
    <w:rsid w:val="003D1678"/>
    <w:rsid w:val="00405ED4"/>
    <w:rsid w:val="00422370"/>
    <w:rsid w:val="00481B03"/>
    <w:rsid w:val="00486D06"/>
    <w:rsid w:val="004A3FEC"/>
    <w:rsid w:val="004A6B21"/>
    <w:rsid w:val="00534C70"/>
    <w:rsid w:val="00542D62"/>
    <w:rsid w:val="005546F4"/>
    <w:rsid w:val="005656F8"/>
    <w:rsid w:val="00577602"/>
    <w:rsid w:val="005863B8"/>
    <w:rsid w:val="005925D0"/>
    <w:rsid w:val="00597AE9"/>
    <w:rsid w:val="005B57E2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D4775"/>
    <w:rsid w:val="007E62F0"/>
    <w:rsid w:val="0089495B"/>
    <w:rsid w:val="008A6C58"/>
    <w:rsid w:val="008C1004"/>
    <w:rsid w:val="008D4B1C"/>
    <w:rsid w:val="008E011B"/>
    <w:rsid w:val="00963959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76D94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81</cp:revision>
  <cp:lastPrinted>2022-07-15T07:15:00Z</cp:lastPrinted>
  <dcterms:created xsi:type="dcterms:W3CDTF">2017-02-02T08:30:00Z</dcterms:created>
  <dcterms:modified xsi:type="dcterms:W3CDTF">2023-03-01T06:26:00Z</dcterms:modified>
</cp:coreProperties>
</file>