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2A394" w14:textId="77777777" w:rsidR="00F654F4" w:rsidRPr="00EE658E" w:rsidRDefault="00F654F4">
      <w:pPr>
        <w:rPr>
          <w:rFonts w:ascii="Montserrat Medium" w:hAnsi="Montserrat Medium"/>
        </w:rPr>
      </w:pPr>
    </w:p>
    <w:p w14:paraId="7718BC0C" w14:textId="77777777" w:rsidR="00EE658E" w:rsidRPr="00EE658E" w:rsidRDefault="00EE658E">
      <w:pPr>
        <w:rPr>
          <w:rFonts w:ascii="Montserrat Medium" w:hAnsi="Montserrat Medium"/>
        </w:rPr>
      </w:pPr>
    </w:p>
    <w:p w14:paraId="539BE950" w14:textId="7B217893" w:rsidR="00EE658E" w:rsidRDefault="00EE658E" w:rsidP="00EE658E">
      <w:pPr>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r w:rsidRPr="00EE658E">
        <w:rPr>
          <w:rFonts w:ascii="Montserrat Medium" w:eastAsia="Times New Roman" w:hAnsi="Montserrat Medium" w:cstheme="majorHAnsi"/>
          <w:b/>
          <w:bCs/>
          <w:color w:val="0070C0"/>
          <w:sz w:val="28"/>
          <w:szCs w:val="28"/>
        </w:rPr>
        <w:t>UNITATEA DE MONITORIZARE SERVICII DE UTILITĂȚI PUBLICE</w:t>
      </w:r>
    </w:p>
    <w:p w14:paraId="13CCBA3C" w14:textId="77777777" w:rsidR="00EE658E" w:rsidRPr="00EE658E" w:rsidRDefault="00EE658E" w:rsidP="00EE658E">
      <w:pPr>
        <w:autoSpaceDE w:val="0"/>
        <w:autoSpaceDN w:val="0"/>
        <w:adjustRightInd w:val="0"/>
        <w:spacing w:after="0" w:line="240" w:lineRule="auto"/>
        <w:jc w:val="center"/>
        <w:rPr>
          <w:rFonts w:ascii="Montserrat Medium" w:eastAsia="Times New Roman" w:hAnsi="Montserrat Medium" w:cstheme="majorHAnsi"/>
          <w:b/>
          <w:bCs/>
          <w:color w:val="0070C0"/>
          <w:sz w:val="28"/>
          <w:szCs w:val="28"/>
        </w:rPr>
      </w:pPr>
    </w:p>
    <w:p w14:paraId="3DE8F63E" w14:textId="31BDCEA4" w:rsidR="00EE658E" w:rsidRPr="00EE658E" w:rsidRDefault="00EE658E" w:rsidP="00EE658E">
      <w:pPr>
        <w:autoSpaceDE w:val="0"/>
        <w:autoSpaceDN w:val="0"/>
        <w:adjustRightInd w:val="0"/>
        <w:spacing w:after="0" w:line="240" w:lineRule="auto"/>
        <w:ind w:left="284" w:firstLine="424"/>
        <w:jc w:val="both"/>
        <w:rPr>
          <w:rFonts w:ascii="Montserrat Medium" w:eastAsia="Times New Roman" w:hAnsi="Montserrat Medium" w:cstheme="majorHAnsi"/>
        </w:rPr>
      </w:pPr>
      <w:r w:rsidRPr="00EE658E">
        <w:rPr>
          <w:rFonts w:ascii="Montserrat Medium" w:eastAsia="Times New Roman" w:hAnsi="Montserrat Medium" w:cstheme="majorHAnsi"/>
        </w:rPr>
        <w:t>Compartimentul Unitatea de Monitorizare Servicii de Utilități Publice este structura de specialitate desemnată cu exercitarea atribuțiilor și responsabilităților ce revin Consiliului Județean Cluj, în conformitate cu prevederile Hotărârii Guvernului nr. 246/2006 și ale Legii serviciilor comunitare de utilități publice nr. 51/2006, republicată, cu modificările și completările ulterioare, în calitate de autoritate competentă pentru domeniul serviciilor comunitare de utilități publice:</w:t>
      </w:r>
    </w:p>
    <w:p w14:paraId="2D3B6E22" w14:textId="77777777" w:rsidR="00EE658E" w:rsidRPr="00EE658E" w:rsidRDefault="00EE658E" w:rsidP="00EE658E">
      <w:pPr>
        <w:numPr>
          <w:ilvl w:val="0"/>
          <w:numId w:val="1"/>
        </w:numPr>
        <w:tabs>
          <w:tab w:val="left" w:pos="993"/>
          <w:tab w:val="left" w:pos="2160"/>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 xml:space="preserve">alimentare cu apă; </w:t>
      </w:r>
    </w:p>
    <w:p w14:paraId="5BFCDE60" w14:textId="77777777" w:rsidR="00EE658E" w:rsidRPr="00EE658E" w:rsidRDefault="00EE658E" w:rsidP="00EE658E">
      <w:pPr>
        <w:numPr>
          <w:ilvl w:val="0"/>
          <w:numId w:val="1"/>
        </w:numPr>
        <w:tabs>
          <w:tab w:val="left" w:pos="993"/>
          <w:tab w:val="left" w:pos="2160"/>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canalizare și epurarea apelor uzate;</w:t>
      </w:r>
    </w:p>
    <w:p w14:paraId="0EEBE26B" w14:textId="77777777" w:rsidR="00EE658E" w:rsidRPr="00EE658E" w:rsidRDefault="00EE658E" w:rsidP="00EE658E">
      <w:pPr>
        <w:numPr>
          <w:ilvl w:val="0"/>
          <w:numId w:val="1"/>
        </w:numPr>
        <w:tabs>
          <w:tab w:val="left" w:pos="993"/>
          <w:tab w:val="left" w:pos="2160"/>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colectarea, canalizarea și evacuarea apelor pluviale;</w:t>
      </w:r>
    </w:p>
    <w:p w14:paraId="0A59D8AC" w14:textId="77777777" w:rsidR="00EE658E" w:rsidRPr="00EE658E" w:rsidRDefault="00EE658E" w:rsidP="00EE658E">
      <w:pPr>
        <w:numPr>
          <w:ilvl w:val="0"/>
          <w:numId w:val="1"/>
        </w:numPr>
        <w:tabs>
          <w:tab w:val="left" w:pos="993"/>
          <w:tab w:val="left" w:pos="2160"/>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alimentare cu energie termică în sistem centralizat;</w:t>
      </w:r>
    </w:p>
    <w:p w14:paraId="33DA01FF" w14:textId="77777777" w:rsidR="00EE658E" w:rsidRPr="00EE658E" w:rsidRDefault="00EE658E" w:rsidP="00EE658E">
      <w:pPr>
        <w:numPr>
          <w:ilvl w:val="0"/>
          <w:numId w:val="1"/>
        </w:numPr>
        <w:tabs>
          <w:tab w:val="left" w:pos="993"/>
          <w:tab w:val="left" w:pos="2160"/>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salubrizarea localităților;</w:t>
      </w:r>
    </w:p>
    <w:p w14:paraId="4D8B605D" w14:textId="77777777" w:rsidR="00EE658E" w:rsidRPr="00EE658E" w:rsidRDefault="00EE658E" w:rsidP="00EE658E">
      <w:pPr>
        <w:numPr>
          <w:ilvl w:val="0"/>
          <w:numId w:val="1"/>
        </w:numPr>
        <w:tabs>
          <w:tab w:val="left" w:pos="993"/>
          <w:tab w:val="left" w:pos="2160"/>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iluminatul public;</w:t>
      </w:r>
    </w:p>
    <w:p w14:paraId="76FCA99F" w14:textId="77777777" w:rsidR="00EE658E" w:rsidRPr="00EE658E" w:rsidRDefault="00EE658E" w:rsidP="00EE658E">
      <w:pPr>
        <w:numPr>
          <w:ilvl w:val="0"/>
          <w:numId w:val="1"/>
        </w:numPr>
        <w:tabs>
          <w:tab w:val="left" w:pos="993"/>
          <w:tab w:val="left" w:pos="2160"/>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 xml:space="preserve"> alimentarea cu gaze naturale;</w:t>
      </w:r>
    </w:p>
    <w:p w14:paraId="560430CC" w14:textId="77777777" w:rsidR="00EE658E" w:rsidRDefault="00EE658E" w:rsidP="00EE658E">
      <w:pPr>
        <w:numPr>
          <w:ilvl w:val="0"/>
          <w:numId w:val="1"/>
        </w:numPr>
        <w:tabs>
          <w:tab w:val="left" w:pos="993"/>
          <w:tab w:val="left" w:pos="2160"/>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transportul public local de călători;</w:t>
      </w:r>
    </w:p>
    <w:p w14:paraId="66A155CF" w14:textId="77777777" w:rsidR="00EE658E" w:rsidRPr="00EE658E" w:rsidRDefault="00EE658E" w:rsidP="00EE658E">
      <w:pPr>
        <w:tabs>
          <w:tab w:val="left" w:pos="993"/>
          <w:tab w:val="left" w:pos="2160"/>
        </w:tabs>
        <w:autoSpaceDE w:val="0"/>
        <w:autoSpaceDN w:val="0"/>
        <w:adjustRightInd w:val="0"/>
        <w:spacing w:after="0" w:line="240" w:lineRule="auto"/>
        <w:jc w:val="both"/>
        <w:rPr>
          <w:rFonts w:ascii="Montserrat Medium" w:eastAsia="Times New Roman" w:hAnsi="Montserrat Medium" w:cstheme="majorHAnsi"/>
        </w:rPr>
      </w:pPr>
    </w:p>
    <w:p w14:paraId="79D0DBA5" w14:textId="48D15327" w:rsidR="00EE658E" w:rsidRDefault="00EE658E" w:rsidP="00EE658E">
      <w:pPr>
        <w:autoSpaceDE w:val="0"/>
        <w:autoSpaceDN w:val="0"/>
        <w:adjustRightInd w:val="0"/>
        <w:spacing w:after="0" w:line="240" w:lineRule="auto"/>
        <w:ind w:firstLine="708"/>
        <w:jc w:val="both"/>
        <w:rPr>
          <w:rFonts w:ascii="Montserrat Medium" w:eastAsia="Times New Roman" w:hAnsi="Montserrat Medium" w:cstheme="majorHAnsi"/>
          <w:b/>
          <w:bCs/>
          <w:u w:val="single"/>
        </w:rPr>
      </w:pPr>
      <w:r w:rsidRPr="00EE658E">
        <w:rPr>
          <w:rFonts w:ascii="Montserrat Medium" w:eastAsia="Times New Roman" w:hAnsi="Montserrat Medium" w:cstheme="majorHAnsi"/>
          <w:b/>
          <w:bCs/>
          <w:u w:val="single"/>
        </w:rPr>
        <w:t>Unitatea de Monitorizare Servicii de Utilităţi Publice are următoarele atribuţii specifice:</w:t>
      </w:r>
    </w:p>
    <w:p w14:paraId="586F6FB8" w14:textId="77777777" w:rsidR="00EE658E" w:rsidRPr="00EE658E" w:rsidRDefault="00EE658E" w:rsidP="00EE658E">
      <w:pPr>
        <w:autoSpaceDE w:val="0"/>
        <w:autoSpaceDN w:val="0"/>
        <w:adjustRightInd w:val="0"/>
        <w:spacing w:after="0" w:line="240" w:lineRule="auto"/>
        <w:ind w:firstLine="708"/>
        <w:jc w:val="both"/>
        <w:rPr>
          <w:rFonts w:ascii="Montserrat Medium" w:eastAsia="Times New Roman" w:hAnsi="Montserrat Medium" w:cstheme="majorHAnsi"/>
          <w:b/>
          <w:bCs/>
          <w:u w:val="single"/>
        </w:rPr>
      </w:pPr>
    </w:p>
    <w:p w14:paraId="5C874B77" w14:textId="77777777" w:rsidR="00EE658E" w:rsidRPr="00EE658E" w:rsidRDefault="00EE658E" w:rsidP="00EE658E">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Monitorizarea și evaluarea implementării Strategiei naționale privind accelerarea dezvoltării serviciilor comunitare de utilități publice;</w:t>
      </w:r>
    </w:p>
    <w:p w14:paraId="4D66FE41" w14:textId="77777777" w:rsidR="00EE658E" w:rsidRPr="00EE658E" w:rsidRDefault="00EE658E" w:rsidP="00EE658E">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Fundamentează și coordonează elaborarea strategiei județene pentru accelerarea dezvoltării serviciilor comunitare de utilități publice din aria de competență a Consiliului Județean Cluj, utilizând principiul planificării strategice multianuale;</w:t>
      </w:r>
    </w:p>
    <w:p w14:paraId="0334DE48" w14:textId="77777777" w:rsidR="00EE658E" w:rsidRPr="00EE658E" w:rsidRDefault="00EE658E" w:rsidP="00EE658E">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Propune măsuri care să asigure gestionarea serviciilor de utilități publice din aria de competență a Consiliului Județean Cluj, astfel încât să fie respectate obligațiile specifice de serviciu public;</w:t>
      </w:r>
    </w:p>
    <w:p w14:paraId="1E401B64" w14:textId="77777777" w:rsidR="00EE658E" w:rsidRPr="00EE658E" w:rsidRDefault="00EE658E" w:rsidP="00EE658E">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Fundamentează și coordonează elaborarea strategiilor locale (comunale și orășenești) privind accelerarea dezvoltării serviciilor comunitare de utilități publice precum și a planurilor de implementare în cooperare cu autoritățile administrației publice locale comunale și orășenești și monitorizează implementarea acestora;</w:t>
      </w:r>
    </w:p>
    <w:p w14:paraId="1C679DC1" w14:textId="77777777" w:rsidR="00EE658E" w:rsidRPr="00EE658E" w:rsidRDefault="00EE658E" w:rsidP="00EE658E">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Coordonează actualizarea anuală a strategiilor locale privind accelerarea dezvoltării serviciilor comunitare de utilități publice, precum și planurile locale de implementare aferente acestora;</w:t>
      </w:r>
    </w:p>
    <w:p w14:paraId="4E1BB819" w14:textId="77777777" w:rsidR="00EE658E" w:rsidRPr="00EE658E" w:rsidRDefault="00EE658E" w:rsidP="00EE658E">
      <w:pPr>
        <w:numPr>
          <w:ilvl w:val="0"/>
          <w:numId w:val="2"/>
        </w:numPr>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Pregătesc, în colaborare cu operatorii serviciilor comunitare de utilități publice, planurile de implementare a strategiilor locale privind accelerarea dezvoltării serviciilor comunitare de utilități publice și le prezintă autorităților administrației publice locale, municipale sau județene, spre aprobare;</w:t>
      </w:r>
    </w:p>
    <w:p w14:paraId="18727FC2"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Asistă operatorii și autoritățile administrației publice locale în procesul de accesare și atragere a fondurilor pentru investiții;</w:t>
      </w:r>
    </w:p>
    <w:p w14:paraId="7B9C05CC"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Sprijină și monitorizează autoritățile administrației publice locale în utilizarea instrumentelor structurale destinate dezvoltării și modernizării infrastructurii serviciilor comunitare de utilități publice;</w:t>
      </w:r>
    </w:p>
    <w:p w14:paraId="2B975886"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Colaborează cu celelalte instituții și autorități centrale sau locale care au atribuții și responsabilități în implementarea măsurilor și a programelor finanțate din fonduri comunitare;</w:t>
      </w:r>
    </w:p>
    <w:p w14:paraId="682BD86E"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Promovează la nivelul unităților administrativ-teritoriale procedurile și mecanismele de accesare a fondurilor comunitare și a metodologiilor privind întocmirea documentelor de programare și cererilor de finanțare;</w:t>
      </w:r>
    </w:p>
    <w:p w14:paraId="751AE64C"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Pregătește și transmite rapoarte de activitate către entitățile care gestionează instrumentele structurale și programele operaționale cu impact în domeniul serviciilor comunitar de utilități publice, după caz;</w:t>
      </w:r>
    </w:p>
    <w:p w14:paraId="2401F8DB"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 xml:space="preserve">Monitorizează necesarul de investiții aferent infrastructurii tehnico-edilitare a unităților administrativ-teritoriale prin analiza situației existente a serviciilor comunitare de utilități publice și a necesităților obiective ale comunităților locale și </w:t>
      </w:r>
      <w:r w:rsidRPr="00EE658E">
        <w:rPr>
          <w:rFonts w:ascii="Montserrat Medium" w:eastAsia="Times New Roman" w:hAnsi="Montserrat Medium" w:cstheme="majorHAnsi"/>
        </w:rPr>
        <w:lastRenderedPageBreak/>
        <w:t>propune elaborarea unor documentații tehnico-economice de către autoritățile administrației publice locale în subordinea/coordonarea cărora funcționează serviciile comunitare de utilități publice;</w:t>
      </w:r>
    </w:p>
    <w:p w14:paraId="7AB4BE26"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Coordonează procesul de realizare a infrastructurii tehnico-edilitare în cazul proiectelor de investiții publice ce necesită o abordare județeană sau care înglobează orașe și/sau zone rurale, precum și cel care necesită o abordare regională (gestionarea deșeurilor, sisteme de apă-canalizare, etc);</w:t>
      </w:r>
    </w:p>
    <w:p w14:paraId="02EFBAC9"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Propune măsuri pentru dezvoltarea și/sau reabilitarea infrastructurii tehnico-edilitare aferente sectorului de utilități publice și programe de protecție a mediului pentru activitățile și serviciile poluante, precum și măsuri în vederea asigurării finanțării infrastructurii tehnico-edilitare aferente serviciilor;</w:t>
      </w:r>
    </w:p>
    <w:p w14:paraId="41DD519D"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Propune măsuri pentru conformarea serviciilor comunitare de utilități publice cu toate angajamentele României incluse în planurile de implementare pentru acquis-ul comunitar relevant fiecărui tip de serviciu;</w:t>
      </w:r>
    </w:p>
    <w:p w14:paraId="6290CE66"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Consultă asociațiile utilizatorilor în vederea stabilirii politicilor și strategiilor locale și a modalităților de organizare și funcționare a serviciilor și informează periodic utilizatorii asupra stării serviciilor de utilități publice și asupra politicilor de dezvoltare a acestora;</w:t>
      </w:r>
    </w:p>
    <w:p w14:paraId="684B1224"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Mediază și soluționează conflictele dintre utilizatori și operatori, la cererea uneia dintre părți;</w:t>
      </w:r>
    </w:p>
    <w:p w14:paraId="2303EF48"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Monitorizează și evaluează executarea contractelor de delegare a gestiunii serviciilor comunitare de utilități publice, respectiv modul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negociate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serviciilor, realizarea investițiilor prevăzute în contractul de delegare a gestiunii în sarcina operatorului, de asigurare a protecției mediului și a domeniului public, asigurare a protecției utilizatorilor;</w:t>
      </w:r>
    </w:p>
    <w:p w14:paraId="68FF6ED3"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Monitorizarea constituirii, organizării și funcționării asociațiilor de dezvoltare intercomunitară, care au ca obiect de activitate servicii comunitare de utilități publice;</w:t>
      </w:r>
    </w:p>
    <w:p w14:paraId="2A4B9468"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Îndrumarea și asistarea autorităților administrației publice locale în constituirea, înregistrarea, organizarea și managementul asociațiilor de dezvoltare intercomunitară cu obiect de activitate servicii comunitare de utilități publice, inclusiv prin elaborarea și difuzarea unor ghiduri și instrucțiuni;</w:t>
      </w:r>
    </w:p>
    <w:p w14:paraId="30892802"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Reprezentarea Consiliului Județean Cluj, conform ariei de competență, în grupurile de lucru, colectivele de lucru, la acțiunile organizate de instituțiile guvernamentale și neguvernamentale;</w:t>
      </w:r>
    </w:p>
    <w:p w14:paraId="18D0A07B" w14:textId="77777777" w:rsidR="00EE658E" w:rsidRPr="00EE658E" w:rsidRDefault="00EE658E" w:rsidP="00EE658E">
      <w:pPr>
        <w:numPr>
          <w:ilvl w:val="0"/>
          <w:numId w:val="2"/>
        </w:numPr>
        <w:tabs>
          <w:tab w:val="left" w:pos="360"/>
          <w:tab w:val="left" w:pos="426"/>
        </w:tabs>
        <w:autoSpaceDE w:val="0"/>
        <w:autoSpaceDN w:val="0"/>
        <w:adjustRightInd w:val="0"/>
        <w:spacing w:after="0" w:line="240" w:lineRule="auto"/>
        <w:jc w:val="both"/>
        <w:rPr>
          <w:rFonts w:ascii="Montserrat Medium" w:eastAsia="Times New Roman" w:hAnsi="Montserrat Medium" w:cstheme="majorHAnsi"/>
        </w:rPr>
      </w:pPr>
      <w:r w:rsidRPr="00EE658E">
        <w:rPr>
          <w:rFonts w:ascii="Montserrat Medium" w:eastAsia="Times New Roman" w:hAnsi="Montserrat Medium" w:cstheme="majorHAnsi"/>
        </w:rPr>
        <w:t>Monitorizează stadiul derulării programelor naționale în domeniul investițiilor pentru electrificarea localităților ori pentru extinderea rețelelor de distribuție a energiei electrice, a celor de gaze naturale, de telefonie, etc;</w:t>
      </w:r>
    </w:p>
    <w:p w14:paraId="26EEACEE" w14:textId="77777777" w:rsidR="00EE658E" w:rsidRPr="00EE658E" w:rsidRDefault="00EE658E">
      <w:pPr>
        <w:rPr>
          <w:rFonts w:ascii="Montserrat Medium" w:hAnsi="Montserrat Medium"/>
        </w:rPr>
      </w:pPr>
    </w:p>
    <w:sectPr w:rsidR="00EE658E" w:rsidRPr="00EE658E" w:rsidSect="00032267">
      <w:pgSz w:w="11909" w:h="16834" w:code="9"/>
      <w:pgMar w:top="288" w:right="864" w:bottom="245" w:left="864" w:header="0" w:footer="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5522"/>
    <w:multiLevelType w:val="hybridMultilevel"/>
    <w:tmpl w:val="B60C8046"/>
    <w:lvl w:ilvl="0" w:tplc="84925C52">
      <w:start w:val="1"/>
      <w:numFmt w:val="lowerLetter"/>
      <w:lvlText w:val="%1)"/>
      <w:lvlJc w:val="left"/>
      <w:pPr>
        <w:ind w:left="809" w:hanging="525"/>
      </w:pPr>
      <w:rPr>
        <w:rFonts w:hint="default"/>
        <w:b/>
        <w:bCs/>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15:restartNumberingAfterBreak="0">
    <w:nsid w:val="6E5451C4"/>
    <w:multiLevelType w:val="hybridMultilevel"/>
    <w:tmpl w:val="C81C6668"/>
    <w:lvl w:ilvl="0" w:tplc="3C76DF3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9566507">
    <w:abstractNumId w:val="0"/>
  </w:num>
  <w:num w:numId="2" w16cid:durableId="362830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9D"/>
    <w:rsid w:val="00032267"/>
    <w:rsid w:val="0019349D"/>
    <w:rsid w:val="001F6AB9"/>
    <w:rsid w:val="005076D7"/>
    <w:rsid w:val="00534FAD"/>
    <w:rsid w:val="00650A4F"/>
    <w:rsid w:val="00B32514"/>
    <w:rsid w:val="00EE658E"/>
    <w:rsid w:val="00F65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2E70"/>
  <w15:chartTrackingRefBased/>
  <w15:docId w15:val="{597ABE99-CCE3-4E73-8D53-1169BDFA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58E"/>
    <w:rPr>
      <w:noProof/>
      <w:kern w:val="0"/>
      <w14:ligatures w14:val="none"/>
    </w:rPr>
  </w:style>
  <w:style w:type="paragraph" w:styleId="Titlu1">
    <w:name w:val="heading 1"/>
    <w:basedOn w:val="Normal"/>
    <w:next w:val="Normal"/>
    <w:link w:val="Titlu1Caracter"/>
    <w:uiPriority w:val="9"/>
    <w:qFormat/>
    <w:rsid w:val="001934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1934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19349D"/>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19349D"/>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19349D"/>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19349D"/>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9349D"/>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9349D"/>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9349D"/>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9349D"/>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9349D"/>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9349D"/>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9349D"/>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19349D"/>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19349D"/>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9349D"/>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9349D"/>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9349D"/>
    <w:rPr>
      <w:rFonts w:eastAsiaTheme="majorEastAsia" w:cstheme="majorBidi"/>
      <w:color w:val="272727" w:themeColor="text1" w:themeTint="D8"/>
    </w:rPr>
  </w:style>
  <w:style w:type="paragraph" w:styleId="Titlu">
    <w:name w:val="Title"/>
    <w:basedOn w:val="Normal"/>
    <w:next w:val="Normal"/>
    <w:link w:val="TitluCaracter"/>
    <w:uiPriority w:val="10"/>
    <w:qFormat/>
    <w:rsid w:val="00193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9349D"/>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9349D"/>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9349D"/>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9349D"/>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9349D"/>
    <w:rPr>
      <w:i/>
      <w:iCs/>
      <w:color w:val="404040" w:themeColor="text1" w:themeTint="BF"/>
    </w:rPr>
  </w:style>
  <w:style w:type="paragraph" w:styleId="Listparagraf">
    <w:name w:val="List Paragraph"/>
    <w:basedOn w:val="Normal"/>
    <w:uiPriority w:val="34"/>
    <w:qFormat/>
    <w:rsid w:val="0019349D"/>
    <w:pPr>
      <w:ind w:left="720"/>
      <w:contextualSpacing/>
    </w:pPr>
  </w:style>
  <w:style w:type="character" w:styleId="Accentuareintens">
    <w:name w:val="Intense Emphasis"/>
    <w:basedOn w:val="Fontdeparagrafimplicit"/>
    <w:uiPriority w:val="21"/>
    <w:qFormat/>
    <w:rsid w:val="0019349D"/>
    <w:rPr>
      <w:i/>
      <w:iCs/>
      <w:color w:val="2F5496" w:themeColor="accent1" w:themeShade="BF"/>
    </w:rPr>
  </w:style>
  <w:style w:type="paragraph" w:styleId="Citatintens">
    <w:name w:val="Intense Quote"/>
    <w:basedOn w:val="Normal"/>
    <w:next w:val="Normal"/>
    <w:link w:val="CitatintensCaracter"/>
    <w:uiPriority w:val="30"/>
    <w:qFormat/>
    <w:rsid w:val="00193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9349D"/>
    <w:rPr>
      <w:i/>
      <w:iCs/>
      <w:color w:val="2F5496" w:themeColor="accent1" w:themeShade="BF"/>
    </w:rPr>
  </w:style>
  <w:style w:type="character" w:styleId="Referireintens">
    <w:name w:val="Intense Reference"/>
    <w:basedOn w:val="Fontdeparagrafimplicit"/>
    <w:uiPriority w:val="32"/>
    <w:qFormat/>
    <w:rsid w:val="00193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1001</Words>
  <Characters>5810</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Lakatos</dc:creator>
  <cp:keywords/>
  <dc:description/>
  <cp:lastModifiedBy>Marius Lakatos</cp:lastModifiedBy>
  <cp:revision>2</cp:revision>
  <dcterms:created xsi:type="dcterms:W3CDTF">2024-06-26T08:33:00Z</dcterms:created>
  <dcterms:modified xsi:type="dcterms:W3CDTF">2024-06-26T08:41:00Z</dcterms:modified>
</cp:coreProperties>
</file>