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61BE0" w14:textId="2DCD158D" w:rsidR="002733AA" w:rsidRPr="001C7942" w:rsidRDefault="001C7942" w:rsidP="00192C36">
      <w:pPr>
        <w:spacing w:line="259" w:lineRule="auto"/>
        <w:rPr>
          <w:rFonts w:ascii="Montserrat" w:eastAsia="Calibri" w:hAnsi="Montserrat" w:cs="Times New Roman"/>
          <w:b/>
          <w:kern w:val="0"/>
          <w:lang w:val="ro-RO"/>
          <w14:ligatures w14:val="none"/>
        </w:rPr>
      </w:pPr>
      <w:r w:rsidRPr="001C7942">
        <w:rPr>
          <w:rFonts w:ascii="Montserrat" w:eastAsia="Calibri" w:hAnsi="Montserrat" w:cs="Times New Roman"/>
          <w:b/>
          <w:kern w:val="0"/>
          <w:lang w:val="ro-RO"/>
          <w14:ligatures w14:val="none"/>
        </w:rPr>
        <w:t>CENTRUL ȘCOLAR PENTRU EDUCAȚIE INCLUZIVĂ CLUJ-NAPOC</w:t>
      </w:r>
      <w:r w:rsidR="00CE75A4">
        <w:rPr>
          <w:rFonts w:ascii="Montserrat" w:eastAsia="Calibri" w:hAnsi="Montserrat" w:cs="Times New Roman"/>
          <w:b/>
          <w:kern w:val="0"/>
          <w:lang w:val="ro-RO"/>
          <w14:ligatures w14:val="none"/>
        </w:rPr>
        <w:t>A</w:t>
      </w:r>
    </w:p>
    <w:p w14:paraId="3A866812" w14:textId="0A02C49D" w:rsidR="001C7942" w:rsidRDefault="000D4197" w:rsidP="00192C36">
      <w:pPr>
        <w:spacing w:line="259" w:lineRule="auto"/>
        <w:rPr>
          <w:rFonts w:ascii="Montserrat" w:eastAsia="Calibri" w:hAnsi="Montserrat" w:cs="Times New Roman"/>
          <w:bCs/>
          <w:kern w:val="0"/>
          <w:sz w:val="22"/>
          <w:szCs w:val="22"/>
          <w:lang w:val="ro-RO"/>
          <w14:ligatures w14:val="none"/>
        </w:rPr>
      </w:pPr>
      <w:bookmarkStart w:id="0" w:name="_Hlk188513539"/>
      <w:r>
        <w:rPr>
          <w:rFonts w:ascii="Montserrat" w:eastAsia="Calibri" w:hAnsi="Montserrat" w:cs="Times New Roman"/>
          <w:bCs/>
          <w:kern w:val="0"/>
          <w:sz w:val="22"/>
          <w:szCs w:val="22"/>
          <w:lang w:val="ro-RO"/>
          <w14:ligatures w14:val="none"/>
        </w:rPr>
        <w:t>Anexa 3 – Lot 3</w:t>
      </w:r>
    </w:p>
    <w:tbl>
      <w:tblPr>
        <w:tblStyle w:val="TableGrid1"/>
        <w:tblW w:w="13045" w:type="dxa"/>
        <w:jc w:val="center"/>
        <w:tblLayout w:type="fixed"/>
        <w:tblLook w:val="04A0" w:firstRow="1" w:lastRow="0" w:firstColumn="1" w:lastColumn="0" w:noHBand="0" w:noVBand="1"/>
      </w:tblPr>
      <w:tblGrid>
        <w:gridCol w:w="567"/>
        <w:gridCol w:w="2268"/>
        <w:gridCol w:w="850"/>
        <w:gridCol w:w="900"/>
        <w:gridCol w:w="1652"/>
        <w:gridCol w:w="6808"/>
      </w:tblGrid>
      <w:tr w:rsidR="000D4197" w:rsidRPr="00AC6C83" w14:paraId="11876B4D" w14:textId="77777777" w:rsidTr="00D64F88">
        <w:trPr>
          <w:tblHeader/>
          <w:jc w:val="center"/>
        </w:trPr>
        <w:tc>
          <w:tcPr>
            <w:tcW w:w="567" w:type="dxa"/>
            <w:shd w:val="clear" w:color="auto" w:fill="D9D9D9" w:themeFill="background1" w:themeFillShade="D9"/>
          </w:tcPr>
          <w:p w14:paraId="5D4848F8"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Nr. Crt.</w:t>
            </w:r>
          </w:p>
        </w:tc>
        <w:tc>
          <w:tcPr>
            <w:tcW w:w="2268" w:type="dxa"/>
            <w:shd w:val="clear" w:color="auto" w:fill="D9D9D9" w:themeFill="background1" w:themeFillShade="D9"/>
          </w:tcPr>
          <w:p w14:paraId="3924390C"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Denumire</w:t>
            </w:r>
          </w:p>
        </w:tc>
        <w:tc>
          <w:tcPr>
            <w:tcW w:w="850" w:type="dxa"/>
            <w:shd w:val="clear" w:color="auto" w:fill="D9D9D9" w:themeFill="background1" w:themeFillShade="D9"/>
          </w:tcPr>
          <w:p w14:paraId="3DAD4ADD"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Cantitate</w:t>
            </w:r>
          </w:p>
        </w:tc>
        <w:tc>
          <w:tcPr>
            <w:tcW w:w="900" w:type="dxa"/>
            <w:shd w:val="clear" w:color="auto" w:fill="D9D9D9" w:themeFill="background1" w:themeFillShade="D9"/>
          </w:tcPr>
          <w:p w14:paraId="3C1DE165"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UM/</w:t>
            </w:r>
          </w:p>
          <w:p w14:paraId="615CA2C0"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buc</w:t>
            </w:r>
          </w:p>
        </w:tc>
        <w:tc>
          <w:tcPr>
            <w:tcW w:w="1652" w:type="dxa"/>
            <w:shd w:val="clear" w:color="auto" w:fill="D9D9D9" w:themeFill="background1" w:themeFillShade="D9"/>
          </w:tcPr>
          <w:p w14:paraId="39DC8F65"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Loc de livrare</w:t>
            </w:r>
          </w:p>
        </w:tc>
        <w:tc>
          <w:tcPr>
            <w:tcW w:w="6808" w:type="dxa"/>
            <w:shd w:val="clear" w:color="auto" w:fill="D9D9D9" w:themeFill="background1" w:themeFillShade="D9"/>
          </w:tcPr>
          <w:p w14:paraId="0E67DD9E" w14:textId="77777777" w:rsidR="000D4197" w:rsidRPr="00192C36" w:rsidRDefault="000D4197" w:rsidP="001C7942">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Specificații tehnice SAU</w:t>
            </w:r>
          </w:p>
          <w:p w14:paraId="4174245A" w14:textId="23626266" w:rsidR="000D4197" w:rsidRPr="00192C36" w:rsidRDefault="000D4197" w:rsidP="00DB216A">
            <w:pPr>
              <w:spacing w:line="276" w:lineRule="auto"/>
              <w:jc w:val="center"/>
              <w:rPr>
                <w:rFonts w:ascii="Montserrat" w:eastAsia="Calibri" w:hAnsi="Montserrat" w:cs="Times New Roman"/>
                <w:b/>
                <w:sz w:val="16"/>
                <w:szCs w:val="16"/>
              </w:rPr>
            </w:pPr>
            <w:r w:rsidRPr="00192C36">
              <w:rPr>
                <w:rFonts w:ascii="Montserrat" w:eastAsia="Calibri" w:hAnsi="Montserrat" w:cs="Times New Roman"/>
                <w:b/>
                <w:sz w:val="16"/>
                <w:szCs w:val="16"/>
              </w:rPr>
              <w:t>cerințe de performanță /</w:t>
            </w:r>
            <w:r w:rsidR="00DB216A">
              <w:rPr>
                <w:rFonts w:ascii="Montserrat" w:eastAsia="Calibri" w:hAnsi="Montserrat" w:cs="Times New Roman"/>
                <w:b/>
                <w:sz w:val="16"/>
                <w:szCs w:val="16"/>
              </w:rPr>
              <w:t xml:space="preserve"> </w:t>
            </w:r>
            <w:r w:rsidRPr="00192C36">
              <w:rPr>
                <w:rFonts w:ascii="Montserrat" w:eastAsia="Calibri" w:hAnsi="Montserrat" w:cs="Times New Roman"/>
                <w:b/>
                <w:sz w:val="16"/>
                <w:szCs w:val="16"/>
              </w:rPr>
              <w:t>funcționale minime</w:t>
            </w:r>
          </w:p>
        </w:tc>
      </w:tr>
      <w:tr w:rsidR="000D4197" w:rsidRPr="007A4DC5" w14:paraId="229E4253" w14:textId="77777777" w:rsidTr="00D64F88">
        <w:trPr>
          <w:jc w:val="center"/>
        </w:trPr>
        <w:tc>
          <w:tcPr>
            <w:tcW w:w="567" w:type="dxa"/>
          </w:tcPr>
          <w:p w14:paraId="34B62833" w14:textId="77777777" w:rsidR="000D4197" w:rsidRPr="00192C36" w:rsidRDefault="000D4197" w:rsidP="00566099">
            <w:pPr>
              <w:numPr>
                <w:ilvl w:val="0"/>
                <w:numId w:val="3"/>
              </w:numPr>
              <w:spacing w:line="276" w:lineRule="auto"/>
              <w:rPr>
                <w:rFonts w:ascii="Montserrat" w:eastAsia="Calibri" w:hAnsi="Montserrat" w:cs="Arial"/>
                <w:sz w:val="16"/>
                <w:szCs w:val="16"/>
              </w:rPr>
            </w:pPr>
          </w:p>
        </w:tc>
        <w:tc>
          <w:tcPr>
            <w:tcW w:w="2268" w:type="dxa"/>
          </w:tcPr>
          <w:p w14:paraId="4B310684" w14:textId="1869FC36" w:rsidR="000D4197" w:rsidRPr="00F1582C" w:rsidRDefault="000D4197"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Matrici progresive color Raven</w:t>
            </w:r>
          </w:p>
        </w:tc>
        <w:tc>
          <w:tcPr>
            <w:tcW w:w="850" w:type="dxa"/>
            <w:tcBorders>
              <w:top w:val="nil"/>
              <w:left w:val="single" w:sz="4" w:space="0" w:color="auto"/>
              <w:bottom w:val="single" w:sz="4" w:space="0" w:color="auto"/>
              <w:right w:val="single" w:sz="4" w:space="0" w:color="auto"/>
            </w:tcBorders>
            <w:shd w:val="clear" w:color="auto" w:fill="auto"/>
          </w:tcPr>
          <w:p w14:paraId="32D3D590" w14:textId="747FBD5D" w:rsidR="000D4197" w:rsidRPr="00F1582C" w:rsidRDefault="000D4197"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1</w:t>
            </w:r>
          </w:p>
        </w:tc>
        <w:tc>
          <w:tcPr>
            <w:tcW w:w="900" w:type="dxa"/>
          </w:tcPr>
          <w:p w14:paraId="03B4C677" w14:textId="63908D4C" w:rsidR="000D4197" w:rsidRPr="00F1582C" w:rsidRDefault="000D4197"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buc</w:t>
            </w:r>
          </w:p>
        </w:tc>
        <w:tc>
          <w:tcPr>
            <w:tcW w:w="1652" w:type="dxa"/>
          </w:tcPr>
          <w:p w14:paraId="14EC022E" w14:textId="3B8987D5" w:rsidR="000D4197" w:rsidRPr="00F1582C" w:rsidRDefault="000D4197" w:rsidP="0056609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Cs/>
                <w:sz w:val="16"/>
                <w:szCs w:val="16"/>
              </w:rPr>
              <w:t>Cluj-Napoca, str. Av. Bădescu,  nr. 3-5</w:t>
            </w:r>
          </w:p>
        </w:tc>
        <w:tc>
          <w:tcPr>
            <w:tcW w:w="6808" w:type="dxa"/>
          </w:tcPr>
          <w:p w14:paraId="02504F62" w14:textId="0B7E209E" w:rsidR="000D4197" w:rsidRDefault="000D4197" w:rsidP="00D279CB">
            <w:pPr>
              <w:spacing w:line="276" w:lineRule="auto"/>
              <w:jc w:val="both"/>
              <w:rPr>
                <w:rFonts w:ascii="Montserrat" w:eastAsia="Calibri" w:hAnsi="Montserrat" w:cs="Times New Roman"/>
                <w:bCs/>
                <w:sz w:val="16"/>
                <w:szCs w:val="16"/>
              </w:rPr>
            </w:pPr>
            <w:r w:rsidRPr="00566099">
              <w:rPr>
                <w:rFonts w:ascii="Montserrat" w:eastAsia="Calibri" w:hAnsi="Montserrat" w:cs="Times New Roman"/>
                <w:bCs/>
                <w:sz w:val="16"/>
                <w:szCs w:val="16"/>
              </w:rPr>
              <w:t xml:space="preserve">Testul Matrici Progresive Color (CPM) este construit pentru a permite o măsurare mai acurată a proceselor intelectuale ale copiilor cu vârsta între 4-11 ani (mai precis a inteligenţei nonverbale), ale persoanelor retardate mintal şi ale vârstnicilor. </w:t>
            </w:r>
          </w:p>
          <w:p w14:paraId="67F23618" w14:textId="77777777" w:rsidR="000D4197" w:rsidRPr="002F205A" w:rsidRDefault="000D4197"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Testul Matrici Progresive Color (CPM) este alcătuit </w:t>
            </w:r>
            <w:r w:rsidRPr="007A4DC5">
              <w:rPr>
                <w:rFonts w:ascii="Montserrat" w:eastAsia="Calibri" w:hAnsi="Montserrat" w:cs="Times New Roman"/>
                <w:bCs/>
                <w:sz w:val="16"/>
                <w:szCs w:val="16"/>
              </w:rPr>
              <w:t>din 36 de itemi organizaţi în trei serii, fiecare a câte 12 itemi - A, Ab şi B. Acest test a</w:t>
            </w:r>
            <w:r w:rsidRPr="002F205A">
              <w:rPr>
                <w:rFonts w:ascii="Montserrat" w:eastAsia="Calibri" w:hAnsi="Montserrat" w:cs="Times New Roman"/>
                <w:bCs/>
                <w:sz w:val="16"/>
                <w:szCs w:val="16"/>
              </w:rPr>
              <w:t xml:space="preserve"> fost construit pentru testarea copiilor şi a persoanelor vârstnice. </w:t>
            </w:r>
          </w:p>
          <w:p w14:paraId="52122A7B" w14:textId="77777777" w:rsidR="000D4197" w:rsidRPr="002F205A" w:rsidRDefault="000D4197"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Poate fi folosit cu succes şi în testarea persoanelor care nu cunosc limba engleză, care prezintă diferite disfuncţii psihice, afazie, paralizii cerebrale, surzenie sau în evaluarea persoanelor cu un intelect sub limitã. </w:t>
            </w:r>
          </w:p>
          <w:p w14:paraId="626056A1" w14:textId="73FF48B3" w:rsidR="000D4197" w:rsidRPr="00566099" w:rsidRDefault="000D4197" w:rsidP="00D279CB">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Permite o măsurare mai acurată a proceselor intelectuale ale copiilor, ale persoanelor retardate mintal şi ale vârstnicilor. În cadrul acestuia Seriile C, D şi E au fost excluse, dar s-a adăugat o nouă Serie de 12 itemi (Seria Ab), aceasta fiind interpusă Seriilor A şi B. Fondul color pe care sunt prezentate problemele atrag atenţia şi fac testul mai interesant, reducând nevoia instrucţiunilor verbale. </w:t>
            </w:r>
          </w:p>
          <w:p w14:paraId="5344520B" w14:textId="77777777" w:rsidR="000D4197" w:rsidRDefault="000D4197" w:rsidP="00D279CB">
            <w:pPr>
              <w:spacing w:line="276" w:lineRule="auto"/>
              <w:jc w:val="both"/>
              <w:rPr>
                <w:rFonts w:ascii="Montserrat" w:eastAsia="Calibri" w:hAnsi="Montserrat" w:cs="Times New Roman"/>
                <w:bCs/>
                <w:sz w:val="16"/>
                <w:szCs w:val="16"/>
              </w:rPr>
            </w:pPr>
            <w:r w:rsidRPr="00566099">
              <w:rPr>
                <w:rFonts w:ascii="Montserrat" w:eastAsia="Calibri" w:hAnsi="Montserrat" w:cs="Times New Roman"/>
                <w:b/>
                <w:sz w:val="16"/>
                <w:szCs w:val="16"/>
              </w:rPr>
              <w:t>Pachetul cuprinde:</w:t>
            </w:r>
            <w:r w:rsidRPr="00566099">
              <w:rPr>
                <w:rFonts w:ascii="Montserrat" w:eastAsia="Calibri" w:hAnsi="Montserrat" w:cs="Times New Roman"/>
                <w:bCs/>
                <w:sz w:val="16"/>
                <w:szCs w:val="16"/>
              </w:rPr>
              <w:t xml:space="preserve"> Caiet de test CPM Clasic, Caiet de test CPM Paralel, 50 de foi de raspuns CPM Clasic, 50 de foi de raspuns CPM Paralel</w:t>
            </w:r>
            <w:r>
              <w:rPr>
                <w:rFonts w:ascii="Montserrat" w:eastAsia="Calibri" w:hAnsi="Montserrat" w:cs="Times New Roman"/>
                <w:bCs/>
                <w:sz w:val="16"/>
                <w:szCs w:val="16"/>
              </w:rPr>
              <w:t>.</w:t>
            </w:r>
          </w:p>
          <w:p w14:paraId="4317D99A" w14:textId="6150F36F" w:rsidR="00BB4392" w:rsidRPr="00566099" w:rsidRDefault="00BB4392" w:rsidP="00D279CB">
            <w:pPr>
              <w:spacing w:line="276" w:lineRule="auto"/>
              <w:jc w:val="both"/>
              <w:rPr>
                <w:rFonts w:ascii="Montserrat" w:eastAsia="Calibri" w:hAnsi="Montserrat" w:cs="Times New Roman"/>
                <w:bCs/>
                <w:sz w:val="16"/>
                <w:szCs w:val="16"/>
              </w:rPr>
            </w:pPr>
          </w:p>
        </w:tc>
      </w:tr>
      <w:tr w:rsidR="000D4197" w:rsidRPr="00D64F88" w14:paraId="69DEEFEE" w14:textId="77777777" w:rsidTr="00D64F88">
        <w:trPr>
          <w:jc w:val="center"/>
        </w:trPr>
        <w:tc>
          <w:tcPr>
            <w:tcW w:w="567" w:type="dxa"/>
          </w:tcPr>
          <w:p w14:paraId="2C6337B4" w14:textId="77777777" w:rsidR="000D4197" w:rsidRPr="00192C36" w:rsidRDefault="000D4197" w:rsidP="00394BF9">
            <w:pPr>
              <w:numPr>
                <w:ilvl w:val="0"/>
                <w:numId w:val="3"/>
              </w:numPr>
              <w:spacing w:line="276" w:lineRule="auto"/>
              <w:rPr>
                <w:rFonts w:ascii="Montserrat" w:eastAsia="Calibri" w:hAnsi="Montserrat" w:cs="Arial"/>
                <w:sz w:val="16"/>
                <w:szCs w:val="16"/>
              </w:rPr>
            </w:pPr>
          </w:p>
        </w:tc>
        <w:tc>
          <w:tcPr>
            <w:tcW w:w="2268" w:type="dxa"/>
          </w:tcPr>
          <w:p w14:paraId="755CCE27" w14:textId="7AB6F4EE" w:rsidR="000D4197" w:rsidRPr="00F1582C" w:rsidRDefault="000D4197" w:rsidP="00394BF9">
            <w:pPr>
              <w:spacing w:after="160" w:line="276" w:lineRule="auto"/>
              <w:jc w:val="center"/>
              <w:rPr>
                <w:rFonts w:ascii="Montserrat" w:eastAsia="Calibri" w:hAnsi="Montserrat" w:cs="Times New Roman"/>
                <w:b/>
                <w:sz w:val="16"/>
                <w:szCs w:val="16"/>
              </w:rPr>
            </w:pPr>
            <w:r w:rsidRPr="00F1582C">
              <w:rPr>
                <w:rFonts w:ascii="Montserrat" w:eastAsia="Calibri" w:hAnsi="Montserrat" w:cs="Times New Roman"/>
                <w:b/>
                <w:sz w:val="16"/>
                <w:szCs w:val="16"/>
              </w:rPr>
              <w:t>Matricele progresive standard Raven</w:t>
            </w:r>
          </w:p>
        </w:tc>
        <w:tc>
          <w:tcPr>
            <w:tcW w:w="850" w:type="dxa"/>
            <w:tcBorders>
              <w:top w:val="nil"/>
              <w:left w:val="single" w:sz="4" w:space="0" w:color="auto"/>
              <w:bottom w:val="single" w:sz="4" w:space="0" w:color="auto"/>
              <w:right w:val="single" w:sz="4" w:space="0" w:color="auto"/>
            </w:tcBorders>
            <w:shd w:val="clear" w:color="auto" w:fill="auto"/>
          </w:tcPr>
          <w:p w14:paraId="045D9F3D" w14:textId="62B7EE26" w:rsidR="000D4197" w:rsidRPr="00F1582C" w:rsidRDefault="000D4197"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900" w:type="dxa"/>
          </w:tcPr>
          <w:p w14:paraId="16B29E63" w14:textId="453811AE" w:rsidR="000D4197" w:rsidRPr="00F1582C" w:rsidRDefault="000D4197"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52" w:type="dxa"/>
          </w:tcPr>
          <w:p w14:paraId="5D72EA6B" w14:textId="130B0CF1" w:rsidR="000D4197" w:rsidRPr="00F1582C" w:rsidRDefault="000D4197" w:rsidP="00394BF9">
            <w:pPr>
              <w:spacing w:after="160" w:line="276" w:lineRule="auto"/>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6808" w:type="dxa"/>
          </w:tcPr>
          <w:p w14:paraId="3959FB05" w14:textId="77777777" w:rsidR="000D4197" w:rsidRPr="002F205A" w:rsidRDefault="000D4197" w:rsidP="00394BF9">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 xml:space="preserve">Testul este alcătuit din </w:t>
            </w:r>
            <w:r w:rsidRPr="007A4DC5">
              <w:rPr>
                <w:rFonts w:ascii="Montserrat" w:eastAsia="Calibri" w:hAnsi="Montserrat" w:cs="Times New Roman"/>
                <w:bCs/>
                <w:sz w:val="16"/>
                <w:szCs w:val="16"/>
              </w:rPr>
              <w:t>5 serii a câte 12 itemi, care cresc progresiv‚ în dificultate. Testul este alcătuit din cinci seturi sau serii de imagini/diagrame lacunare în care apar modificări seriale simultan în două dimensiuni. Fiecare diagramă are o parte lipsă, iar persoana testată trebuie să o identifice între alternativele de răspuns care îi sunt oferite. Testul Standard este alcătuit din 60 de itemi organizaţi pe cinci serii (A, B, C, D şi E) a câte 12 probleme. În cadrul fiecărei serii soluţia primei probleme este cât se poate de evidentă. Soluţiile la problemele care urmează se bazează pe strategiile care au condus la găsirea soluţiilor precedente şi devin din ce în ce mai dificile. Ordinea itemilor oferă antrenamentul necesar înţelegerii metodei de lucru. Cele cinci serii oferă cinci oportunităţi</w:t>
            </w:r>
            <w:r w:rsidRPr="002F205A">
              <w:rPr>
                <w:rFonts w:ascii="Montserrat" w:eastAsia="Calibri" w:hAnsi="Montserrat" w:cs="Times New Roman"/>
                <w:bCs/>
                <w:sz w:val="16"/>
                <w:szCs w:val="16"/>
              </w:rPr>
              <w:t xml:space="preserve"> de a deprinde strategia necesară rezolvării problemelor şi cinci evaluări progresive ale aptitudinilor intelectuale ale individului. SPM poate fi administrat şi persoanelor care nu vorbesc limba română sau care au deficienţe auditive. </w:t>
            </w:r>
          </w:p>
          <w:p w14:paraId="4BEC6F25" w14:textId="36CEDF51" w:rsidR="000D4197"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
                <w:sz w:val="16"/>
                <w:szCs w:val="16"/>
              </w:rPr>
              <w:t>Pachetul cuprinde:</w:t>
            </w:r>
            <w:r w:rsidRPr="00382404">
              <w:rPr>
                <w:rFonts w:ascii="Montserrat" w:eastAsia="Calibri" w:hAnsi="Montserrat" w:cs="Times New Roman"/>
                <w:bCs/>
                <w:sz w:val="16"/>
                <w:szCs w:val="16"/>
              </w:rPr>
              <w:t xml:space="preserve"> </w:t>
            </w:r>
          </w:p>
          <w:p w14:paraId="2809114E" w14:textId="7067747A"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Manualul Testului SPM</w:t>
            </w:r>
          </w:p>
          <w:p w14:paraId="7EE99B86" w14:textId="77777777"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Clasic</w:t>
            </w:r>
          </w:p>
          <w:p w14:paraId="63005ABD" w14:textId="77777777"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Paralel</w:t>
            </w:r>
          </w:p>
          <w:p w14:paraId="1FA5F6A1" w14:textId="77777777"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Caiet de test SPM Plus</w:t>
            </w:r>
          </w:p>
          <w:p w14:paraId="3CF33C88" w14:textId="77777777"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Clasic</w:t>
            </w:r>
          </w:p>
          <w:p w14:paraId="5A65F02B" w14:textId="77777777" w:rsidR="000D4197" w:rsidRPr="00382404" w:rsidRDefault="000D4197" w:rsidP="00394BF9">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Paralel</w:t>
            </w:r>
          </w:p>
          <w:p w14:paraId="3DA63339" w14:textId="499A9D80" w:rsidR="00BB4392" w:rsidRPr="00F1582C" w:rsidRDefault="000D4197" w:rsidP="00BB4392">
            <w:pPr>
              <w:spacing w:line="276" w:lineRule="auto"/>
              <w:jc w:val="both"/>
              <w:rPr>
                <w:rFonts w:ascii="Montserrat" w:eastAsia="Calibri" w:hAnsi="Montserrat" w:cs="Times New Roman"/>
                <w:bCs/>
                <w:sz w:val="16"/>
                <w:szCs w:val="16"/>
              </w:rPr>
            </w:pPr>
            <w:r w:rsidRPr="00382404">
              <w:rPr>
                <w:rFonts w:ascii="Montserrat" w:eastAsia="Calibri" w:hAnsi="Montserrat" w:cs="Times New Roman"/>
                <w:bCs/>
                <w:sz w:val="16"/>
                <w:szCs w:val="16"/>
              </w:rPr>
              <w:t>50 de foi de raspuns SPM Plus</w:t>
            </w:r>
            <w:r>
              <w:rPr>
                <w:rFonts w:ascii="Montserrat" w:eastAsia="Calibri" w:hAnsi="Montserrat" w:cs="Times New Roman"/>
                <w:bCs/>
                <w:sz w:val="16"/>
                <w:szCs w:val="16"/>
              </w:rPr>
              <w:t>.</w:t>
            </w:r>
          </w:p>
        </w:tc>
      </w:tr>
      <w:tr w:rsidR="000D4197" w:rsidRPr="007A4DC5" w14:paraId="1A135642" w14:textId="77777777" w:rsidTr="00D64F88">
        <w:trPr>
          <w:jc w:val="center"/>
        </w:trPr>
        <w:tc>
          <w:tcPr>
            <w:tcW w:w="567" w:type="dxa"/>
          </w:tcPr>
          <w:p w14:paraId="28A76ED4" w14:textId="77777777" w:rsidR="000D4197" w:rsidRPr="00192C36" w:rsidRDefault="000D4197" w:rsidP="00394BF9">
            <w:pPr>
              <w:numPr>
                <w:ilvl w:val="0"/>
                <w:numId w:val="3"/>
              </w:numPr>
              <w:spacing w:line="276" w:lineRule="auto"/>
              <w:rPr>
                <w:rFonts w:ascii="Montserrat" w:eastAsia="Calibri" w:hAnsi="Montserrat" w:cs="Arial"/>
                <w:sz w:val="16"/>
                <w:szCs w:val="16"/>
              </w:rPr>
            </w:pPr>
          </w:p>
        </w:tc>
        <w:tc>
          <w:tcPr>
            <w:tcW w:w="2268" w:type="dxa"/>
          </w:tcPr>
          <w:p w14:paraId="3A538E09" w14:textId="1DEDAD46" w:rsidR="000D4197" w:rsidRPr="00F1582C" w:rsidRDefault="000D4197" w:rsidP="00394BF9">
            <w:pPr>
              <w:spacing w:after="160" w:line="276" w:lineRule="auto"/>
              <w:jc w:val="center"/>
              <w:rPr>
                <w:rFonts w:ascii="Montserrat" w:eastAsia="Calibri" w:hAnsi="Montserrat" w:cs="Times New Roman"/>
                <w:b/>
                <w:sz w:val="16"/>
                <w:szCs w:val="16"/>
              </w:rPr>
            </w:pPr>
            <w:r w:rsidRPr="00A43794">
              <w:rPr>
                <w:rFonts w:ascii="Montserrat" w:eastAsia="Calibri" w:hAnsi="Montserrat" w:cs="Times New Roman"/>
                <w:b/>
                <w:sz w:val="16"/>
                <w:szCs w:val="16"/>
              </w:rPr>
              <w:t>Scala de Inteligenţă Wechsler pentru Copii – ediţia a patra</w:t>
            </w:r>
            <w:r>
              <w:rPr>
                <w:rFonts w:ascii="Montserrat" w:eastAsia="Calibri" w:hAnsi="Montserrat" w:cs="Times New Roman"/>
                <w:b/>
                <w:sz w:val="16"/>
                <w:szCs w:val="16"/>
              </w:rPr>
              <w:t xml:space="preserve"> </w:t>
            </w:r>
            <w:r w:rsidRPr="00F1582C">
              <w:rPr>
                <w:rFonts w:ascii="Montserrat" w:eastAsia="Calibri" w:hAnsi="Montserrat" w:cs="Times New Roman"/>
                <w:b/>
                <w:sz w:val="16"/>
                <w:szCs w:val="16"/>
              </w:rPr>
              <w:t>WISC-IV</w:t>
            </w:r>
          </w:p>
        </w:tc>
        <w:tc>
          <w:tcPr>
            <w:tcW w:w="850" w:type="dxa"/>
            <w:tcBorders>
              <w:top w:val="nil"/>
              <w:left w:val="single" w:sz="4" w:space="0" w:color="auto"/>
              <w:bottom w:val="single" w:sz="4" w:space="0" w:color="auto"/>
              <w:right w:val="single" w:sz="4" w:space="0" w:color="auto"/>
            </w:tcBorders>
            <w:shd w:val="clear" w:color="auto" w:fill="auto"/>
          </w:tcPr>
          <w:p w14:paraId="327CD300" w14:textId="22AC1DEE" w:rsidR="000D4197" w:rsidRPr="00F1582C" w:rsidRDefault="000D4197"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1</w:t>
            </w:r>
          </w:p>
        </w:tc>
        <w:tc>
          <w:tcPr>
            <w:tcW w:w="900" w:type="dxa"/>
          </w:tcPr>
          <w:p w14:paraId="79B777C5" w14:textId="400507FB" w:rsidR="000D4197" w:rsidRPr="00F1582C" w:rsidRDefault="000D4197" w:rsidP="00394BF9">
            <w:pPr>
              <w:spacing w:after="160" w:line="276" w:lineRule="auto"/>
              <w:jc w:val="center"/>
              <w:rPr>
                <w:rFonts w:ascii="Montserrat" w:eastAsia="Calibri" w:hAnsi="Montserrat" w:cs="Times New Roman"/>
                <w:b/>
                <w:sz w:val="16"/>
                <w:szCs w:val="16"/>
              </w:rPr>
            </w:pPr>
            <w:r>
              <w:rPr>
                <w:rFonts w:ascii="Montserrat" w:eastAsia="Calibri" w:hAnsi="Montserrat" w:cs="Times New Roman"/>
                <w:bCs/>
                <w:sz w:val="16"/>
                <w:szCs w:val="16"/>
              </w:rPr>
              <w:t>buc</w:t>
            </w:r>
          </w:p>
        </w:tc>
        <w:tc>
          <w:tcPr>
            <w:tcW w:w="1652" w:type="dxa"/>
          </w:tcPr>
          <w:p w14:paraId="152863FD" w14:textId="1C0FFDD4" w:rsidR="000D4197" w:rsidRPr="00F1582C" w:rsidRDefault="000D4197" w:rsidP="00394BF9">
            <w:pPr>
              <w:spacing w:after="160" w:line="276" w:lineRule="auto"/>
              <w:jc w:val="both"/>
              <w:rPr>
                <w:rFonts w:ascii="Montserrat" w:eastAsia="Calibri" w:hAnsi="Montserrat" w:cs="Times New Roman"/>
                <w:b/>
                <w:sz w:val="16"/>
                <w:szCs w:val="16"/>
              </w:rPr>
            </w:pPr>
            <w:r w:rsidRPr="001C7942">
              <w:rPr>
                <w:rFonts w:ascii="Montserrat" w:eastAsia="Calibri" w:hAnsi="Montserrat" w:cs="Times New Roman"/>
                <w:bCs/>
                <w:sz w:val="16"/>
                <w:szCs w:val="16"/>
              </w:rPr>
              <w:t>Cluj-Napoca, str. Av. Bădescu,  nr. 3-5</w:t>
            </w:r>
          </w:p>
        </w:tc>
        <w:tc>
          <w:tcPr>
            <w:tcW w:w="6808" w:type="dxa"/>
          </w:tcPr>
          <w:p w14:paraId="6099D846" w14:textId="0A689CBF" w:rsidR="000D4197" w:rsidRPr="002F205A" w:rsidRDefault="000D4197" w:rsidP="002F205A">
            <w:pPr>
              <w:spacing w:line="276" w:lineRule="auto"/>
              <w:jc w:val="both"/>
              <w:rPr>
                <w:rFonts w:ascii="Montserrat" w:eastAsia="Calibri" w:hAnsi="Montserrat" w:cs="Times New Roman"/>
                <w:bCs/>
                <w:sz w:val="16"/>
                <w:szCs w:val="16"/>
              </w:rPr>
            </w:pPr>
            <w:r w:rsidRPr="002F205A">
              <w:rPr>
                <w:rFonts w:ascii="Montserrat" w:eastAsia="Calibri" w:hAnsi="Montserrat" w:cs="Times New Roman"/>
                <w:bCs/>
                <w:sz w:val="16"/>
                <w:szCs w:val="16"/>
              </w:rPr>
              <w:t>Scala de Inteligenţă Wechsler pentru Copii – ediţia a patra (Wechsler Intelligence Scale for Children – Fourth Edition) este un instrument clinic, administrat individual, care evaluează abilitatea cognitivă a copiilor cu vârste cuprinse între 6 ani şi 0 luni şi 16 ani şi 11 luni (6:0 – 16:11). Scala WISC-IV oferă scoruri compozite care reprezintă funcţionarea intelectuală în domenii cognitive specifice (ex. Indicele de Înţelegere verbală, Indicele Raţionamentului perceptiv, Indicele Memoriei de lucru şi Indicele Vitezei de procesare), dar oferă şi un scor compozit care reprezintă abilitatea intelectuală generală a copilului (ex. Coefcientul de inteligenţă total). Administrare: Creion-hârtie</w:t>
            </w:r>
            <w:r>
              <w:rPr>
                <w:rFonts w:ascii="Montserrat" w:eastAsia="Calibri" w:hAnsi="Montserrat" w:cs="Times New Roman"/>
                <w:bCs/>
                <w:sz w:val="16"/>
                <w:szCs w:val="16"/>
              </w:rPr>
              <w:t>.</w:t>
            </w:r>
          </w:p>
          <w:p w14:paraId="31E633A2" w14:textId="77777777" w:rsidR="000D4197" w:rsidRPr="007A4DC5" w:rsidRDefault="000D4197" w:rsidP="00394BF9">
            <w:pPr>
              <w:spacing w:line="276" w:lineRule="auto"/>
              <w:jc w:val="both"/>
              <w:rPr>
                <w:rFonts w:ascii="Montserrat" w:eastAsia="Calibri" w:hAnsi="Montserrat" w:cs="Times New Roman"/>
                <w:bCs/>
                <w:sz w:val="16"/>
                <w:szCs w:val="16"/>
              </w:rPr>
            </w:pPr>
            <w:r w:rsidRPr="007A4DC5">
              <w:rPr>
                <w:rFonts w:ascii="Montserrat" w:eastAsia="Calibri" w:hAnsi="Montserrat" w:cs="Times New Roman"/>
                <w:bCs/>
                <w:sz w:val="16"/>
                <w:szCs w:val="16"/>
              </w:rPr>
              <w:t xml:space="preserve">Structură: 10 subteste obligatorii şi cinci subteste suplimentare </w:t>
            </w:r>
          </w:p>
          <w:p w14:paraId="29CBB756" w14:textId="77777777" w:rsidR="000D4197" w:rsidRDefault="000D4197"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Timp de administrare: 60-90 minute Scoruri: Coeficient de inteligenţă total, patru indici cognitivi şi scoruri standard pe subscale Nivel de calificare: C, licenţiaţilor în psihologie Data publicării în România: 2012 </w:t>
            </w:r>
          </w:p>
          <w:p w14:paraId="019CFC4F" w14:textId="77777777" w:rsidR="000D4197" w:rsidRDefault="000D4197"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Vârsta: 6:0–16:11 ani </w:t>
            </w:r>
          </w:p>
          <w:p w14:paraId="42F4D092" w14:textId="273D7448" w:rsidR="000D4197" w:rsidRPr="00F363F0" w:rsidRDefault="000D4197" w:rsidP="00394BF9">
            <w:pPr>
              <w:spacing w:line="276" w:lineRule="auto"/>
              <w:jc w:val="both"/>
              <w:rPr>
                <w:rFonts w:ascii="Montserrat" w:eastAsia="Calibri" w:hAnsi="Montserrat" w:cs="Times New Roman"/>
                <w:bCs/>
                <w:sz w:val="16"/>
                <w:szCs w:val="16"/>
              </w:rPr>
            </w:pPr>
            <w:r w:rsidRPr="00F363F0">
              <w:rPr>
                <w:rFonts w:ascii="Montserrat" w:eastAsia="Calibri" w:hAnsi="Montserrat" w:cs="Times New Roman"/>
                <w:bCs/>
                <w:sz w:val="16"/>
                <w:szCs w:val="16"/>
              </w:rPr>
              <w:t xml:space="preserve">Norme pe eşantion reprezentativ de copii din România: Etalon pe vârste, scoruri pe indici cognitivi, </w:t>
            </w:r>
            <w:r w:rsidRPr="00A43794">
              <w:rPr>
                <w:rFonts w:ascii="Montserrat" w:eastAsia="Calibri" w:hAnsi="Montserrat" w:cs="Times New Roman"/>
                <w:bCs/>
                <w:sz w:val="16"/>
                <w:szCs w:val="16"/>
              </w:rPr>
              <w:t>coeficient de inteligenţă total între 60 şi 140</w:t>
            </w:r>
            <w:r>
              <w:rPr>
                <w:rFonts w:ascii="Montserrat" w:eastAsia="Calibri" w:hAnsi="Montserrat" w:cs="Times New Roman"/>
                <w:bCs/>
                <w:sz w:val="16"/>
                <w:szCs w:val="16"/>
              </w:rPr>
              <w:t>.</w:t>
            </w:r>
          </w:p>
        </w:tc>
      </w:tr>
      <w:bookmarkEnd w:id="0"/>
    </w:tbl>
    <w:p w14:paraId="47007B21" w14:textId="77777777" w:rsidR="00F836C7" w:rsidRDefault="00F836C7" w:rsidP="00935003">
      <w:pPr>
        <w:tabs>
          <w:tab w:val="left" w:pos="936"/>
        </w:tabs>
        <w:rPr>
          <w:rFonts w:ascii="Montserrat" w:eastAsia="Calibri" w:hAnsi="Montserrat" w:cs="Times New Roman"/>
          <w:sz w:val="22"/>
          <w:szCs w:val="22"/>
          <w:lang w:val="ro-RO"/>
        </w:rPr>
      </w:pPr>
    </w:p>
    <w:sectPr w:rsidR="00F836C7" w:rsidSect="00BB4392">
      <w:footerReference w:type="default" r:id="rId7"/>
      <w:pgSz w:w="15840" w:h="12240" w:orient="landscape"/>
      <w:pgMar w:top="993" w:right="1440" w:bottom="1134" w:left="1440" w:header="720" w:footer="3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454C" w14:textId="77777777" w:rsidR="009F59EE" w:rsidRDefault="009F59EE" w:rsidP="00066B8D">
      <w:pPr>
        <w:spacing w:after="0" w:line="240" w:lineRule="auto"/>
      </w:pPr>
      <w:r>
        <w:separator/>
      </w:r>
    </w:p>
  </w:endnote>
  <w:endnote w:type="continuationSeparator" w:id="0">
    <w:p w14:paraId="021F1F3F" w14:textId="77777777" w:rsidR="009F59EE" w:rsidRDefault="009F59EE" w:rsidP="0006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75773"/>
      <w:docPartObj>
        <w:docPartGallery w:val="Page Numbers (Bottom of Page)"/>
        <w:docPartUnique/>
      </w:docPartObj>
    </w:sdtPr>
    <w:sdtEndPr>
      <w:rPr>
        <w:rFonts w:ascii="Montserrat" w:hAnsi="Montserrat"/>
        <w:noProof/>
        <w:sz w:val="18"/>
        <w:szCs w:val="18"/>
      </w:rPr>
    </w:sdtEndPr>
    <w:sdtContent>
      <w:p w14:paraId="0864763C" w14:textId="44DD3CA5" w:rsidR="00066B8D" w:rsidRPr="00066B8D" w:rsidRDefault="00066B8D">
        <w:pPr>
          <w:pStyle w:val="Footer"/>
          <w:jc w:val="right"/>
          <w:rPr>
            <w:rFonts w:ascii="Montserrat" w:hAnsi="Montserrat"/>
            <w:sz w:val="18"/>
            <w:szCs w:val="18"/>
          </w:rPr>
        </w:pPr>
        <w:r w:rsidRPr="00066B8D">
          <w:rPr>
            <w:rFonts w:ascii="Montserrat" w:hAnsi="Montserrat"/>
            <w:sz w:val="18"/>
            <w:szCs w:val="18"/>
          </w:rPr>
          <w:fldChar w:fldCharType="begin"/>
        </w:r>
        <w:r w:rsidRPr="00066B8D">
          <w:rPr>
            <w:rFonts w:ascii="Montserrat" w:hAnsi="Montserrat"/>
            <w:sz w:val="18"/>
            <w:szCs w:val="18"/>
          </w:rPr>
          <w:instrText xml:space="preserve"> PAGE   \* MERGEFORMAT </w:instrText>
        </w:r>
        <w:r w:rsidRPr="00066B8D">
          <w:rPr>
            <w:rFonts w:ascii="Montserrat" w:hAnsi="Montserrat"/>
            <w:sz w:val="18"/>
            <w:szCs w:val="18"/>
          </w:rPr>
          <w:fldChar w:fldCharType="separate"/>
        </w:r>
        <w:r w:rsidRPr="00066B8D">
          <w:rPr>
            <w:rFonts w:ascii="Montserrat" w:hAnsi="Montserrat"/>
            <w:noProof/>
            <w:sz w:val="18"/>
            <w:szCs w:val="18"/>
          </w:rPr>
          <w:t>2</w:t>
        </w:r>
        <w:r w:rsidRPr="00066B8D">
          <w:rPr>
            <w:rFonts w:ascii="Montserrat" w:hAnsi="Montserrat"/>
            <w:noProof/>
            <w:sz w:val="18"/>
            <w:szCs w:val="18"/>
          </w:rPr>
          <w:fldChar w:fldCharType="end"/>
        </w:r>
      </w:p>
    </w:sdtContent>
  </w:sdt>
  <w:p w14:paraId="5CFE6774" w14:textId="77777777" w:rsidR="00066B8D" w:rsidRDefault="00066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4BADA" w14:textId="77777777" w:rsidR="009F59EE" w:rsidRDefault="009F59EE" w:rsidP="00066B8D">
      <w:pPr>
        <w:spacing w:after="0" w:line="240" w:lineRule="auto"/>
      </w:pPr>
      <w:r>
        <w:separator/>
      </w:r>
    </w:p>
  </w:footnote>
  <w:footnote w:type="continuationSeparator" w:id="0">
    <w:p w14:paraId="3250257F" w14:textId="77777777" w:rsidR="009F59EE" w:rsidRDefault="009F59EE" w:rsidP="00066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06BB"/>
    <w:multiLevelType w:val="hybridMultilevel"/>
    <w:tmpl w:val="C6A40B16"/>
    <w:lvl w:ilvl="0" w:tplc="AF7A4B50">
      <w:start w:val="6"/>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114D4"/>
    <w:multiLevelType w:val="hybridMultilevel"/>
    <w:tmpl w:val="F85A1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9D461C"/>
    <w:multiLevelType w:val="hybridMultilevel"/>
    <w:tmpl w:val="B9FC7C8C"/>
    <w:lvl w:ilvl="0" w:tplc="DCB21700">
      <w:numFmt w:val="bullet"/>
      <w:lvlText w:val="-"/>
      <w:lvlJc w:val="left"/>
      <w:pPr>
        <w:ind w:left="720" w:hanging="360"/>
      </w:pPr>
      <w:rPr>
        <w:rFonts w:ascii="Montserrat" w:eastAsia="Calibri" w:hAnsi="Montserr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D064C7"/>
    <w:multiLevelType w:val="hybridMultilevel"/>
    <w:tmpl w:val="B150DA24"/>
    <w:lvl w:ilvl="0" w:tplc="2F982C02">
      <w:start w:val="1"/>
      <w:numFmt w:val="decimal"/>
      <w:lvlText w:val="%1."/>
      <w:lvlJc w:val="left"/>
      <w:pPr>
        <w:ind w:left="502" w:hanging="360"/>
      </w:pPr>
      <w:rPr>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760053936">
    <w:abstractNumId w:val="1"/>
  </w:num>
  <w:num w:numId="2" w16cid:durableId="1563367076">
    <w:abstractNumId w:val="0"/>
  </w:num>
  <w:num w:numId="3" w16cid:durableId="1948728765">
    <w:abstractNumId w:val="3"/>
  </w:num>
  <w:num w:numId="4" w16cid:durableId="367216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C36"/>
    <w:rsid w:val="000363A4"/>
    <w:rsid w:val="00066B8D"/>
    <w:rsid w:val="00082AED"/>
    <w:rsid w:val="00085C16"/>
    <w:rsid w:val="00092258"/>
    <w:rsid w:val="000D4197"/>
    <w:rsid w:val="000F1492"/>
    <w:rsid w:val="00122937"/>
    <w:rsid w:val="00166942"/>
    <w:rsid w:val="00174540"/>
    <w:rsid w:val="001752BF"/>
    <w:rsid w:val="0018212C"/>
    <w:rsid w:val="00192C36"/>
    <w:rsid w:val="00197B6B"/>
    <w:rsid w:val="001A1D8D"/>
    <w:rsid w:val="001A60E7"/>
    <w:rsid w:val="001C7942"/>
    <w:rsid w:val="001F3DC3"/>
    <w:rsid w:val="001F6966"/>
    <w:rsid w:val="002077F0"/>
    <w:rsid w:val="002304A5"/>
    <w:rsid w:val="0026731C"/>
    <w:rsid w:val="002733AA"/>
    <w:rsid w:val="002A6A14"/>
    <w:rsid w:val="002B0371"/>
    <w:rsid w:val="002E7A89"/>
    <w:rsid w:val="002F205A"/>
    <w:rsid w:val="002F6C1E"/>
    <w:rsid w:val="003412FC"/>
    <w:rsid w:val="00382404"/>
    <w:rsid w:val="0039386E"/>
    <w:rsid w:val="00394BF9"/>
    <w:rsid w:val="003958B4"/>
    <w:rsid w:val="003A73AC"/>
    <w:rsid w:val="003B12F4"/>
    <w:rsid w:val="003B2082"/>
    <w:rsid w:val="003D36D2"/>
    <w:rsid w:val="00410211"/>
    <w:rsid w:val="00420FB8"/>
    <w:rsid w:val="00454127"/>
    <w:rsid w:val="004562CA"/>
    <w:rsid w:val="004845A4"/>
    <w:rsid w:val="00494835"/>
    <w:rsid w:val="004E794F"/>
    <w:rsid w:val="005559CB"/>
    <w:rsid w:val="00565CB0"/>
    <w:rsid w:val="00566099"/>
    <w:rsid w:val="00581D7A"/>
    <w:rsid w:val="005B3D1B"/>
    <w:rsid w:val="005C5BD3"/>
    <w:rsid w:val="005E0937"/>
    <w:rsid w:val="00602ABD"/>
    <w:rsid w:val="00615ED8"/>
    <w:rsid w:val="006555AC"/>
    <w:rsid w:val="0067263E"/>
    <w:rsid w:val="006774F2"/>
    <w:rsid w:val="006F1370"/>
    <w:rsid w:val="00710062"/>
    <w:rsid w:val="00710762"/>
    <w:rsid w:val="00750AD0"/>
    <w:rsid w:val="0075739B"/>
    <w:rsid w:val="00775D11"/>
    <w:rsid w:val="007A4DC5"/>
    <w:rsid w:val="00806809"/>
    <w:rsid w:val="00852F3B"/>
    <w:rsid w:val="008803A7"/>
    <w:rsid w:val="00884864"/>
    <w:rsid w:val="008A0011"/>
    <w:rsid w:val="008F2A51"/>
    <w:rsid w:val="008F74A6"/>
    <w:rsid w:val="00935003"/>
    <w:rsid w:val="00942D94"/>
    <w:rsid w:val="009528E3"/>
    <w:rsid w:val="00960E55"/>
    <w:rsid w:val="00966BA4"/>
    <w:rsid w:val="00992C11"/>
    <w:rsid w:val="009C0CED"/>
    <w:rsid w:val="009C337C"/>
    <w:rsid w:val="009C38ED"/>
    <w:rsid w:val="009F59EE"/>
    <w:rsid w:val="00A02707"/>
    <w:rsid w:val="00A43794"/>
    <w:rsid w:val="00A478EA"/>
    <w:rsid w:val="00A52E30"/>
    <w:rsid w:val="00A5598B"/>
    <w:rsid w:val="00A7731C"/>
    <w:rsid w:val="00AC6C83"/>
    <w:rsid w:val="00AE33F9"/>
    <w:rsid w:val="00AE75EE"/>
    <w:rsid w:val="00B0555D"/>
    <w:rsid w:val="00B12445"/>
    <w:rsid w:val="00B52084"/>
    <w:rsid w:val="00B81702"/>
    <w:rsid w:val="00BA2FF1"/>
    <w:rsid w:val="00BB4392"/>
    <w:rsid w:val="00C13B15"/>
    <w:rsid w:val="00C52AB5"/>
    <w:rsid w:val="00C620BB"/>
    <w:rsid w:val="00CA20DA"/>
    <w:rsid w:val="00CE5827"/>
    <w:rsid w:val="00CE75A4"/>
    <w:rsid w:val="00D279CB"/>
    <w:rsid w:val="00D457EC"/>
    <w:rsid w:val="00D503FA"/>
    <w:rsid w:val="00D628BA"/>
    <w:rsid w:val="00D64F88"/>
    <w:rsid w:val="00D844F1"/>
    <w:rsid w:val="00DB216A"/>
    <w:rsid w:val="00DC2732"/>
    <w:rsid w:val="00DC5F2B"/>
    <w:rsid w:val="00DE6407"/>
    <w:rsid w:val="00E37B07"/>
    <w:rsid w:val="00E40A76"/>
    <w:rsid w:val="00E52965"/>
    <w:rsid w:val="00E56BB6"/>
    <w:rsid w:val="00E74B63"/>
    <w:rsid w:val="00E83A55"/>
    <w:rsid w:val="00E8548F"/>
    <w:rsid w:val="00EB4470"/>
    <w:rsid w:val="00ED68AF"/>
    <w:rsid w:val="00EE103D"/>
    <w:rsid w:val="00EE5853"/>
    <w:rsid w:val="00EF090F"/>
    <w:rsid w:val="00F1582C"/>
    <w:rsid w:val="00F17349"/>
    <w:rsid w:val="00F363F0"/>
    <w:rsid w:val="00F44342"/>
    <w:rsid w:val="00F714C3"/>
    <w:rsid w:val="00F836C7"/>
    <w:rsid w:val="00F9302A"/>
    <w:rsid w:val="00FA71C1"/>
    <w:rsid w:val="00FC3E1A"/>
    <w:rsid w:val="00FE086A"/>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9C4328"/>
  <w15:chartTrackingRefBased/>
  <w15:docId w15:val="{A5F7875A-2C21-47CD-938A-F07017E5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C36"/>
    <w:rPr>
      <w:rFonts w:eastAsiaTheme="majorEastAsia" w:cstheme="majorBidi"/>
      <w:color w:val="272727" w:themeColor="text1" w:themeTint="D8"/>
    </w:rPr>
  </w:style>
  <w:style w:type="paragraph" w:styleId="Title">
    <w:name w:val="Title"/>
    <w:basedOn w:val="Normal"/>
    <w:next w:val="Normal"/>
    <w:link w:val="TitleChar"/>
    <w:uiPriority w:val="10"/>
    <w:qFormat/>
    <w:rsid w:val="00192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C36"/>
    <w:pPr>
      <w:spacing w:before="160"/>
      <w:jc w:val="center"/>
    </w:pPr>
    <w:rPr>
      <w:i/>
      <w:iCs/>
      <w:color w:val="404040" w:themeColor="text1" w:themeTint="BF"/>
    </w:rPr>
  </w:style>
  <w:style w:type="character" w:customStyle="1" w:styleId="QuoteChar">
    <w:name w:val="Quote Char"/>
    <w:basedOn w:val="DefaultParagraphFont"/>
    <w:link w:val="Quote"/>
    <w:uiPriority w:val="29"/>
    <w:rsid w:val="00192C36"/>
    <w:rPr>
      <w:i/>
      <w:iCs/>
      <w:color w:val="404040" w:themeColor="text1" w:themeTint="BF"/>
    </w:rPr>
  </w:style>
  <w:style w:type="paragraph" w:styleId="ListParagraph">
    <w:name w:val="List Paragraph"/>
    <w:basedOn w:val="Normal"/>
    <w:uiPriority w:val="34"/>
    <w:qFormat/>
    <w:rsid w:val="00192C36"/>
    <w:pPr>
      <w:ind w:left="720"/>
      <w:contextualSpacing/>
    </w:pPr>
  </w:style>
  <w:style w:type="character" w:styleId="IntenseEmphasis">
    <w:name w:val="Intense Emphasis"/>
    <w:basedOn w:val="DefaultParagraphFont"/>
    <w:uiPriority w:val="21"/>
    <w:qFormat/>
    <w:rsid w:val="00192C36"/>
    <w:rPr>
      <w:i/>
      <w:iCs/>
      <w:color w:val="0F4761" w:themeColor="accent1" w:themeShade="BF"/>
    </w:rPr>
  </w:style>
  <w:style w:type="paragraph" w:styleId="IntenseQuote">
    <w:name w:val="Intense Quote"/>
    <w:basedOn w:val="Normal"/>
    <w:next w:val="Normal"/>
    <w:link w:val="IntenseQuoteChar"/>
    <w:uiPriority w:val="30"/>
    <w:qFormat/>
    <w:rsid w:val="00192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C36"/>
    <w:rPr>
      <w:i/>
      <w:iCs/>
      <w:color w:val="0F4761" w:themeColor="accent1" w:themeShade="BF"/>
    </w:rPr>
  </w:style>
  <w:style w:type="character" w:styleId="IntenseReference">
    <w:name w:val="Intense Reference"/>
    <w:basedOn w:val="DefaultParagraphFont"/>
    <w:uiPriority w:val="32"/>
    <w:qFormat/>
    <w:rsid w:val="00192C36"/>
    <w:rPr>
      <w:b/>
      <w:bCs/>
      <w:smallCaps/>
      <w:color w:val="0F4761" w:themeColor="accent1" w:themeShade="BF"/>
      <w:spacing w:val="5"/>
    </w:rPr>
  </w:style>
  <w:style w:type="table" w:customStyle="1" w:styleId="TableGrid1">
    <w:name w:val="Table Grid1"/>
    <w:basedOn w:val="TableNormal"/>
    <w:next w:val="TableGrid"/>
    <w:rsid w:val="00192C36"/>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2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6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B8D"/>
  </w:style>
  <w:style w:type="paragraph" w:styleId="Footer">
    <w:name w:val="footer"/>
    <w:basedOn w:val="Normal"/>
    <w:link w:val="FooterChar"/>
    <w:uiPriority w:val="99"/>
    <w:unhideWhenUsed/>
    <w:rsid w:val="00066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65">
      <w:bodyDiv w:val="1"/>
      <w:marLeft w:val="0"/>
      <w:marRight w:val="0"/>
      <w:marTop w:val="0"/>
      <w:marBottom w:val="0"/>
      <w:divBdr>
        <w:top w:val="none" w:sz="0" w:space="0" w:color="auto"/>
        <w:left w:val="none" w:sz="0" w:space="0" w:color="auto"/>
        <w:bottom w:val="none" w:sz="0" w:space="0" w:color="auto"/>
        <w:right w:val="none" w:sz="0" w:space="0" w:color="auto"/>
      </w:divBdr>
    </w:div>
    <w:div w:id="8070069">
      <w:bodyDiv w:val="1"/>
      <w:marLeft w:val="0"/>
      <w:marRight w:val="0"/>
      <w:marTop w:val="0"/>
      <w:marBottom w:val="0"/>
      <w:divBdr>
        <w:top w:val="none" w:sz="0" w:space="0" w:color="auto"/>
        <w:left w:val="none" w:sz="0" w:space="0" w:color="auto"/>
        <w:bottom w:val="none" w:sz="0" w:space="0" w:color="auto"/>
        <w:right w:val="none" w:sz="0" w:space="0" w:color="auto"/>
      </w:divBdr>
    </w:div>
    <w:div w:id="41291988">
      <w:bodyDiv w:val="1"/>
      <w:marLeft w:val="0"/>
      <w:marRight w:val="0"/>
      <w:marTop w:val="0"/>
      <w:marBottom w:val="0"/>
      <w:divBdr>
        <w:top w:val="none" w:sz="0" w:space="0" w:color="auto"/>
        <w:left w:val="none" w:sz="0" w:space="0" w:color="auto"/>
        <w:bottom w:val="none" w:sz="0" w:space="0" w:color="auto"/>
        <w:right w:val="none" w:sz="0" w:space="0" w:color="auto"/>
      </w:divBdr>
    </w:div>
    <w:div w:id="112798167">
      <w:bodyDiv w:val="1"/>
      <w:marLeft w:val="0"/>
      <w:marRight w:val="0"/>
      <w:marTop w:val="0"/>
      <w:marBottom w:val="0"/>
      <w:divBdr>
        <w:top w:val="none" w:sz="0" w:space="0" w:color="auto"/>
        <w:left w:val="none" w:sz="0" w:space="0" w:color="auto"/>
        <w:bottom w:val="none" w:sz="0" w:space="0" w:color="auto"/>
        <w:right w:val="none" w:sz="0" w:space="0" w:color="auto"/>
      </w:divBdr>
    </w:div>
    <w:div w:id="151803180">
      <w:bodyDiv w:val="1"/>
      <w:marLeft w:val="0"/>
      <w:marRight w:val="0"/>
      <w:marTop w:val="0"/>
      <w:marBottom w:val="0"/>
      <w:divBdr>
        <w:top w:val="none" w:sz="0" w:space="0" w:color="auto"/>
        <w:left w:val="none" w:sz="0" w:space="0" w:color="auto"/>
        <w:bottom w:val="none" w:sz="0" w:space="0" w:color="auto"/>
        <w:right w:val="none" w:sz="0" w:space="0" w:color="auto"/>
      </w:divBdr>
    </w:div>
    <w:div w:id="304820746">
      <w:bodyDiv w:val="1"/>
      <w:marLeft w:val="0"/>
      <w:marRight w:val="0"/>
      <w:marTop w:val="0"/>
      <w:marBottom w:val="0"/>
      <w:divBdr>
        <w:top w:val="none" w:sz="0" w:space="0" w:color="auto"/>
        <w:left w:val="none" w:sz="0" w:space="0" w:color="auto"/>
        <w:bottom w:val="none" w:sz="0" w:space="0" w:color="auto"/>
        <w:right w:val="none" w:sz="0" w:space="0" w:color="auto"/>
      </w:divBdr>
    </w:div>
    <w:div w:id="694966758">
      <w:bodyDiv w:val="1"/>
      <w:marLeft w:val="0"/>
      <w:marRight w:val="0"/>
      <w:marTop w:val="0"/>
      <w:marBottom w:val="0"/>
      <w:divBdr>
        <w:top w:val="none" w:sz="0" w:space="0" w:color="auto"/>
        <w:left w:val="none" w:sz="0" w:space="0" w:color="auto"/>
        <w:bottom w:val="none" w:sz="0" w:space="0" w:color="auto"/>
        <w:right w:val="none" w:sz="0" w:space="0" w:color="auto"/>
      </w:divBdr>
    </w:div>
    <w:div w:id="856850215">
      <w:bodyDiv w:val="1"/>
      <w:marLeft w:val="0"/>
      <w:marRight w:val="0"/>
      <w:marTop w:val="0"/>
      <w:marBottom w:val="0"/>
      <w:divBdr>
        <w:top w:val="none" w:sz="0" w:space="0" w:color="auto"/>
        <w:left w:val="none" w:sz="0" w:space="0" w:color="auto"/>
        <w:bottom w:val="none" w:sz="0" w:space="0" w:color="auto"/>
        <w:right w:val="none" w:sz="0" w:space="0" w:color="auto"/>
      </w:divBdr>
    </w:div>
    <w:div w:id="982545246">
      <w:bodyDiv w:val="1"/>
      <w:marLeft w:val="0"/>
      <w:marRight w:val="0"/>
      <w:marTop w:val="0"/>
      <w:marBottom w:val="0"/>
      <w:divBdr>
        <w:top w:val="none" w:sz="0" w:space="0" w:color="auto"/>
        <w:left w:val="none" w:sz="0" w:space="0" w:color="auto"/>
        <w:bottom w:val="none" w:sz="0" w:space="0" w:color="auto"/>
        <w:right w:val="none" w:sz="0" w:space="0" w:color="auto"/>
      </w:divBdr>
    </w:div>
    <w:div w:id="1179738991">
      <w:bodyDiv w:val="1"/>
      <w:marLeft w:val="0"/>
      <w:marRight w:val="0"/>
      <w:marTop w:val="0"/>
      <w:marBottom w:val="0"/>
      <w:divBdr>
        <w:top w:val="none" w:sz="0" w:space="0" w:color="auto"/>
        <w:left w:val="none" w:sz="0" w:space="0" w:color="auto"/>
        <w:bottom w:val="none" w:sz="0" w:space="0" w:color="auto"/>
        <w:right w:val="none" w:sz="0" w:space="0" w:color="auto"/>
      </w:divBdr>
    </w:div>
    <w:div w:id="11858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Cornescu</dc:creator>
  <cp:keywords/>
  <dc:description/>
  <cp:lastModifiedBy>Andra Moldovan</cp:lastModifiedBy>
  <cp:revision>5</cp:revision>
  <cp:lastPrinted>2025-03-27T06:50:00Z</cp:lastPrinted>
  <dcterms:created xsi:type="dcterms:W3CDTF">2025-03-21T10:23:00Z</dcterms:created>
  <dcterms:modified xsi:type="dcterms:W3CDTF">2025-05-30T04:16:00Z</dcterms:modified>
</cp:coreProperties>
</file>