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газових розрядів. Праця Патона.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Ввести  типи самостійних розрядів; застосування розрядів у техніці та побуті ;навести приклади деяких природних явищ; навести історичні приклади; розвивати  інтерес   до вивчення   фізики; показати практичну значущість отриманих знань.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>Узагальнення та систематизації знань та вмінь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наочність: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малюнки  на тему:  «Струм  у різних середовищах»; презентація « Види розрядів»; бенгальські  вогні; лампа  денного світла;  мультимедійна установка, ноутбук,екран, мобільний телефон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  капелюшків</w:t>
      </w:r>
      <w:r w:rsidR="009751B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груповий метод роботи)</w:t>
      </w:r>
    </w:p>
    <w:p w:rsidR="00F14BEB" w:rsidRDefault="00F14BEB" w:rsidP="00F14B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721A0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Епіграф до уроку: «</w:t>
      </w:r>
      <w:r>
        <w:rPr>
          <w:rFonts w:ascii="Times New Roman" w:hAnsi="Times New Roman" w:cs="Times New Roman"/>
          <w:sz w:val="28"/>
          <w:szCs w:val="28"/>
        </w:rPr>
        <w:t xml:space="preserve"> Есть высшая смелость : смелость изобретения, создания,  где план обширный объемлется творческой мыслью».</w:t>
      </w:r>
    </w:p>
    <w:p w:rsidR="00F14BEB" w:rsidRDefault="00F14BEB" w:rsidP="00E72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А.С. Пушкин</w:t>
      </w:r>
    </w:p>
    <w:p w:rsidR="00F14BEB" w:rsidRDefault="00F14BEB" w:rsidP="00F14B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Організаційний етап</w:t>
      </w:r>
    </w:p>
    <w:p w:rsidR="00F14BEB" w:rsidRDefault="00F14BEB" w:rsidP="00F14B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умінь</w:t>
      </w:r>
    </w:p>
    <w:p w:rsidR="00F14BEB" w:rsidRDefault="00F14BEB" w:rsidP="00F14B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малюнком та  питанням та дати  відповідь  на питання.</w:t>
      </w:r>
      <w:r w:rsidR="00E721A0">
        <w:rPr>
          <w:rFonts w:ascii="Times New Roman" w:hAnsi="Times New Roman" w:cs="Times New Roman"/>
          <w:b/>
          <w:sz w:val="28"/>
          <w:szCs w:val="28"/>
          <w:lang w:val="uk-UA"/>
        </w:rPr>
        <w:t>(Малюнки беремо з підручника  та оформлюємо на окремих аркушах)</w:t>
      </w:r>
    </w:p>
    <w:p w:rsidR="00F14BEB" w:rsidRDefault="00F14BEB" w:rsidP="00F1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Електричний струм у  металах.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А.Малюнок </w:t>
      </w:r>
    </w:p>
    <w:p w:rsidR="00F14BEB" w:rsidRDefault="00F14BEB" w:rsidP="00F1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Електричний струм у  рідинах( електролітах).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>Б. Малюнок</w:t>
      </w:r>
    </w:p>
    <w:p w:rsidR="00F14BEB" w:rsidRDefault="00F14BEB" w:rsidP="00F1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Електричний струм  у напівпровідниках.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 xml:space="preserve">          В.Малюнок </w:t>
      </w:r>
    </w:p>
    <w:p w:rsidR="00F14BEB" w:rsidRDefault="00F14BEB" w:rsidP="00F1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Електричний струм у газах.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Г.Малюнок</w:t>
      </w:r>
    </w:p>
    <w:p w:rsidR="00F14BEB" w:rsidRDefault="00F14BEB" w:rsidP="00F1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Самостійний розряд.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Д.Малюнок </w:t>
      </w:r>
    </w:p>
    <w:p w:rsidR="00F14BEB" w:rsidRDefault="00F14BEB" w:rsidP="00F14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Несамостійний розряд.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Е.Малюнок</w:t>
      </w:r>
    </w:p>
    <w:p w:rsidR="003E7EED" w:rsidRDefault="003E7EED" w:rsidP="003E7E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 навчання</w:t>
      </w:r>
    </w:p>
    <w:p w:rsidR="00F14BEB" w:rsidRDefault="003E7EED" w:rsidP="003E7E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Створення проблемної ситуації</w:t>
      </w:r>
    </w:p>
    <w:p w:rsidR="00F14BEB" w:rsidRDefault="00F14BEB" w:rsidP="00F14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Предложите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болем легкий ,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обычным , способ зажигания дуги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електросварочних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работах?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14BEB" w:rsidRDefault="003E7EED" w:rsidP="00F14BE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4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матеріалу.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 тему  уроку  після    мотивації  великої  практичної значимості самостійних розрядів.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Використовуємо  метод капелюшків( розбиваємо клас на три групи)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Червоний капелюш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>ок – Іскровий  розряд;І ряд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Жовтий капелю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>шок   - Дуговий розряд;ІІ ряд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Фіолетовий капелю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>шок  - Тліючий розряд;ІІІ ряд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Коронний розряд у вигляді корони   закріплюється за вчителями.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доповідей учнів заповнюємо таблицю ,яка   знаходиться на дошки .</w:t>
      </w:r>
    </w:p>
    <w:tbl>
      <w:tblPr>
        <w:tblStyle w:val="a4"/>
        <w:tblW w:w="0" w:type="auto"/>
        <w:tblInd w:w="1080" w:type="dxa"/>
        <w:tblLook w:val="04A0"/>
      </w:tblPr>
      <w:tblGrid>
        <w:gridCol w:w="1854"/>
        <w:gridCol w:w="1661"/>
        <w:gridCol w:w="1618"/>
        <w:gridCol w:w="1639"/>
        <w:gridCol w:w="1719"/>
      </w:tblGrid>
      <w:tr w:rsidR="00F14BEB" w:rsidTr="00F14B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розряду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Іскровий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Дуговий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Тліючий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Коронний</w:t>
            </w:r>
          </w:p>
        </w:tc>
      </w:tr>
      <w:tr w:rsidR="00F14BEB" w:rsidTr="00F14B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Який має</w:t>
            </w:r>
          </w:p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вигляд?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B" w:rsidTr="00F14B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Умови протікання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B" w:rsidTr="00F14BE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застосування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B" w:rsidRDefault="00F14B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4BEB" w:rsidRDefault="00F14BEB" w:rsidP="00F14BE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Висновок:(для  власної групи)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1.Дослід с бенгальськими вогнями. Доповідь учня про блискавку. 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Пригадаємо Ломоносова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Ріхмана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Малюнок у підручнику стор. 122.Доповідь учениці про «Вогні святого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».( практичне значення блискавковідводів).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«Праця Олександра Патона». Доповідь учениці. Практична значущість.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Лампа денного світла. Доповідь  учня про плазмові екрани (Енциклопедична сторінка 7).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Видеофрагмент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BEB" w:rsidRDefault="003E7EED" w:rsidP="00F14BE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4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Закріплення .</w:t>
      </w:r>
    </w:p>
    <w:p w:rsidR="00F14BEB" w:rsidRDefault="00F14BEB" w:rsidP="00F14BE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  Види газових розрядів». Використання екрана  та мультимедійної установки. Заповнення  таблиці та написання висновків для кожної групи .</w:t>
      </w:r>
    </w:p>
    <w:p w:rsidR="00F14BEB" w:rsidRDefault="00F14BEB" w:rsidP="00F14B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Диспут « Велике практичне значення газових розрядів»(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повідомлення написаних висновків).</w:t>
      </w:r>
    </w:p>
    <w:p w:rsidR="00F14BEB" w:rsidRDefault="00F14BEB" w:rsidP="00F14B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E7E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Підбиття підсумків уроку.</w:t>
      </w:r>
    </w:p>
    <w:p w:rsidR="00F14BEB" w:rsidRDefault="00F14BEB" w:rsidP="00F14B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E7E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 21, 22.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 якісні  задачі з теми. Написати реферати   про біографію </w:t>
      </w:r>
    </w:p>
    <w:p w:rsidR="00F14BEB" w:rsidRDefault="00F14BEB" w:rsidP="00F14B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Петрова,Б.Франкліна,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Ріхмана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BEB" w:rsidRDefault="00F14BEB" w:rsidP="00F14BE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BEB" w:rsidRDefault="00F14BEB" w:rsidP="00F14BE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44" w:rsidRDefault="00E721A0" w:rsidP="003E7E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1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3E7EED" w:rsidRDefault="003E7EED" w:rsidP="003E7E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E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8145" cy="1899285"/>
            <wp:effectExtent l="19050" t="0" r="8255" b="0"/>
            <wp:docPr id="2" name="Рисунок 1" descr="Борис Євгенович Патон біографія, фото, розповіді - вчений у галузі металургії і технології металів, професор, доктор технічних наук, Двічі Герой Соціалістичної Праці, перший в історії Герой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ис Євгенович Патон біографія, фото, розповіді - вчений у галузі металургії і технології металів, професор, доктор технічних наук, Двічі Герой Соціалістичної Праці, перший в історії Герой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A0" w:rsidRPr="00E721A0" w:rsidRDefault="00DD1C04" w:rsidP="00E721A0">
      <w:pPr>
        <w:shd w:val="clear" w:color="auto" w:fill="FFFFFF"/>
        <w:spacing w:after="0" w:line="34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hyperlink r:id="rId6" w:history="1">
        <w:r w:rsidR="00E721A0" w:rsidRPr="00E721A0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Борис Патон</w:t>
        </w:r>
      </w:hyperlink>
    </w:p>
    <w:p w:rsidR="00E721A0" w:rsidRPr="00E721A0" w:rsidRDefault="00E721A0" w:rsidP="00E721A0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інженера-мостобудівника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професора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Київ-ського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політехнічного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Є.Патона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політехнічний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ін-ститут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 р.). </w:t>
      </w:r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1942 р.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1944 р. —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1950 р. — заступник директора,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1963 р. —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дире-ктор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Бойове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хрещення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політехнічного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Бориса Патона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роки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1942 р. почав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електро-зварювання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евакуйованому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Нижній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Тагил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розміщеному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Уральського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вагонобудівного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заводу. Тут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розробці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екстремальних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легендарної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техно-логічної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іновації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автоматичного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танків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перемогу.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керівництвом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ака-деміка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Є.Патона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розв'язали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автоматичним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зварюванням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розробили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технологію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потужній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зварювальній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дузі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флюсом,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флюси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знайдено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Широко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проводився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багатодугового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багатоелектродного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автоматичного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зварюван-ня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флюсом,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технологію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напівавтоматичного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флюсом, створено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зварювальні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напівавтомати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автоматичного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оборонній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ви-нятково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забезпечило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випуску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боєприпасів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озброєння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високої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автоматичного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флюсом для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вирішальним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чинником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різкого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нарощування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обягів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роки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жодній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Радянського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Союзу,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автома-тичне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зварювання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флюсом у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танковій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застосовувалося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за прикладом СРСР почали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освоювати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бронекорпусів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танків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самохідних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артилерійських</w:t>
      </w:r>
      <w:proofErr w:type="spellEnd"/>
      <w:r w:rsidRPr="00E7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у США.</w:t>
      </w:r>
    </w:p>
    <w:p w:rsidR="00E721A0" w:rsidRPr="00E721A0" w:rsidRDefault="00E721A0" w:rsidP="00E721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орису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Патону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доручено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розробити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електричну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головок,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реалізують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1942 р.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В.Дятловим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явище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са-морегулювання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дуги. 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упорався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блискуче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Ви-нятково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надійність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зручність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змогу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випускати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головки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майстерень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вирішували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кадрів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відзначав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спогадах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Є.Патон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1942 р., а до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кінця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зварила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сотні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кілометрів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шві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бортах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бойових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машин!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Почи-наючи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ми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встановлювали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верстатах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спрощені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одномоторні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головки А-80,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майстернях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Вони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переможно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вирушили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заводах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відіграли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вели-чезну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випуску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фронту.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поворотний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поши-ренні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швидкісного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оборонних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ідприємствах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1943 р. Б.Патон одержав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перший орден «Знак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Пошани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цією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практичною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самого початку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своєї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провадив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Істотний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внесок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з'ясування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зварю-вального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флюсом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зробили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А.Макарою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довели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1943 р.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наявність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дугового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шаром флюсу. В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іслявоєнні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включився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зва-рювання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нагріванні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плавленні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електродного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дроту.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Б.Патоном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нагрівання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електрода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автоматичному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зва-рюванні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флюсом довело,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щільності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струму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тепловиділення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електроді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струму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стає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зіставним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нагріванням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дуги.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веде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істотного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вагової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плавлення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електрода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проплавлення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шва.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теоретичною базою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1948 р. способу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техно-логії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флюсом тонким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електродним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дротом.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Спосіб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дістав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на-зву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шлангового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напівавтоматичного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дугового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флюсом, дав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змогу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підняти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продуктивність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якість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криволінійних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наріжних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швів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конфігурації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недосяжних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автоматами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монтаж-них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заводських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Апаратура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стала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тех-нологічною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конструктивною базою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техніки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залежності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швів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напруги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дузі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механізованого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 заклав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науко-вого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автоматичного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дією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дугу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шва через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постачальну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сформульовано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автоматичного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жив-лення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ізноманітні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типи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регуляторів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напруги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дуги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живленні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змінним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струмом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початок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обґрунтованим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методи-кам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трансформаторів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автоматичного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зварюван-ня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21A0" w:rsidRPr="00E721A0" w:rsidRDefault="00E721A0" w:rsidP="00E721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чоливши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1953 р.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Б.Патон став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широкого фронту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цілеспрямованих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іджень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ос-новою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багатьох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напівавтоматичного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газів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мікроплазмового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Вагомим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результатом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явищ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ви-никають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проходженні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електричного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струму через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стало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якісної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електрометалургії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об'єднала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рафінованих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металі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електронно-променевий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плазмово-дуговий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переплави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21A0" w:rsidRPr="00E721A0" w:rsidRDefault="00E721A0" w:rsidP="00E721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50-ті роки Б.Патон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сконцентрував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зусилля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ідників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поглибле-ному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щойно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визна-ченні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тривалості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одно-часною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Цей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напрямок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поділився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два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взаємопозв'язаних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відгалуження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одне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продовжувало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інше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вийшло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незабаром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серію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самостійних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ба-зою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виникнення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електрометалургії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найстисліші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технологічні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, створено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прототипи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ґенерації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ідження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переплаву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успішними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відзначав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 на XX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конгресі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Лондоні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величезну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зробило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надрах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закономірності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явища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основою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зовсім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металургійного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електрометалургією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Глибоке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суті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переплаву,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фізико-хімічних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закономірностей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електротехнічних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уза-гальнено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переплав» (1963),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невдовзі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перекладеній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США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Великобританії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Технологічні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увінчалися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ство-ренням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десятків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винаходів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запроваджених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апаратурі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елек-трошлакового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переплаву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Почалося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патентування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розробок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електроз-варювання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розвинених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включаючи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США, ФРН,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Японію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Лідируюче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становище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вітчизняної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переплаву широко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визнається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початку 70-х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лиття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незабаром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металургійного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ізніше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почало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кокільне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відцентрове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лиття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яке широко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розсунуло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Зараз спектр таких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урахуванням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електрошлакового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близько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переплаву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лиття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наплавки,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поверхневої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об-робки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без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неможливі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металургія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машинобудування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21A0" w:rsidRPr="00E721A0" w:rsidRDefault="00E721A0" w:rsidP="00E721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1A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стратегічним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електромета-лургійних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принципово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автоматизова-них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керування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процесами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установками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механізованими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лініями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комп'ютерної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мікропроцесорної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талант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висунули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Б.Патона в ряди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відомих</w:t>
      </w:r>
      <w:proofErr w:type="spellEnd"/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світі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Впродовж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багатьох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очолював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Коор-динаційну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Раду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зварювальників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СРСР,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проце-си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металевих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СРСР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Міжнародному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керував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пріоритетним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на-прямком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зробив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співробітництва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науко-вий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авторитет у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Академією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Б.Патон став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ініціатором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провідником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чис-ленних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нововведень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вдосконалення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фундамен-тальних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електрозварювання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полігоном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відпрацювання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нововве-день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колискою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науково-інженерної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запропоновані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Б.Патоном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фундаменталізації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пошуку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галузях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цілеспрямованих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іджень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привела до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кардинальних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зрушень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іновації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—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ідрозділи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конструкторської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бази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інститутах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експериментальні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майстерні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міжвідомчі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заво-ди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науково-технічні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інженерні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зробили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помітний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внесок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вдосконалення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зв'язків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виробництвом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1970-1980-ті роки.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сьо-годні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іншу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епоху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ринкових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ідстави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розглядати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найважливіші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передумови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активізації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іноваційного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еко-номіки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зародки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структур, як технопарки,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технополіси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бізнес-інкубатори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Розпад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СРСР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РЕВ як результат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іально-економічної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дезінтеграції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передусім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дер-жав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Східної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Зруйнування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простору так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званої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ітової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науки»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згубно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відбилося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всій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нау-кових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Б.Патон —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ініціатор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наук.</w:t>
      </w:r>
    </w:p>
    <w:p w:rsidR="00E721A0" w:rsidRPr="00E721A0" w:rsidRDefault="00E721A0" w:rsidP="00E721A0">
      <w:pPr>
        <w:jc w:val="both"/>
      </w:pPr>
      <w:r w:rsidRPr="00E721A0">
        <w:rPr>
          <w:rFonts w:ascii="Times New Roman" w:hAnsi="Times New Roman" w:cs="Times New Roman"/>
          <w:sz w:val="28"/>
          <w:szCs w:val="28"/>
        </w:rPr>
        <w:br/>
      </w:r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Б.Патон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посл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ідовно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відстоює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у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Ака-демія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орієнтована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пошук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но-вих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закономірностей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принципово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явищ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фундаментальної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інтелектуальний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івень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неурядова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ор-ганізація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функціонує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принципах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саморегуляції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Ака-демія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високоякісної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незалежної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експертизи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соціально-економічних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особливо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важливим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ди-намічного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бурхливо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розвивається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Об'єднуючи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еліту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суспільства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вдосконалення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утворення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підготовки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кадрів</w:t>
      </w:r>
      <w:proofErr w:type="spellEnd"/>
      <w:r w:rsidRPr="00E721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21A0">
        <w:t xml:space="preserve"> </w:t>
      </w:r>
    </w:p>
    <w:p w:rsidR="00E721A0" w:rsidRPr="00E721A0" w:rsidRDefault="00E721A0" w:rsidP="00E72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1A0" w:rsidRPr="00E721A0" w:rsidSect="0021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BDA"/>
    <w:multiLevelType w:val="hybridMultilevel"/>
    <w:tmpl w:val="0662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B5DF8"/>
    <w:multiLevelType w:val="hybridMultilevel"/>
    <w:tmpl w:val="195AED82"/>
    <w:lvl w:ilvl="0" w:tplc="1A547C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14BEB"/>
    <w:rsid w:val="00216644"/>
    <w:rsid w:val="003E7EED"/>
    <w:rsid w:val="0070345D"/>
    <w:rsid w:val="009751B3"/>
    <w:rsid w:val="00DD1C04"/>
    <w:rsid w:val="00E721A0"/>
    <w:rsid w:val="00F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EB"/>
    <w:pPr>
      <w:ind w:left="720"/>
      <w:contextualSpacing/>
    </w:pPr>
  </w:style>
  <w:style w:type="table" w:styleId="a4">
    <w:name w:val="Table Grid"/>
    <w:basedOn w:val="a1"/>
    <w:uiPriority w:val="59"/>
    <w:rsid w:val="00F1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eraty.pp.ua/abstracts/ua/biography/biography_1391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2016-07-25T18:22:00Z</dcterms:created>
  <dcterms:modified xsi:type="dcterms:W3CDTF">2016-11-10T12:03:00Z</dcterms:modified>
</cp:coreProperties>
</file>