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41" w:rsidRPr="00510B41" w:rsidRDefault="00510B41" w:rsidP="00510B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0B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Формування </w:t>
      </w:r>
      <w:proofErr w:type="spellStart"/>
      <w:r w:rsidRPr="00510B41">
        <w:rPr>
          <w:rFonts w:ascii="Times New Roman" w:hAnsi="Times New Roman" w:cs="Times New Roman"/>
          <w:b/>
          <w:sz w:val="32"/>
          <w:szCs w:val="32"/>
          <w:lang w:val="uk-UA"/>
        </w:rPr>
        <w:t>професійно</w:t>
      </w:r>
      <w:proofErr w:type="spellEnd"/>
      <w:r w:rsidRPr="00510B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-творчих умінь студентів з використанням </w:t>
      </w:r>
      <w:proofErr w:type="spellStart"/>
      <w:r w:rsidRPr="00510B41">
        <w:rPr>
          <w:rFonts w:ascii="Times New Roman" w:hAnsi="Times New Roman" w:cs="Times New Roman"/>
          <w:b/>
          <w:sz w:val="32"/>
          <w:szCs w:val="32"/>
          <w:lang w:val="uk-UA"/>
        </w:rPr>
        <w:t>іноваційних</w:t>
      </w:r>
      <w:proofErr w:type="spellEnd"/>
      <w:r w:rsidRPr="00510B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технологій</w:t>
      </w:r>
    </w:p>
    <w:p w:rsidR="00510B41" w:rsidRDefault="00510B41" w:rsidP="00510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Процес  реформування  сфери  вітчизняної  освіти  нерозривно  пов’язаний  із  запровадженням  інноваційних навчальних  технологій, що  ґрунтуються на  активних методах  і  формах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навчання, спрямованих, насамперед, на розвиток критичного мислення і творчих здібностей студента, на формування потенціалу особистості і розвиток аналітичних навичок. </w:t>
      </w:r>
    </w:p>
    <w:p w:rsidR="00510B41" w:rsidRDefault="00510B41" w:rsidP="00510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Для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конкурентних переваг на ринку праці сучасному фахівцеві з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спеціальності «Фінанси </w:t>
      </w:r>
      <w:r w:rsidR="00A43B92">
        <w:rPr>
          <w:rFonts w:ascii="Times New Roman" w:hAnsi="Times New Roman"/>
          <w:sz w:val="28"/>
          <w:szCs w:val="28"/>
          <w:lang w:val="uk-UA"/>
        </w:rPr>
        <w:t>банківська справа та страхування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34A45">
        <w:rPr>
          <w:rFonts w:ascii="Times New Roman" w:hAnsi="Times New Roman"/>
          <w:sz w:val="28"/>
          <w:szCs w:val="28"/>
          <w:lang w:val="uk-UA"/>
        </w:rPr>
        <w:t>, що володіє глибокими  фундаментальними  знаннями  в  поєднанні  з  уміннями  їх  застосовувати  в  різних  умовах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професійної діяльності, необхідно сформувати такі загальні компетентності, як навики роботи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команді, здатність швидко засвоювати нові технології, навики самоосвіти, а також здатність </w:t>
      </w:r>
      <w:proofErr w:type="spellStart"/>
      <w:r w:rsidRPr="00234A45">
        <w:rPr>
          <w:rFonts w:ascii="Times New Roman" w:hAnsi="Times New Roman"/>
          <w:sz w:val="28"/>
          <w:szCs w:val="28"/>
          <w:lang w:val="uk-UA"/>
        </w:rPr>
        <w:t>донауково</w:t>
      </w:r>
      <w:proofErr w:type="spellEnd"/>
      <w:r w:rsidRPr="00234A45">
        <w:rPr>
          <w:rFonts w:ascii="Times New Roman" w:hAnsi="Times New Roman"/>
          <w:sz w:val="28"/>
          <w:szCs w:val="28"/>
          <w:lang w:val="uk-UA"/>
        </w:rPr>
        <w:t xml:space="preserve">-дослідної  роботи.  </w:t>
      </w:r>
    </w:p>
    <w:p w:rsidR="00510B41" w:rsidRPr="00234A45" w:rsidRDefault="00510B41" w:rsidP="00510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Ефективна  організація  навчального  процесу  на  основі  інноваційних</w:t>
      </w:r>
    </w:p>
    <w:p w:rsidR="00510B41" w:rsidRPr="00234A45" w:rsidRDefault="00510B41" w:rsidP="00510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освітніх технологій обумовлює необхідність запровадження різноманітних форм самостійної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індивідуальної роботи студентів з елементами наукового пошуку. «</w:t>
      </w:r>
      <w:r>
        <w:rPr>
          <w:rFonts w:ascii="Times New Roman" w:hAnsi="Times New Roman"/>
          <w:sz w:val="28"/>
          <w:szCs w:val="28"/>
          <w:lang w:val="uk-UA"/>
        </w:rPr>
        <w:t>Банківські операції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» є дисципліною фахового спрямування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Фінанси і кредит</w:t>
      </w:r>
      <w:r w:rsidRPr="00234A45">
        <w:rPr>
          <w:rFonts w:ascii="Times New Roman" w:hAnsi="Times New Roman"/>
          <w:sz w:val="28"/>
          <w:szCs w:val="28"/>
          <w:lang w:val="uk-UA"/>
        </w:rPr>
        <w:t>». Студенти денної форми навчання після закінчення семестрових аудиторних лекційних занять з дисципліни виконують завдання для самостійної роботи та індивідуальні завдання на базах практики.</w:t>
      </w:r>
      <w:r w:rsidRPr="00234A45">
        <w:rPr>
          <w:rFonts w:ascii="Times New Roman" w:hAnsi="Times New Roman"/>
          <w:sz w:val="28"/>
          <w:szCs w:val="28"/>
          <w:lang w:val="uk-UA"/>
        </w:rPr>
        <w:cr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34A45">
        <w:rPr>
          <w:rFonts w:ascii="Times New Roman" w:hAnsi="Times New Roman"/>
          <w:sz w:val="28"/>
          <w:szCs w:val="28"/>
          <w:lang w:val="uk-UA"/>
        </w:rPr>
        <w:t>Під час лекційних занять з дисципліни застосовуються такі інноваційні освітні технології, 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розкриття лекційного матеріалу за допомогою мультимедіа, проведення проблемних лекцій, лекцій-діалогів і лекцій-дискусій, що сприяє оптимізації розподілу аудиторного часу та забезпечує</w:t>
      </w:r>
    </w:p>
    <w:p w:rsidR="00510B41" w:rsidRPr="00234A45" w:rsidRDefault="00510B41" w:rsidP="00510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зворотний зв’язок викладача з аудиторією.</w:t>
      </w:r>
    </w:p>
    <w:p w:rsidR="00510B41" w:rsidRPr="00234A45" w:rsidRDefault="00510B41" w:rsidP="00510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При вирішенні завдань для самостійної роботи студенти мають можливість використання матеріалів  дистанційного  навчально-методичного  комплексу  з  дисципліни «</w:t>
      </w:r>
      <w:r>
        <w:rPr>
          <w:rFonts w:ascii="Times New Roman" w:hAnsi="Times New Roman"/>
          <w:sz w:val="28"/>
          <w:szCs w:val="28"/>
          <w:lang w:val="uk-UA"/>
        </w:rPr>
        <w:t>Банківські операції</w:t>
      </w:r>
      <w:r w:rsidRPr="00234A45">
        <w:rPr>
          <w:rFonts w:ascii="Times New Roman" w:hAnsi="Times New Roman"/>
          <w:sz w:val="28"/>
          <w:szCs w:val="28"/>
          <w:lang w:val="uk-UA"/>
        </w:rPr>
        <w:t>». Зазначений інтернет-ресурс, крім того, може використовуватись для написання рефератів, вирішення інших індивідуальних завдань, а також для спілкування з викладачем з приводу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виконання завдань </w:t>
      </w:r>
      <w:r>
        <w:rPr>
          <w:rFonts w:ascii="Times New Roman" w:hAnsi="Times New Roman"/>
          <w:sz w:val="28"/>
          <w:szCs w:val="28"/>
          <w:lang w:val="uk-UA"/>
        </w:rPr>
        <w:t>самостійної роботи студентів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 за допомогою електронної пошти та форуму </w:t>
      </w:r>
      <w:proofErr w:type="spellStart"/>
      <w:r w:rsidRPr="00234A45">
        <w:rPr>
          <w:rFonts w:ascii="Times New Roman" w:hAnsi="Times New Roman"/>
          <w:sz w:val="28"/>
          <w:szCs w:val="28"/>
          <w:lang w:val="uk-UA"/>
        </w:rPr>
        <w:t>WebCT</w:t>
      </w:r>
      <w:proofErr w:type="spellEnd"/>
      <w:r w:rsidRPr="00234A45">
        <w:rPr>
          <w:rFonts w:ascii="Times New Roman" w:hAnsi="Times New Roman"/>
          <w:sz w:val="28"/>
          <w:szCs w:val="28"/>
          <w:lang w:val="uk-UA"/>
        </w:rPr>
        <w:t xml:space="preserve"> «Звітність банків».</w:t>
      </w:r>
    </w:p>
    <w:p w:rsidR="00510B41" w:rsidRPr="00234A45" w:rsidRDefault="00510B41" w:rsidP="00510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Вирішення індивідуальних завдань з дисципліни «</w:t>
      </w:r>
      <w:r>
        <w:rPr>
          <w:rFonts w:ascii="Times New Roman" w:hAnsi="Times New Roman"/>
          <w:sz w:val="28"/>
          <w:szCs w:val="28"/>
          <w:lang w:val="uk-UA"/>
        </w:rPr>
        <w:t>Банківські операції</w:t>
      </w:r>
      <w:r w:rsidRPr="00234A45">
        <w:rPr>
          <w:rFonts w:ascii="Times New Roman" w:hAnsi="Times New Roman"/>
          <w:sz w:val="28"/>
          <w:szCs w:val="28"/>
          <w:lang w:val="uk-UA"/>
        </w:rPr>
        <w:t>» дозволяє поглибити, узагальнити та закріпити знання, одержані студентами в процесі навчання, а також виробити навики застосування цих знань на практиці. Студент обирає два види індивідуальних завдань, тематику яких погоджує  з  викладачем,  з  наступного  переліку:  аналітичний  огляд  наукових  публікацій,  написання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реферату, аналітичний звіт про власні наукові дослідження, підготовка презентації (доповіді), виконання завдань у рамках дослідницьких проектів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34A45">
        <w:rPr>
          <w:rFonts w:ascii="Times New Roman" w:hAnsi="Times New Roman"/>
          <w:sz w:val="28"/>
          <w:szCs w:val="28"/>
          <w:lang w:val="uk-UA"/>
        </w:rPr>
        <w:t>факультету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, переклад літературних джерел іншомовного походження за заданою проблематикою. Студент може обрати </w:t>
      </w:r>
      <w:r w:rsidRPr="00234A45">
        <w:rPr>
          <w:rFonts w:ascii="Times New Roman" w:hAnsi="Times New Roman"/>
          <w:sz w:val="28"/>
          <w:szCs w:val="28"/>
          <w:lang w:val="uk-UA"/>
        </w:rPr>
        <w:lastRenderedPageBreak/>
        <w:t>тему індивідуального  завдання, ,  якщо  нею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передбачено розкриття питань формування фінансової або статистичної звітності банків.</w:t>
      </w:r>
    </w:p>
    <w:p w:rsidR="00510B41" w:rsidRPr="00234A45" w:rsidRDefault="00510B41" w:rsidP="00510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 xml:space="preserve">Інноваційні  освітні  технології,  що  застосовуються  у  процесі  викладання  </w:t>
      </w:r>
      <w:r w:rsidR="00F5737D">
        <w:rPr>
          <w:rFonts w:ascii="Times New Roman" w:hAnsi="Times New Roman"/>
          <w:sz w:val="28"/>
          <w:szCs w:val="28"/>
          <w:lang w:val="uk-UA"/>
        </w:rPr>
        <w:t xml:space="preserve">фінансово-банківських </w:t>
      </w:r>
      <w:r w:rsidRPr="00234A45">
        <w:rPr>
          <w:rFonts w:ascii="Times New Roman" w:hAnsi="Times New Roman"/>
          <w:sz w:val="28"/>
          <w:szCs w:val="28"/>
          <w:lang w:val="uk-UA"/>
        </w:rPr>
        <w:t>дисципліни сприяють формуванню конкурентоспроможних фахівців, які володіють широким спектром сучасних знань, умінь, навичок і здатністю до самостійного навчання в умовах змін норматив</w:t>
      </w:r>
      <w:r>
        <w:rPr>
          <w:rFonts w:ascii="Times New Roman" w:hAnsi="Times New Roman"/>
          <w:sz w:val="28"/>
          <w:szCs w:val="28"/>
          <w:lang w:val="uk-UA"/>
        </w:rPr>
        <w:t>но-законодавчого регулювання об</w:t>
      </w:r>
      <w:r w:rsidRPr="00234A45">
        <w:rPr>
          <w:rFonts w:ascii="Times New Roman" w:hAnsi="Times New Roman"/>
          <w:sz w:val="28"/>
          <w:szCs w:val="28"/>
          <w:lang w:val="uk-UA"/>
        </w:rPr>
        <w:t>ліку, зумовлених реформуванням вітчизняної</w:t>
      </w:r>
      <w:r>
        <w:rPr>
          <w:rFonts w:ascii="Times New Roman" w:hAnsi="Times New Roman"/>
          <w:sz w:val="28"/>
          <w:szCs w:val="28"/>
          <w:lang w:val="uk-UA"/>
        </w:rPr>
        <w:t xml:space="preserve"> системи бухгалтерського обліку навча</w:t>
      </w:r>
      <w:r w:rsidRPr="00234A45">
        <w:rPr>
          <w:rFonts w:ascii="Times New Roman" w:hAnsi="Times New Roman"/>
          <w:sz w:val="28"/>
          <w:szCs w:val="28"/>
          <w:lang w:val="uk-UA"/>
        </w:rPr>
        <w:t>льного процесу. Таке поєднання створює основу для переходу від інформативної побудови навчання до технології самоосвіти та саморозвитку під керівництвом наставників-педагогів.</w:t>
      </w:r>
    </w:p>
    <w:p w:rsidR="00510B41" w:rsidRPr="00234A45" w:rsidRDefault="00510B41" w:rsidP="00510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Інноваційні методи навчання дають можливість розвивати у студентів навички аналітичного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та критичного мислення, співпраці в колективі, дозволяють опанувати мистецтвом прийняття оптимальних управлінських рішень в умовах невизначеності вітчизняного економічного розвитку, що має винятково важливе значення щодо конкурентоспроможності випускників </w:t>
      </w:r>
      <w:r>
        <w:rPr>
          <w:rFonts w:ascii="Times New Roman" w:hAnsi="Times New Roman"/>
          <w:sz w:val="28"/>
          <w:szCs w:val="28"/>
          <w:lang w:val="uk-UA"/>
        </w:rPr>
        <w:t>коледжу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 на ринку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праці.</w:t>
      </w:r>
    </w:p>
    <w:p w:rsidR="00510B41" w:rsidRPr="00234A45" w:rsidRDefault="00510B41" w:rsidP="00510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Сучасні інноваційні технології навчання реалізуються у формі тренінгів, ділової або рольової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гри, роботи в малих творчих групах, тестування тощо. Так, на практичних заняттях з дисципліни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Банківські </w:t>
      </w:r>
      <w:r>
        <w:rPr>
          <w:rFonts w:ascii="Times New Roman" w:hAnsi="Times New Roman"/>
          <w:sz w:val="28"/>
          <w:szCs w:val="28"/>
          <w:lang w:val="uk-UA"/>
        </w:rPr>
        <w:t>операції</w:t>
      </w:r>
      <w:r w:rsidRPr="00234A45">
        <w:rPr>
          <w:rFonts w:ascii="Times New Roman" w:hAnsi="Times New Roman"/>
          <w:sz w:val="28"/>
          <w:szCs w:val="28"/>
          <w:lang w:val="uk-UA"/>
        </w:rPr>
        <w:t>» присутні на занятті студенти ІІІ курсу були поділені на три малі</w:t>
      </w:r>
    </w:p>
    <w:p w:rsidR="00510B41" w:rsidRPr="00234A45" w:rsidRDefault="00510B41" w:rsidP="00510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>творчі групи, кожна з яких отримала завдання зібрати фінансову звітність конкретного банку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проаналізувати окремі види його діяльності за три роки: перша група — кредитний портфель, друга — інвестиційний, третя — інші активи. Студенти кожної групи активно презентували результати проведеного дослідження протягом 20—25 хв., відповідали на запитання викладача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отримали на занятті досить високі оцінки.</w:t>
      </w:r>
    </w:p>
    <w:p w:rsidR="00510B41" w:rsidRPr="00234A45" w:rsidRDefault="00510B41" w:rsidP="00A43B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4A45"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A43B92">
        <w:rPr>
          <w:rFonts w:ascii="Times New Roman" w:hAnsi="Times New Roman"/>
          <w:sz w:val="28"/>
          <w:szCs w:val="28"/>
          <w:lang w:val="uk-UA"/>
        </w:rPr>
        <w:t xml:space="preserve"> можна зробити висновки, що о</w:t>
      </w:r>
      <w:r w:rsidR="00A43B92" w:rsidRPr="00234A45">
        <w:rPr>
          <w:rFonts w:ascii="Times New Roman" w:hAnsi="Times New Roman"/>
          <w:sz w:val="28"/>
          <w:szCs w:val="28"/>
          <w:lang w:val="uk-UA"/>
        </w:rPr>
        <w:t>рганізація навчального процесу з обов’язковим використанням інноваційних технологій у різних формах є надійною орієнтацією на розвиток творчого потенціалу студента та сучасного підходу до співпраці викладача та студента</w:t>
      </w:r>
      <w:r w:rsidR="00A43B92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A43B92" w:rsidRPr="00234A45">
        <w:rPr>
          <w:rFonts w:ascii="Times New Roman" w:hAnsi="Times New Roman"/>
          <w:sz w:val="28"/>
          <w:szCs w:val="28"/>
          <w:lang w:val="uk-UA"/>
        </w:rPr>
        <w:t xml:space="preserve">Створюються </w:t>
      </w:r>
      <w:r w:rsidRPr="00234A45">
        <w:rPr>
          <w:rFonts w:ascii="Times New Roman" w:hAnsi="Times New Roman"/>
          <w:sz w:val="28"/>
          <w:szCs w:val="28"/>
          <w:lang w:val="uk-UA"/>
        </w:rPr>
        <w:t>умови та мотивація розвивати такі здібності, як уміння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>самостійно збирати, обробляти інформацію, спроможність її ефективно використовувати в процесі конструктивної роботи в команді, що створюється для розв’язання поставлених проблемних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A45">
        <w:rPr>
          <w:rFonts w:ascii="Times New Roman" w:hAnsi="Times New Roman"/>
          <w:sz w:val="28"/>
          <w:szCs w:val="28"/>
          <w:lang w:val="uk-UA"/>
        </w:rPr>
        <w:t xml:space="preserve">завдань. </w:t>
      </w:r>
      <w:r w:rsidR="00A43B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B92" w:rsidRPr="00234A45">
        <w:rPr>
          <w:rFonts w:ascii="Times New Roman" w:hAnsi="Times New Roman"/>
          <w:sz w:val="28"/>
          <w:szCs w:val="28"/>
          <w:lang w:val="uk-UA"/>
        </w:rPr>
        <w:t>Вибір  форм  і  методів  викладання  конкретної  дисципліни  залежить  від  рівня  мотивації  навчання, рівня підготовленості як викладача, так і студента, активності, часу занять, їх структури</w:t>
      </w:r>
      <w:r w:rsidR="00A43B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B92" w:rsidRPr="00234A45">
        <w:rPr>
          <w:rFonts w:ascii="Times New Roman" w:hAnsi="Times New Roman"/>
          <w:sz w:val="28"/>
          <w:szCs w:val="28"/>
          <w:lang w:val="uk-UA"/>
        </w:rPr>
        <w:t xml:space="preserve">та складності тощо. </w:t>
      </w:r>
      <w:r w:rsidRPr="00234A45">
        <w:rPr>
          <w:rFonts w:ascii="Times New Roman" w:hAnsi="Times New Roman"/>
          <w:sz w:val="28"/>
          <w:szCs w:val="28"/>
          <w:lang w:val="uk-UA"/>
        </w:rPr>
        <w:t>Навички аналітичного та критичного мислення, співпраці в колективі є важливою складовою формування конкурентоспроможних фахівців високої кваліфікації.</w:t>
      </w:r>
    </w:p>
    <w:p w:rsidR="00795701" w:rsidRDefault="00795701" w:rsidP="002A7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701" w:rsidRDefault="00795701" w:rsidP="002A7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701" w:rsidRDefault="00795701" w:rsidP="002A7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701" w:rsidRDefault="00795701" w:rsidP="002A7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B41" w:rsidRDefault="002A77AA" w:rsidP="002A7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A77A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джерел.</w:t>
      </w:r>
    </w:p>
    <w:p w:rsidR="00795701" w:rsidRPr="00795701" w:rsidRDefault="00795701" w:rsidP="002A77AA">
      <w:pPr>
        <w:numPr>
          <w:ilvl w:val="0"/>
          <w:numId w:val="1"/>
        </w:numPr>
        <w:spacing w:after="0" w:line="288" w:lineRule="auto"/>
        <w:ind w:left="714" w:hanging="357"/>
        <w:contextualSpacing/>
        <w:jc w:val="both"/>
        <w:rPr>
          <w:rStyle w:val="a5"/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</w:pP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Дичківська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І.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М.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Інноваційні педагогічні технології :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посібник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/ І.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М.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Дичківська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. –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2-ге вид.,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допов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. –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Київ :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Академвидав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, 2012. – 352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с.</w:t>
      </w:r>
    </w:p>
    <w:p w:rsidR="00795701" w:rsidRPr="00795701" w:rsidRDefault="00795701" w:rsidP="002A77AA">
      <w:pPr>
        <w:numPr>
          <w:ilvl w:val="0"/>
          <w:numId w:val="1"/>
        </w:numPr>
        <w:spacing w:after="0" w:line="288" w:lineRule="auto"/>
        <w:ind w:left="714" w:hanging="357"/>
        <w:contextualSpacing/>
        <w:jc w:val="both"/>
        <w:rPr>
          <w:rStyle w:val="a5"/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</w:pP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Романюк І.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Упровадження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інноваційної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освітньої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навчальному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закладі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/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Ірина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Романюк // Практика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управління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закладом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 – 2016. – № 2. – С. 23–33.</w:t>
      </w:r>
    </w:p>
    <w:p w:rsidR="00795701" w:rsidRPr="00795701" w:rsidRDefault="00795701" w:rsidP="002A77AA">
      <w:pPr>
        <w:numPr>
          <w:ilvl w:val="0"/>
          <w:numId w:val="1"/>
        </w:numPr>
        <w:spacing w:after="0" w:line="288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Чепіль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М.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М.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Педагогічні технології</w:t>
      </w:r>
      <w:r w:rsidRPr="007957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.</w:t>
      </w:r>
      <w:r w:rsidRPr="007957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/ М.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М.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Чепіль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, Н.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З.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Дудник.</w:t>
      </w:r>
      <w:r w:rsidRPr="007957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– Київ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Академвидав</w:t>
      </w:r>
      <w:proofErr w:type="spellEnd"/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, 2012.</w:t>
      </w:r>
      <w:r w:rsidRPr="007957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– 224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с.</w:t>
      </w:r>
      <w:r w:rsidRPr="007957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9570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– (Альма-матер).</w:t>
      </w:r>
    </w:p>
    <w:p w:rsidR="002A77AA" w:rsidRPr="00795701" w:rsidRDefault="002A77AA" w:rsidP="002A77AA">
      <w:pPr>
        <w:numPr>
          <w:ilvl w:val="0"/>
          <w:numId w:val="1"/>
        </w:numPr>
        <w:spacing w:after="0" w:line="288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Банківські операції: Підручник. – 2-ге вид.,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>випр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>доп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/ А.М. Мороз, М.І.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>Савлук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М.Ф.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>Пуховкіна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ін.; за ред. д-ра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>екон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  <w:lang w:val="uk-UA"/>
        </w:rPr>
        <w:t>. наук, проф. А.М. Мороза. – К.: КНЕУ, 2012. – 476 с.</w:t>
      </w:r>
    </w:p>
    <w:p w:rsidR="002A77AA" w:rsidRPr="00795701" w:rsidRDefault="002A77AA" w:rsidP="002A77AA">
      <w:pPr>
        <w:numPr>
          <w:ilvl w:val="0"/>
          <w:numId w:val="1"/>
        </w:numPr>
        <w:spacing w:after="0" w:line="288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Косова Т.Д.,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Циганов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 О.Р.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Банківські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операції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. пос. – К.: Центр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учбової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літератури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>, 2012. – 372 с.</w:t>
      </w:r>
    </w:p>
    <w:p w:rsidR="002A77AA" w:rsidRPr="00795701" w:rsidRDefault="002A77AA" w:rsidP="002A77AA">
      <w:pPr>
        <w:numPr>
          <w:ilvl w:val="0"/>
          <w:numId w:val="1"/>
        </w:numPr>
        <w:spacing w:after="0" w:line="288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Міщенко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 В.І.,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Слав'янська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 Н.Г.,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Коренєва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 О.Г.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Банківські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операції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79570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95701">
        <w:rPr>
          <w:rFonts w:ascii="Times New Roman" w:eastAsia="Calibri" w:hAnsi="Times New Roman" w:cs="Times New Roman"/>
          <w:sz w:val="28"/>
          <w:szCs w:val="28"/>
        </w:rPr>
        <w:t>ідручник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. – 2-ге вид.,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перероб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 xml:space="preserve">. і доп. – К.: </w:t>
      </w:r>
      <w:proofErr w:type="spellStart"/>
      <w:r w:rsidRPr="00795701">
        <w:rPr>
          <w:rFonts w:ascii="Times New Roman" w:eastAsia="Calibri" w:hAnsi="Times New Roman" w:cs="Times New Roman"/>
          <w:sz w:val="28"/>
          <w:szCs w:val="28"/>
        </w:rPr>
        <w:t>Знання</w:t>
      </w:r>
      <w:proofErr w:type="spellEnd"/>
      <w:r w:rsidRPr="00795701">
        <w:rPr>
          <w:rFonts w:ascii="Times New Roman" w:eastAsia="Calibri" w:hAnsi="Times New Roman" w:cs="Times New Roman"/>
          <w:sz w:val="28"/>
          <w:szCs w:val="28"/>
        </w:rPr>
        <w:t>, 2014. – 796 с.</w:t>
      </w:r>
    </w:p>
    <w:p w:rsidR="002A77AA" w:rsidRPr="00795701" w:rsidRDefault="002A77AA" w:rsidP="002A7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A77AA" w:rsidRPr="0079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1AB9"/>
    <w:multiLevelType w:val="hybridMultilevel"/>
    <w:tmpl w:val="0728F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41"/>
    <w:rsid w:val="00145DA5"/>
    <w:rsid w:val="002973F9"/>
    <w:rsid w:val="002A77AA"/>
    <w:rsid w:val="0031751C"/>
    <w:rsid w:val="00510B41"/>
    <w:rsid w:val="00795701"/>
    <w:rsid w:val="009752AB"/>
    <w:rsid w:val="009850B9"/>
    <w:rsid w:val="00A43B92"/>
    <w:rsid w:val="00CC7ACB"/>
    <w:rsid w:val="00EB0D7B"/>
    <w:rsid w:val="00F5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95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95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2017-10-22T19:01:00Z</cp:lastPrinted>
  <dcterms:created xsi:type="dcterms:W3CDTF">2017-10-24T04:52:00Z</dcterms:created>
  <dcterms:modified xsi:type="dcterms:W3CDTF">2017-10-24T15:01:00Z</dcterms:modified>
</cp:coreProperties>
</file>