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58" w:rsidRDefault="00F91058" w:rsidP="00E1749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План-конспект уроку 10 клас </w:t>
      </w:r>
    </w:p>
    <w:p w:rsidR="00366C42" w:rsidRPr="00010404" w:rsidRDefault="00E17490" w:rsidP="00E1749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 Гармонічні коливання. Рівняння гармонічних коливань.</w:t>
      </w:r>
    </w:p>
    <w:p w:rsidR="00E17490" w:rsidRPr="00010404" w:rsidRDefault="00E17490" w:rsidP="00E17490">
      <w:pPr>
        <w:pStyle w:val="msolistparagraph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уявлення про гармонічні коливання, навчити розв’язувати та складати рівняння гармонічних коливань, розвивати дослідницьку та пізнавальну діяльність учнів; розвивати комунікативні здібності учнів; виховувати охайність, культуру поведінки та мови; сприяти розширенню кругозору учнів.</w:t>
      </w:r>
    </w:p>
    <w:p w:rsidR="00E17490" w:rsidRDefault="00E17490" w:rsidP="00E17490">
      <w:pPr>
        <w:pStyle w:val="msolistparagraph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закріплення знань.</w:t>
      </w:r>
    </w:p>
    <w:p w:rsidR="00010404" w:rsidRPr="00010404" w:rsidRDefault="00010404" w:rsidP="00E17490">
      <w:pPr>
        <w:pStyle w:val="msolistparagraph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058" w:rsidRDefault="00010404" w:rsidP="00F91058">
      <w:pPr>
        <w:pStyle w:val="msolistparagraph0"/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F91058" w:rsidRDefault="00F91058" w:rsidP="00F91058">
      <w:pPr>
        <w:pStyle w:val="msolistparagraph0"/>
        <w:spacing w:after="0" w:line="36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10404" w:rsidRPr="00010404">
        <w:rPr>
          <w:rFonts w:ascii="Times New Roman" w:hAnsi="Times New Roman" w:cs="Times New Roman"/>
          <w:b/>
          <w:sz w:val="28"/>
          <w:szCs w:val="28"/>
          <w:lang w:val="uk-UA"/>
        </w:rPr>
        <w:t>ПЕРЕВІРКА Д.</w:t>
      </w:r>
      <w:r w:rsidR="008D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0404" w:rsidRPr="00010404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8D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17490" w:rsidRPr="00F91058" w:rsidRDefault="00F91058" w:rsidP="00F91058">
      <w:pPr>
        <w:pStyle w:val="msolistparagraph0"/>
        <w:spacing w:after="0" w:line="36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010404" w:rsidRPr="00F91058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E17490" w:rsidRPr="00010404" w:rsidRDefault="00E17490" w:rsidP="00E17490">
      <w:pPr>
        <w:pStyle w:val="msolistparagraph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sz w:val="28"/>
          <w:szCs w:val="28"/>
          <w:lang w:val="uk-UA"/>
        </w:rPr>
        <w:t>Коливання, під час яких координата тіла, що коливається, змінюється з часом за законом синуса (косинуса), наз</w:t>
      </w:r>
      <w:r w:rsidR="00F91058">
        <w:rPr>
          <w:rFonts w:ascii="Times New Roman" w:hAnsi="Times New Roman" w:cs="Times New Roman"/>
          <w:sz w:val="28"/>
          <w:szCs w:val="28"/>
          <w:lang w:val="uk-UA"/>
        </w:rPr>
        <w:t>ивають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404">
        <w:rPr>
          <w:rFonts w:ascii="Times New Roman" w:hAnsi="Times New Roman" w:cs="Times New Roman"/>
          <w:b/>
          <w:sz w:val="28"/>
          <w:szCs w:val="28"/>
          <w:lang w:val="uk-UA"/>
        </w:rPr>
        <w:t>гармонічними коливаннями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490" w:rsidRPr="00010404" w:rsidRDefault="002201FD" w:rsidP="002201FD">
      <w:pPr>
        <w:pStyle w:val="msolistparagraph0"/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А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ωt</m:t>
            </m:r>
          </m:e>
        </m:func>
      </m:oMath>
      <w:r w:rsidRPr="000104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(1)</w:t>
      </w:r>
    </w:p>
    <w:p w:rsidR="00E17490" w:rsidRPr="00010404" w:rsidRDefault="002201FD" w:rsidP="00E17490">
      <w:pPr>
        <w:pStyle w:val="msolistparagraph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ωt</m:t>
          </m:r>
          <m:r>
            <m:rPr>
              <m:sty m:val="bi"/>
            </m:rPr>
            <w:rPr>
              <w:rFonts w:ascii="Times New Roman" w:hAnsi="Times New Roman" w:cs="Times New Roman"/>
              <w:sz w:val="28"/>
              <w:szCs w:val="28"/>
              <w:lang w:val="uk-UA"/>
            </w:rPr>
            <m:t>-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фаза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коливань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, 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позначається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φ</m:t>
          </m:r>
        </m:oMath>
      </m:oMathPara>
    </w:p>
    <w:p w:rsidR="002201FD" w:rsidRPr="00010404" w:rsidRDefault="002201FD" w:rsidP="002201FD">
      <w:pPr>
        <w:pStyle w:val="msolistparagraph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b/>
          <w:sz w:val="28"/>
          <w:szCs w:val="28"/>
          <w:lang w:val="uk-UA"/>
        </w:rPr>
        <w:t>Фаза коливань</w:t>
      </w: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 – це фізична величина, яка характеризує стан коливальної системи в довільний момент часу.</w:t>
      </w:r>
    </w:p>
    <w:p w:rsidR="002201FD" w:rsidRPr="00010404" w:rsidRDefault="002201FD" w:rsidP="002201FD">
      <w:pPr>
        <w:pStyle w:val="msolistparagraph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Фаза коливань визначається характером руху тіла (періодом його коливання Т) і моментом часу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t</m:t>
        </m:r>
      </m:oMath>
      <w:r w:rsidRPr="00010404">
        <w:rPr>
          <w:rFonts w:ascii="Times New Roman" w:hAnsi="Times New Roman" w:cs="Times New Roman"/>
          <w:sz w:val="28"/>
          <w:szCs w:val="28"/>
          <w:lang w:val="uk-UA"/>
        </w:rPr>
        <w:t xml:space="preserve">, у який фіксується координата. </w:t>
      </w:r>
    </w:p>
    <w:p w:rsidR="002201FD" w:rsidRPr="00010404" w:rsidRDefault="002201FD" w:rsidP="002201FD">
      <w:pPr>
        <w:pStyle w:val="msolistparagraph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φ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ωt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Т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t</m:t>
          </m:r>
        </m:oMath>
      </m:oMathPara>
    </w:p>
    <w:p w:rsidR="002201FD" w:rsidRPr="00010404" w:rsidRDefault="002201FD" w:rsidP="002201FD">
      <w:pPr>
        <w:pStyle w:val="msolistparagraph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sz w:val="28"/>
          <w:szCs w:val="28"/>
          <w:lang w:val="uk-UA"/>
        </w:rPr>
        <w:t>Фаза коливань залежить від моменту початку відліку. Якщо, ввімкнути секундомір не в момент максимального відхилення тіла від положення рівноваги, а через деякий час, то рівняння коливань набуду вигляду.</w:t>
      </w:r>
    </w:p>
    <w:p w:rsidR="00E17490" w:rsidRPr="00010404" w:rsidRDefault="004E347C" w:rsidP="002201FD">
      <w:pPr>
        <w:pStyle w:val="msolistparagraph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А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ωt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)</m:t>
            </m:r>
          </m:e>
        </m:func>
      </m:oMath>
      <w:r w:rsidR="002201FD" w:rsidRPr="00010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(2)</w:t>
      </w:r>
    </w:p>
    <w:p w:rsidR="002201FD" w:rsidRDefault="002201FD" w:rsidP="002201FD">
      <w:pPr>
        <w:pStyle w:val="msolistparagraph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φ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ωt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φ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–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фаза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uk-UA"/>
            </w:rPr>
            <m:t>коливань</m:t>
          </m:r>
        </m:oMath>
      </m:oMathPara>
    </w:p>
    <w:p w:rsidR="00F91058" w:rsidRPr="00010404" w:rsidRDefault="00DE1630" w:rsidP="00F91058">
      <w:pPr>
        <w:pStyle w:val="msolistparagraph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</m:sub>
        </m:sSub>
      </m:oMath>
      <w:r w:rsidR="00F910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початкова фаза коливань. </w:t>
      </w:r>
    </w:p>
    <w:p w:rsidR="002201FD" w:rsidRPr="00010404" w:rsidRDefault="00F91058" w:rsidP="002201FD">
      <w:pPr>
        <w:pStyle w:val="msolistparagraph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 (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=0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→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φ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ωt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φ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0 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φ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0 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)</m:t>
          </m:r>
        </m:oMath>
      </m:oMathPara>
    </w:p>
    <w:p w:rsidR="00E17490" w:rsidRPr="00010404" w:rsidRDefault="004E347C" w:rsidP="00E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404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початок відліку часу збігається з моментом проходження тілом положення рівноваги, то в цей момент координата тіла дорівнює нулю, тому рівняння коливань матиме вигляд:</w:t>
      </w:r>
    </w:p>
    <w:p w:rsidR="004E347C" w:rsidRPr="00010404" w:rsidRDefault="004E347C" w:rsidP="004E347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А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ωt</m:t>
            </m:r>
          </m:e>
        </m:func>
      </m:oMath>
      <w:r w:rsidRPr="00010404">
        <w:rPr>
          <w:rFonts w:ascii="Times New Roman" w:eastAsiaTheme="minorEastAsia" w:hAnsi="Cambria Math" w:cs="Times New Roman"/>
          <w:b/>
          <w:sz w:val="28"/>
          <w:szCs w:val="28"/>
          <w:lang w:val="uk-UA"/>
        </w:rPr>
        <w:t>⁡</w:t>
      </w:r>
      <w:r w:rsidRPr="0001040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(3)</w:t>
      </w:r>
    </w:p>
    <w:p w:rsidR="004E347C" w:rsidRPr="00010404" w:rsidRDefault="004E347C" w:rsidP="004E347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010404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 гармонічних коливань являє собою</w:t>
      </w:r>
      <w:r w:rsidRPr="0001040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синусоїду або косинусоїду.</w:t>
      </w:r>
    </w:p>
    <w:p w:rsidR="00F91058" w:rsidRDefault="00F91058" w:rsidP="00F910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</w:t>
      </w:r>
      <w:r w:rsidR="00010404" w:rsidRPr="00010404">
        <w:rPr>
          <w:rFonts w:ascii="Times New Roman" w:hAnsi="Times New Roman" w:cs="Times New Roman"/>
          <w:b/>
          <w:sz w:val="28"/>
          <w:szCs w:val="28"/>
          <w:lang w:val="uk-UA"/>
        </w:rPr>
        <w:t>АКРІПЛЕННЯ НОВОГО МАТЕРІАЛУ</w:t>
      </w:r>
    </w:p>
    <w:p w:rsidR="00010404" w:rsidRPr="00F91058" w:rsidRDefault="00010404" w:rsidP="00F910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Рівняння коливань тіла має вигляд: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=5</m:t>
        </m:r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</m:func>
        <m:r>
          <m:rPr>
            <m:sty m:val="bi"/>
          </m:rPr>
          <w:rPr>
            <w:rFonts w:ascii="Cambria Math" w:eastAsia="Calibri" w:hAnsi="Times New Roman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Times New Roman" w:cs="Times New Roman"/>
                <w:sz w:val="28"/>
                <w:szCs w:val="28"/>
                <w:lang w:val="uk-UA"/>
              </w:rPr>
              <m:t>м</m:t>
            </m:r>
          </m:e>
        </m:d>
        <m:r>
          <m:rPr>
            <m:sty m:val="bi"/>
          </m:rPr>
          <w:rPr>
            <w:rFonts w:ascii="Cambria Math" w:eastAsia="Calibri" w:hAnsi="Times New Roman" w:cs="Times New Roman"/>
            <w:sz w:val="28"/>
            <w:szCs w:val="28"/>
            <w:lang w:val="uk-UA"/>
          </w:rPr>
          <m:t>.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визначте амплітуду, період та частоту коливань тіла. Визначте фазу коливань і координату тіла через 2 с після початку відліку.</w:t>
      </w:r>
    </w:p>
    <w:p w:rsidR="00010404" w:rsidRDefault="00DE1630" w:rsidP="00F9105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E1630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group id="_x0000_s1050" style="position:absolute;margin-left:23.45pt;margin-top:53.95pt;width:414pt;height:171pt;z-index:251672576" coordorigin="1521,4734" coordsize="8280,3420">
            <v:group id="_x0000_s1048" style="position:absolute;left:3321;top:6354;width:4320;height:360" coordorigin="3321,6354" coordsize="4320,3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3321;top:6354;width:0;height:360" o:connectortype="straight"/>
              <v:shape id="_x0000_s1030" type="#_x0000_t32" style="position:absolute;left:4401;top:6354;width:0;height:360" o:connectortype="straight"/>
              <v:shape id="_x0000_s1031" type="#_x0000_t32" style="position:absolute;left:5481;top:6354;width:0;height:360" o:connectortype="straight"/>
              <v:shape id="_x0000_s1032" type="#_x0000_t32" style="position:absolute;left:6561;top:6354;width:0;height:360" o:connectortype="straight"/>
              <v:shape id="_x0000_s1033" type="#_x0000_t32" style="position:absolute;left:7641;top:6354;width:0;height:360" o:connectortype="straight"/>
            </v:group>
            <v:group id="_x0000_s1049" style="position:absolute;left:1521;top:4734;width:8280;height:3420" coordorigin="1521,4734" coordsize="8280,3420">
              <v:group id="_x0000_s1046" style="position:absolute;left:1521;top:4734;width:8280;height:3270" coordorigin="1521,4734" coordsize="8280,32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2421;top:4734;width:1080;height:360" stroked="f">
                  <v:textbox style="mso-next-textbox:#_x0000_s1037">
                    <w:txbxContent>
                      <w:p w:rsidR="00240614" w:rsidRPr="00240614" w:rsidRDefault="0024061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Х  см</w:t>
                        </w:r>
                      </w:p>
                    </w:txbxContent>
                  </v:textbox>
                </v:shape>
                <v:shape id="_x0000_s1038" type="#_x0000_t202" style="position:absolute;left:1521;top:5094;width:540;height:360" stroked="f">
                  <v:textbox style="mso-next-textbox:#_x0000_s1038">
                    <w:txbxContent>
                      <w:p w:rsidR="00240614" w:rsidRPr="00240614" w:rsidRDefault="00240614" w:rsidP="0024061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_x0000_s1039" type="#_x0000_t202" style="position:absolute;left:1521;top:7614;width:540;height:390" stroked="f">
                  <v:textbox style="mso-next-textbox:#_x0000_s1039">
                    <w:txbxContent>
                      <w:p w:rsidR="00240614" w:rsidRPr="00240614" w:rsidRDefault="00240614" w:rsidP="0024061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-5  </w:t>
                        </w:r>
                      </w:p>
                    </w:txbxContent>
                  </v:textbox>
                </v:shape>
                <v:shape id="_x0000_s1040" type="#_x0000_t202" style="position:absolute;left:8721;top:6079;width:1080;height:635" stroked="f">
                  <v:textbox style="mso-next-textbox:#_x0000_s1040">
                    <w:txbxContent>
                      <w:p w:rsidR="00240614" w:rsidRPr="00240614" w:rsidRDefault="00240614" w:rsidP="00240614">
                        <w:pPr>
                          <w:rPr>
                            <w:lang w:val="uk-UA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t</m:t>
                          </m:r>
                        </m:oMath>
                        <w:r>
                          <w:rPr>
                            <w:lang w:val="uk-UA"/>
                          </w:rPr>
                          <w:t xml:space="preserve">  с</w:t>
                        </w:r>
                      </w:p>
                    </w:txbxContent>
                  </v:textbox>
                </v:shape>
                <v:shape id="_x0000_s1041" type="#_x0000_t202" style="position:absolute;left:2961;top:6714;width:540;height:360" stroked="f">
                  <v:textbox style="mso-next-textbox:#_x0000_s1041">
                    <w:txbxContent>
                      <w:p w:rsidR="00240614" w:rsidRPr="00240614" w:rsidRDefault="00240614" w:rsidP="0024061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_x0000_s1042" type="#_x0000_t202" style="position:absolute;left:4041;top:6714;width:540;height:360" stroked="f">
                  <v:textbox style="mso-next-textbox:#_x0000_s1042">
                    <w:txbxContent>
                      <w:p w:rsidR="00240614" w:rsidRPr="00240614" w:rsidRDefault="00240614" w:rsidP="0024061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_x0000_s1043" type="#_x0000_t202" style="position:absolute;left:5121;top:6714;width:540;height:360" stroked="f">
                  <v:textbox style="mso-next-textbox:#_x0000_s1043">
                    <w:txbxContent>
                      <w:p w:rsidR="003D7E95" w:rsidRPr="00240614" w:rsidRDefault="003D7E95" w:rsidP="003D7E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v:shape id="_x0000_s1044" type="#_x0000_t202" style="position:absolute;left:7461;top:6714;width:540;height:360" stroked="f">
                  <v:textbox style="mso-next-textbox:#_x0000_s1044">
                    <w:txbxContent>
                      <w:p w:rsidR="003D7E95" w:rsidRPr="00240614" w:rsidRDefault="003D7E95" w:rsidP="003D7E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0020" cy="105123"/>
                              <wp:effectExtent l="1905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" cy="10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5" type="#_x0000_t202" style="position:absolute;left:6201;top:6714;width:540;height:360" stroked="f">
                  <v:textbox style="mso-next-textbox:#_x0000_s1045">
                    <w:txbxContent>
                      <w:p w:rsidR="003D7E95" w:rsidRPr="00240614" w:rsidRDefault="003D7E95" w:rsidP="003D7E9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</w:t>
                        </w:r>
                      </w:p>
                    </w:txbxContent>
                  </v:textbox>
                </v:shape>
              </v:group>
              <v:group id="_x0000_s1047" style="position:absolute;left:1701;top:4914;width:7740;height:3240" coordorigin="1701,4914" coordsize="7740,3240">
                <v:shape id="_x0000_s1026" type="#_x0000_t32" style="position:absolute;left:2241;top:4914;width:0;height:3240;flip:y" o:connectortype="straight">
                  <v:stroke endarrow="block"/>
                </v:shape>
                <v:shape id="_x0000_s1027" type="#_x0000_t32" style="position:absolute;left:1701;top:6534;width:7740;height:0" o:connectortype="straight">
                  <v:stroke endarrow="block"/>
                </v:shape>
                <v:shape id="_x0000_s1034" type="#_x0000_t32" style="position:absolute;left:2061;top:5274;width:360;height:0;flip:x" o:connectortype="straight"/>
                <v:shape id="_x0000_s1035" type="#_x0000_t32" style="position:absolute;left:2061;top:7794;width:360;height:0;flip:x" o:connectortype="straight"/>
                <v:shape id="_x0000_s1036" style="position:absolute;left:2241;top:5274;width:5580;height:2730;mso-position-horizontal:absolute" coordsize="5580,2730" path="m,1260c180,630,360,,540,v180,,360,840,540,1260c1260,1680,1440,2520,1620,2520v180,,360,-840,540,-1260c2340,840,2520,,2700,v180,,360,840,540,1260c3420,1680,3510,2730,3780,2520,4050,2310,4560,,4860,v300,,510,1260,720,2520e" filled="f" strokeweight="1.5pt">
                  <v:path arrowok="t"/>
                </v:shape>
              </v:group>
            </v:group>
          </v:group>
        </w:pict>
      </w:r>
      <w:r w:rsidR="00F9105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</w:t>
      </w:r>
      <w:r w:rsidR="00010404" w:rsidRPr="0001040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дача 2.</w:t>
      </w:r>
      <w:r w:rsidR="0001040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графіком, наведеному на рисунку, визначте амплітуду та період коливання тіла. Обчисліть частоту та циклічну частоту коливань; запишіть рівняння коливань; знайдіть зміщення тіла у фазі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рад.</m:t>
        </m:r>
      </m:oMath>
    </w:p>
    <w:p w:rsidR="00010404" w:rsidRDefault="00010404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1FC3" w:rsidRDefault="008D1FC3" w:rsidP="008D1FC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FC3" w:rsidRDefault="008D1FC3" w:rsidP="008D1F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 ДОМАШНЄ ЗАВДАННЯ.</w:t>
      </w:r>
    </w:p>
    <w:p w:rsidR="008D1FC3" w:rsidRDefault="0048642F" w:rsidP="008D1F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 22-23. Вправа 22 (2,3,6).</w:t>
      </w:r>
    </w:p>
    <w:p w:rsidR="008D1FC3" w:rsidRPr="00010404" w:rsidRDefault="008D1FC3" w:rsidP="00010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1FC3" w:rsidRPr="00010404" w:rsidSect="00366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26" w:rsidRDefault="00236426" w:rsidP="004E347C">
      <w:pPr>
        <w:spacing w:after="0" w:line="240" w:lineRule="auto"/>
      </w:pPr>
      <w:r>
        <w:separator/>
      </w:r>
    </w:p>
  </w:endnote>
  <w:endnote w:type="continuationSeparator" w:id="1">
    <w:p w:rsidR="00236426" w:rsidRDefault="00236426" w:rsidP="004E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A2" w:rsidRDefault="00720FA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A2" w:rsidRDefault="00720FA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A2" w:rsidRDefault="00720F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26" w:rsidRDefault="00236426" w:rsidP="004E347C">
      <w:pPr>
        <w:spacing w:after="0" w:line="240" w:lineRule="auto"/>
      </w:pPr>
      <w:r>
        <w:separator/>
      </w:r>
    </w:p>
  </w:footnote>
  <w:footnote w:type="continuationSeparator" w:id="1">
    <w:p w:rsidR="00236426" w:rsidRDefault="00236426" w:rsidP="004E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A2" w:rsidRDefault="00720F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7C" w:rsidRDefault="004E34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A2" w:rsidRDefault="00720F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E7F"/>
    <w:multiLevelType w:val="hybridMultilevel"/>
    <w:tmpl w:val="B84A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F45871"/>
    <w:multiLevelType w:val="hybridMultilevel"/>
    <w:tmpl w:val="166A3D58"/>
    <w:lvl w:ilvl="0" w:tplc="20943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9A19A1"/>
    <w:multiLevelType w:val="hybridMultilevel"/>
    <w:tmpl w:val="D08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490"/>
    <w:rsid w:val="00010404"/>
    <w:rsid w:val="000376CC"/>
    <w:rsid w:val="00190E6C"/>
    <w:rsid w:val="002201FD"/>
    <w:rsid w:val="00236426"/>
    <w:rsid w:val="00236539"/>
    <w:rsid w:val="00240614"/>
    <w:rsid w:val="00366C42"/>
    <w:rsid w:val="003D7E95"/>
    <w:rsid w:val="004341C9"/>
    <w:rsid w:val="0048642F"/>
    <w:rsid w:val="004E347C"/>
    <w:rsid w:val="0052304F"/>
    <w:rsid w:val="00720FA2"/>
    <w:rsid w:val="008D1FC3"/>
    <w:rsid w:val="00B05A69"/>
    <w:rsid w:val="00CC59D6"/>
    <w:rsid w:val="00DE1630"/>
    <w:rsid w:val="00E17490"/>
    <w:rsid w:val="00ED4759"/>
    <w:rsid w:val="00F64C98"/>
    <w:rsid w:val="00F9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0" type="connector" idref="#_x0000_s1031"/>
        <o:r id="V:Rule11" type="connector" idref="#_x0000_s1034"/>
        <o:r id="V:Rule12" type="connector" idref="#_x0000_s1032"/>
        <o:r id="V:Rule13" type="connector" idref="#_x0000_s1027"/>
        <o:r id="V:Rule14" type="connector" idref="#_x0000_s1026"/>
        <o:r id="V:Rule15" type="connector" idref="#_x0000_s1029"/>
        <o:r id="V:Rule16" type="connector" idref="#_x0000_s1035"/>
        <o:r id="V:Rule17" type="connector" idref="#_x0000_s1030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E17490"/>
    <w:pPr>
      <w:ind w:left="720"/>
    </w:pPr>
    <w:rPr>
      <w:rFonts w:ascii="Calibri" w:eastAsia="Calibri" w:hAnsi="Calibri" w:cs="Calibri"/>
    </w:rPr>
  </w:style>
  <w:style w:type="character" w:styleId="a3">
    <w:name w:val="Placeholder Text"/>
    <w:basedOn w:val="a0"/>
    <w:uiPriority w:val="99"/>
    <w:semiHidden/>
    <w:rsid w:val="00E174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47C"/>
  </w:style>
  <w:style w:type="paragraph" w:styleId="a8">
    <w:name w:val="footer"/>
    <w:basedOn w:val="a"/>
    <w:link w:val="a9"/>
    <w:uiPriority w:val="99"/>
    <w:semiHidden/>
    <w:unhideWhenUsed/>
    <w:rsid w:val="004E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347C"/>
  </w:style>
  <w:style w:type="paragraph" w:styleId="aa">
    <w:name w:val="List Paragraph"/>
    <w:basedOn w:val="a"/>
    <w:uiPriority w:val="34"/>
    <w:qFormat/>
    <w:rsid w:val="00010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 Лицей4</dc:creator>
  <cp:lastModifiedBy>Владислав</cp:lastModifiedBy>
  <cp:revision>10</cp:revision>
  <cp:lastPrinted>2012-01-11T18:07:00Z</cp:lastPrinted>
  <dcterms:created xsi:type="dcterms:W3CDTF">2012-01-11T17:04:00Z</dcterms:created>
  <dcterms:modified xsi:type="dcterms:W3CDTF">2018-03-26T14:45:00Z</dcterms:modified>
</cp:coreProperties>
</file>