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C6" w:rsidRPr="00FD408E" w:rsidRDefault="001063C6" w:rsidP="00106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FD408E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FD4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08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D4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08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408E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FD40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1063C6" w:rsidRDefault="001063C6" w:rsidP="00106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408E">
        <w:rPr>
          <w:rFonts w:ascii="Times New Roman" w:hAnsi="Times New Roman" w:cs="Times New Roman"/>
          <w:sz w:val="28"/>
          <w:szCs w:val="28"/>
        </w:rPr>
        <w:t>Індустріально-педагогічний</w:t>
      </w:r>
      <w:proofErr w:type="spellEnd"/>
      <w:r w:rsidRPr="00FD4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08E">
        <w:rPr>
          <w:rFonts w:ascii="Times New Roman" w:hAnsi="Times New Roman" w:cs="Times New Roman"/>
          <w:sz w:val="28"/>
          <w:szCs w:val="28"/>
        </w:rPr>
        <w:t>технікум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408E">
        <w:rPr>
          <w:rFonts w:ascii="Times New Roman" w:hAnsi="Times New Roman" w:cs="Times New Roman"/>
          <w:sz w:val="28"/>
          <w:szCs w:val="28"/>
        </w:rPr>
        <w:t>Конотопського</w:t>
      </w:r>
      <w:proofErr w:type="spellEnd"/>
      <w:r w:rsidRPr="00FD4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08E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</w:p>
    <w:p w:rsidR="001063C6" w:rsidRPr="00FD408E" w:rsidRDefault="001063C6" w:rsidP="00106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08E">
        <w:rPr>
          <w:rFonts w:ascii="Times New Roman" w:hAnsi="Times New Roman" w:cs="Times New Roman"/>
          <w:sz w:val="28"/>
          <w:szCs w:val="28"/>
        </w:rPr>
        <w:t>Сумського</w:t>
      </w:r>
      <w:proofErr w:type="spellEnd"/>
      <w:r w:rsidRPr="00FD408E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FD408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</w:p>
    <w:bookmarkEnd w:id="0"/>
    <w:p w:rsidR="001063C6" w:rsidRDefault="001063C6" w:rsidP="001063C6"/>
    <w:p w:rsidR="001063C6" w:rsidRDefault="001063C6" w:rsidP="001063C6"/>
    <w:p w:rsidR="001063C6" w:rsidRDefault="001063C6" w:rsidP="001063C6"/>
    <w:p w:rsidR="001063C6" w:rsidRDefault="001063C6" w:rsidP="001063C6"/>
    <w:p w:rsidR="001063C6" w:rsidRDefault="001063C6" w:rsidP="001063C6"/>
    <w:p w:rsidR="001063C6" w:rsidRDefault="001063C6" w:rsidP="001063C6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Методичні вказівки до</w:t>
      </w:r>
    </w:p>
    <w:p w:rsidR="001063C6" w:rsidRDefault="001063C6" w:rsidP="001063C6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самостійної роботи з дисципліни «Фінанси підприємства»</w:t>
      </w:r>
    </w:p>
    <w:p w:rsidR="001063C6" w:rsidRDefault="001063C6" w:rsidP="001063C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1063C6" w:rsidRDefault="001063C6" w:rsidP="001063C6">
      <w:pPr>
        <w:tabs>
          <w:tab w:val="left" w:pos="0"/>
          <w:tab w:val="left" w:pos="3060"/>
          <w:tab w:val="left" w:pos="4860"/>
        </w:tabs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3C6" w:rsidRDefault="001063C6" w:rsidP="001063C6">
      <w:pPr>
        <w:tabs>
          <w:tab w:val="left" w:pos="0"/>
          <w:tab w:val="left" w:pos="3060"/>
          <w:tab w:val="left" w:pos="4860"/>
        </w:tabs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3C6" w:rsidRDefault="001063C6" w:rsidP="001063C6">
      <w:pPr>
        <w:tabs>
          <w:tab w:val="left" w:pos="0"/>
          <w:tab w:val="left" w:pos="3060"/>
          <w:tab w:val="left" w:pos="4860"/>
        </w:tabs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3C6" w:rsidRDefault="001063C6" w:rsidP="001063C6">
      <w:pPr>
        <w:tabs>
          <w:tab w:val="left" w:pos="0"/>
          <w:tab w:val="left" w:pos="3060"/>
          <w:tab w:val="left" w:pos="4860"/>
        </w:tabs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3C6" w:rsidRPr="00FD408E" w:rsidRDefault="001063C6" w:rsidP="001063C6">
      <w:pPr>
        <w:tabs>
          <w:tab w:val="left" w:pos="0"/>
          <w:tab w:val="left" w:pos="3060"/>
          <w:tab w:val="left" w:pos="4860"/>
        </w:tabs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фінансово – економічних дисциплін  </w:t>
      </w:r>
      <w:r w:rsidRPr="00FD408E">
        <w:rPr>
          <w:rFonts w:ascii="Times New Roman" w:hAnsi="Times New Roman" w:cs="Times New Roman"/>
          <w:sz w:val="28"/>
          <w:szCs w:val="28"/>
          <w:lang w:val="uk-UA"/>
        </w:rPr>
        <w:t>Попович О.І.</w:t>
      </w:r>
    </w:p>
    <w:p w:rsidR="001063C6" w:rsidRDefault="001063C6" w:rsidP="001063C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063C6" w:rsidRDefault="001063C6" w:rsidP="001063C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063C6" w:rsidRDefault="001063C6" w:rsidP="001063C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063C6" w:rsidRDefault="001063C6" w:rsidP="001063C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063C6" w:rsidRDefault="001063C6" w:rsidP="001063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3C6" w:rsidRPr="00FD408E" w:rsidRDefault="001063C6" w:rsidP="001063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408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1063C6" w:rsidRPr="007B0492" w:rsidRDefault="001063C6" w:rsidP="001063C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492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МЕТОДИЧНІ РЕКОМЕНДАЦІЇ</w:t>
      </w:r>
      <w:r w:rsidRPr="007B0492">
        <w:rPr>
          <w:rFonts w:ascii="Times New Roman" w:hAnsi="Times New Roman" w:cs="Times New Roman"/>
          <w:b/>
          <w:i/>
          <w:sz w:val="28"/>
          <w:szCs w:val="28"/>
        </w:rPr>
        <w:t> </w:t>
      </w:r>
      <w:r w:rsidRPr="007B0492">
        <w:rPr>
          <w:rFonts w:ascii="Times New Roman" w:hAnsi="Times New Roman" w:cs="Times New Roman"/>
          <w:b/>
          <w:i/>
          <w:sz w:val="28"/>
          <w:szCs w:val="28"/>
        </w:rPr>
        <w:t xml:space="preserve"> ЩОДО</w:t>
      </w:r>
      <w:r w:rsidRPr="007B0492">
        <w:rPr>
          <w:rFonts w:ascii="Times New Roman" w:hAnsi="Times New Roman" w:cs="Times New Roman"/>
          <w:b/>
          <w:i/>
          <w:sz w:val="28"/>
          <w:szCs w:val="28"/>
        </w:rPr>
        <w:t> </w:t>
      </w:r>
      <w:r w:rsidRPr="007B0492">
        <w:rPr>
          <w:rFonts w:ascii="Times New Roman" w:hAnsi="Times New Roman" w:cs="Times New Roman"/>
          <w:b/>
          <w:i/>
          <w:sz w:val="28"/>
          <w:szCs w:val="28"/>
        </w:rPr>
        <w:t xml:space="preserve"> САМОСТІЙНОЇ РОБОТИ</w:t>
      </w:r>
      <w:r w:rsidRPr="007B0492">
        <w:rPr>
          <w:rFonts w:ascii="Times New Roman" w:hAnsi="Times New Roman" w:cs="Times New Roman"/>
          <w:b/>
          <w:i/>
          <w:sz w:val="28"/>
          <w:szCs w:val="28"/>
        </w:rPr>
        <w:t> </w:t>
      </w:r>
      <w:r w:rsidRPr="007B0492">
        <w:rPr>
          <w:rFonts w:ascii="Times New Roman" w:hAnsi="Times New Roman" w:cs="Times New Roman"/>
          <w:b/>
          <w:i/>
          <w:sz w:val="28"/>
          <w:szCs w:val="28"/>
        </w:rPr>
        <w:t xml:space="preserve"> СТУДЕНТІВ</w:t>
      </w:r>
    </w:p>
    <w:p w:rsidR="001063C6" w:rsidRPr="00EE06DA" w:rsidRDefault="001063C6" w:rsidP="001063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3C6" w:rsidRPr="00EE06DA" w:rsidRDefault="001063C6" w:rsidP="001063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6DA">
        <w:rPr>
          <w:rFonts w:ascii="Times New Roman" w:hAnsi="Times New Roman" w:cs="Times New Roman"/>
          <w:sz w:val="28"/>
          <w:szCs w:val="28"/>
        </w:rPr>
        <w:t xml:space="preserve">• роботу над конспектами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планами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занять; </w:t>
      </w:r>
    </w:p>
    <w:p w:rsidR="001063C6" w:rsidRPr="00EE06DA" w:rsidRDefault="001063C6" w:rsidP="001063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6D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підручниками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навчальни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- ми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посібниками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роботу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нормативно-правовими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актами; </w:t>
      </w:r>
    </w:p>
    <w:p w:rsidR="001063C6" w:rsidRPr="00EE06DA" w:rsidRDefault="001063C6" w:rsidP="001063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6DA">
        <w:rPr>
          <w:rFonts w:ascii="Times New Roman" w:hAnsi="Times New Roman" w:cs="Times New Roman"/>
          <w:sz w:val="28"/>
          <w:szCs w:val="28"/>
        </w:rPr>
        <w:t xml:space="preserve">• роботу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каталогами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формації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>;</w:t>
      </w:r>
    </w:p>
    <w:p w:rsidR="001063C6" w:rsidRPr="00EE06DA" w:rsidRDefault="001063C6" w:rsidP="001063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6D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першоджерелами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ціальними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публікаціями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періодичних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інформаційно-довідковими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літературними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>;</w:t>
      </w:r>
    </w:p>
    <w:p w:rsidR="001063C6" w:rsidRPr="00EE06DA" w:rsidRDefault="001063C6" w:rsidP="001063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6D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конспектування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рефератів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курсової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>;</w:t>
      </w:r>
    </w:p>
    <w:p w:rsidR="001063C6" w:rsidRPr="00EE06DA" w:rsidRDefault="001063C6" w:rsidP="001063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6D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колоквіумах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63C6" w:rsidRDefault="001063C6" w:rsidP="001063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6D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науково-дослідну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1063C6" w:rsidRPr="00EE06DA" w:rsidRDefault="001063C6" w:rsidP="001063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опрацюванн</w:t>
      </w:r>
      <w:r w:rsidR="00377E3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77E3F">
        <w:rPr>
          <w:rFonts w:ascii="Times New Roman" w:hAnsi="Times New Roman" w:cs="Times New Roman"/>
          <w:sz w:val="28"/>
          <w:szCs w:val="28"/>
        </w:rPr>
        <w:t xml:space="preserve"> тем та при </w:t>
      </w:r>
      <w:proofErr w:type="spellStart"/>
      <w:r w:rsidR="00377E3F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="00377E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77E3F">
        <w:rPr>
          <w:rFonts w:ascii="Times New Roman" w:hAnsi="Times New Roman" w:cs="Times New Roman"/>
          <w:sz w:val="28"/>
          <w:szCs w:val="28"/>
        </w:rPr>
        <w:t>прак</w:t>
      </w:r>
      <w:r w:rsidRPr="00EE06DA">
        <w:rPr>
          <w:rFonts w:ascii="Times New Roman" w:hAnsi="Times New Roman" w:cs="Times New Roman"/>
          <w:sz w:val="28"/>
          <w:szCs w:val="28"/>
        </w:rPr>
        <w:t>тичних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>.</w:t>
      </w:r>
    </w:p>
    <w:p w:rsidR="001063C6" w:rsidRDefault="001063C6" w:rsidP="001063C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E3F">
        <w:rPr>
          <w:rFonts w:ascii="Times New Roman" w:hAnsi="Times New Roman" w:cs="Times New Roman"/>
          <w:sz w:val="28"/>
          <w:szCs w:val="28"/>
          <w:lang w:val="uk-UA"/>
        </w:rPr>
        <w:t xml:space="preserve"> Вони дають студентам знання в обсязі, необхідному для подальшого самостійного поглибленого вивчення дисципліни, орієнтують у найраціональнішому </w:t>
      </w:r>
      <w:proofErr w:type="spellStart"/>
      <w:r w:rsidRPr="00377E3F">
        <w:rPr>
          <w:rFonts w:ascii="Times New Roman" w:hAnsi="Times New Roman" w:cs="Times New Roman"/>
          <w:sz w:val="28"/>
          <w:szCs w:val="28"/>
          <w:lang w:val="uk-UA"/>
        </w:rPr>
        <w:t>напря</w:t>
      </w:r>
      <w:proofErr w:type="spellEnd"/>
      <w:r w:rsidRPr="00377E3F">
        <w:rPr>
          <w:rFonts w:ascii="Times New Roman" w:hAnsi="Times New Roman" w:cs="Times New Roman"/>
          <w:sz w:val="28"/>
          <w:szCs w:val="28"/>
          <w:lang w:val="uk-UA"/>
        </w:rPr>
        <w:t xml:space="preserve"> мі щодо самостійного опрацювання кожної теми, роз’яснюють найскладніші поняття та положення.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посилаєть</w:t>
      </w:r>
      <w:r w:rsidRPr="00EE06D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нормативно-правові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конспекту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проаналізуват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шому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поглибленому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теми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занять.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розкриті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конспекті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винесені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студент повинен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рекомендованими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підручни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посібниками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конодавчо-нормативною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</w:t>
      </w:r>
      <w:r w:rsidRPr="00EE06DA">
        <w:rPr>
          <w:rFonts w:ascii="Times New Roman" w:hAnsi="Times New Roman" w:cs="Times New Roman"/>
          <w:sz w:val="28"/>
          <w:szCs w:val="28"/>
        </w:rPr>
        <w:t>ково-інформаційною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студент повинен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відібрати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). При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самостійном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</w:t>
      </w:r>
      <w:r w:rsidRPr="00EE06DA">
        <w:rPr>
          <w:rFonts w:ascii="Times New Roman" w:hAnsi="Times New Roman" w:cs="Times New Roman"/>
          <w:sz w:val="28"/>
          <w:szCs w:val="28"/>
        </w:rPr>
        <w:t>никами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посібниками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</w:t>
      </w:r>
      <w:r w:rsidRPr="00EE06DA">
        <w:rPr>
          <w:rFonts w:ascii="Times New Roman" w:hAnsi="Times New Roman" w:cs="Times New Roman"/>
          <w:sz w:val="28"/>
          <w:szCs w:val="28"/>
        </w:rPr>
        <w:t>турою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прочитане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порівнюючи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прослуханою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законспектованою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лекцією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логічні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позначати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незрозумілі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</w:t>
      </w:r>
      <w:r w:rsidR="00377E3F">
        <w:rPr>
          <w:rFonts w:ascii="Times New Roman" w:hAnsi="Times New Roman" w:cs="Times New Roman"/>
          <w:sz w:val="28"/>
          <w:szCs w:val="28"/>
        </w:rPr>
        <w:t>одальшого</w:t>
      </w:r>
      <w:proofErr w:type="spellEnd"/>
      <w:r w:rsidR="0037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E3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7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E3F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="00377E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77E3F">
        <w:rPr>
          <w:rFonts w:ascii="Times New Roman" w:hAnsi="Times New Roman" w:cs="Times New Roman"/>
          <w:sz w:val="28"/>
          <w:szCs w:val="28"/>
        </w:rPr>
        <w:t>семі</w:t>
      </w:r>
      <w:r w:rsidRPr="00EE06DA">
        <w:rPr>
          <w:rFonts w:ascii="Times New Roman" w:hAnsi="Times New Roman" w:cs="Times New Roman"/>
          <w:sz w:val="28"/>
          <w:szCs w:val="28"/>
        </w:rPr>
        <w:t>нарському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r w:rsidRPr="00EE06DA">
        <w:rPr>
          <w:rFonts w:ascii="Times New Roman" w:hAnsi="Times New Roman" w:cs="Times New Roman"/>
          <w:sz w:val="28"/>
          <w:szCs w:val="28"/>
        </w:rPr>
        <w:lastRenderedPageBreak/>
        <w:t xml:space="preserve">практичному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занятт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виписувати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формулю</w:t>
      </w:r>
      <w:r w:rsidRPr="00EE06DA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визначень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авторами.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спеціально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</w:t>
      </w:r>
      <w:r w:rsidRPr="00EE06D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у списку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рекомендованої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навчально-методичного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комплексу.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користовувати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поглибленого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особливо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 w:rsidRPr="00EE06DA">
        <w:rPr>
          <w:rFonts w:ascii="Times New Roman" w:hAnsi="Times New Roman" w:cs="Times New Roman"/>
          <w:sz w:val="28"/>
          <w:szCs w:val="28"/>
        </w:rPr>
        <w:t>повідей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рефератів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джер</w:t>
      </w:r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</w:t>
      </w:r>
      <w:r w:rsidRPr="00EE06DA">
        <w:rPr>
          <w:rFonts w:ascii="Times New Roman" w:hAnsi="Times New Roman" w:cs="Times New Roman"/>
          <w:sz w:val="28"/>
          <w:szCs w:val="28"/>
        </w:rPr>
        <w:t>фавітного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каталогу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каталожну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бібліотечним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шифром. </w:t>
      </w:r>
    </w:p>
    <w:p w:rsidR="001063C6" w:rsidRDefault="001063C6" w:rsidP="001063C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студент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</w:t>
      </w:r>
      <w:r w:rsidRPr="00EE06DA">
        <w:rPr>
          <w:rFonts w:ascii="Times New Roman" w:hAnsi="Times New Roman" w:cs="Times New Roman"/>
          <w:sz w:val="28"/>
          <w:szCs w:val="28"/>
        </w:rPr>
        <w:t>либлено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конкретну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проблему,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реферат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курсову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вистача</w:t>
      </w:r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списку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рекомендо</w:t>
      </w:r>
      <w:r w:rsidRPr="00EE06DA">
        <w:rPr>
          <w:rFonts w:ascii="Times New Roman" w:hAnsi="Times New Roman" w:cs="Times New Roman"/>
          <w:sz w:val="28"/>
          <w:szCs w:val="28"/>
        </w:rPr>
        <w:t>ваної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реквізити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рекомендованих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до сис</w:t>
      </w:r>
      <w:r>
        <w:rPr>
          <w:rFonts w:ascii="Times New Roman" w:hAnsi="Times New Roman" w:cs="Times New Roman"/>
          <w:sz w:val="28"/>
          <w:szCs w:val="28"/>
        </w:rPr>
        <w:t xml:space="preserve">тематичного каталогу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</w:t>
      </w:r>
      <w:r w:rsidRPr="00EE06DA">
        <w:rPr>
          <w:rFonts w:ascii="Times New Roman" w:hAnsi="Times New Roman" w:cs="Times New Roman"/>
          <w:sz w:val="28"/>
          <w:szCs w:val="28"/>
        </w:rPr>
        <w:t>теки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>.</w:t>
      </w:r>
    </w:p>
    <w:p w:rsidR="001063C6" w:rsidRDefault="001063C6" w:rsidP="001063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поглибленню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r w:rsidRPr="00EE06DA">
        <w:rPr>
          <w:rFonts w:ascii="Times New Roman" w:hAnsi="Times New Roman" w:cs="Times New Roman"/>
          <w:sz w:val="28"/>
          <w:szCs w:val="28"/>
        </w:rPr>
        <w:t>ципліни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</w:t>
      </w:r>
      <w:r w:rsidRPr="00EE06DA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вдало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поєднувати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розра</w:t>
      </w:r>
      <w:r>
        <w:rPr>
          <w:rFonts w:ascii="Times New Roman" w:hAnsi="Times New Roman" w:cs="Times New Roman"/>
          <w:sz w:val="28"/>
          <w:szCs w:val="28"/>
        </w:rPr>
        <w:t>хункові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самоконтро</w:t>
      </w:r>
      <w:r w:rsidRPr="00EE06DA">
        <w:rPr>
          <w:rFonts w:ascii="Times New Roman" w:hAnsi="Times New Roman" w:cs="Times New Roman"/>
          <w:sz w:val="28"/>
          <w:szCs w:val="28"/>
        </w:rPr>
        <w:t xml:space="preserve">лю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здобутих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. За результатами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тео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EE06DA">
        <w:rPr>
          <w:rFonts w:ascii="Times New Roman" w:hAnsi="Times New Roman" w:cs="Times New Roman"/>
          <w:sz w:val="28"/>
          <w:szCs w:val="28"/>
        </w:rPr>
        <w:t>тичних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студентом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EE06DA">
        <w:rPr>
          <w:rFonts w:ascii="Times New Roman" w:hAnsi="Times New Roman" w:cs="Times New Roman"/>
          <w:sz w:val="28"/>
          <w:szCs w:val="28"/>
        </w:rPr>
        <w:t xml:space="preserve">сад на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EE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DA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3C6" w:rsidRPr="007B0492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4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2: 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грошових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розрахунків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підприємств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>.</w:t>
      </w:r>
    </w:p>
    <w:p w:rsidR="001063C6" w:rsidRPr="007B0492" w:rsidRDefault="001063C6" w:rsidP="001063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Розрахунково-платіжна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вплив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фінансово-господарську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>.</w:t>
      </w:r>
    </w:p>
    <w:p w:rsidR="001063C6" w:rsidRPr="007B0492" w:rsidRDefault="001063C6" w:rsidP="001063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Контрольні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</w:p>
    <w:p w:rsidR="001063C6" w:rsidRPr="007B0492" w:rsidRDefault="001063C6" w:rsidP="00106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розрахункова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?</w:t>
      </w:r>
    </w:p>
    <w:p w:rsidR="001063C6" w:rsidRPr="007B0492" w:rsidRDefault="001063C6" w:rsidP="00106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платіжна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?</w:t>
      </w:r>
    </w:p>
    <w:p w:rsidR="001063C6" w:rsidRPr="007B0492" w:rsidRDefault="001063C6" w:rsidP="00106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санкція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санкцій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господарсько-фінансової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?</w:t>
      </w:r>
    </w:p>
    <w:p w:rsidR="001063C6" w:rsidRPr="007B0492" w:rsidRDefault="001063C6" w:rsidP="00106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4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спрямовано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санкцій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?</w:t>
      </w:r>
    </w:p>
    <w:p w:rsidR="001063C6" w:rsidRPr="007B0492" w:rsidRDefault="001063C6" w:rsidP="00106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4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договірні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?</w:t>
      </w:r>
    </w:p>
    <w:p w:rsidR="001063C6" w:rsidRPr="007B0492" w:rsidRDefault="001063C6" w:rsidP="00106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4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кредитні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?</w:t>
      </w:r>
    </w:p>
    <w:p w:rsidR="001063C6" w:rsidRPr="007B0492" w:rsidRDefault="001063C6" w:rsidP="00106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4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?</w:t>
      </w:r>
    </w:p>
    <w:p w:rsidR="001063C6" w:rsidRPr="007B0492" w:rsidRDefault="001063C6" w:rsidP="00106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сплачують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штраф у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нарахованого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?</w:t>
      </w:r>
    </w:p>
    <w:p w:rsidR="001063C6" w:rsidRPr="007B0492" w:rsidRDefault="001063C6" w:rsidP="00106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штрафів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за 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норм по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регулюванню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готівки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.</w:t>
      </w:r>
    </w:p>
    <w:p w:rsidR="001063C6" w:rsidRPr="007B0492" w:rsidRDefault="001063C6" w:rsidP="00106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4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штрафи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?</w:t>
      </w:r>
    </w:p>
    <w:p w:rsidR="001063C6" w:rsidRPr="007B0492" w:rsidRDefault="001063C6" w:rsidP="00106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адміністративний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штраф? Та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стягнень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?</w:t>
      </w:r>
    </w:p>
    <w:p w:rsidR="001063C6" w:rsidRPr="007B0492" w:rsidRDefault="001063C6" w:rsidP="001063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Індивідуальне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7B04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3C6" w:rsidRDefault="001063C6" w:rsidP="0010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492">
        <w:rPr>
          <w:rFonts w:ascii="Times New Roman" w:hAnsi="Times New Roman" w:cs="Times New Roman"/>
          <w:b/>
          <w:i/>
          <w:sz w:val="28"/>
          <w:szCs w:val="28"/>
        </w:rPr>
        <w:t xml:space="preserve">Тип </w:t>
      </w:r>
      <w:proofErr w:type="spellStart"/>
      <w:r w:rsidRPr="007B0492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вчально-методичної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монографіч</w:t>
      </w:r>
      <w:r w:rsidRPr="007B0492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періодичної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інформаційно-довідкової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проблем теми;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>.</w:t>
      </w:r>
    </w:p>
    <w:p w:rsidR="001063C6" w:rsidRDefault="001063C6" w:rsidP="0010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r w:rsidRPr="007B0492">
        <w:rPr>
          <w:rFonts w:ascii="Times New Roman" w:hAnsi="Times New Roman" w:cs="Times New Roman"/>
          <w:b/>
          <w:i/>
          <w:sz w:val="28"/>
          <w:szCs w:val="28"/>
        </w:rPr>
        <w:t xml:space="preserve">Мета </w:t>
      </w:r>
      <w:proofErr w:type="spellStart"/>
      <w:r w:rsidRPr="007B0492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7B049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</w:t>
      </w:r>
      <w:r w:rsidRPr="007B0492">
        <w:rPr>
          <w:rFonts w:ascii="Times New Roman" w:hAnsi="Times New Roman" w:cs="Times New Roman"/>
          <w:sz w:val="28"/>
          <w:szCs w:val="28"/>
        </w:rPr>
        <w:t>ретних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недолік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</w:t>
      </w:r>
      <w:r w:rsidRPr="007B0492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неперервності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грошового обороту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розрахунково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платіжної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3C6" w:rsidRDefault="001063C6" w:rsidP="0010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3C6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Самостійна робота:</w:t>
      </w:r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63C6" w:rsidRDefault="001063C6" w:rsidP="0010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3C6">
        <w:rPr>
          <w:rFonts w:ascii="Times New Roman" w:hAnsi="Times New Roman" w:cs="Times New Roman"/>
          <w:sz w:val="28"/>
          <w:szCs w:val="28"/>
          <w:lang w:val="uk-UA"/>
        </w:rPr>
        <w:t>1) схематично відтворити взаємодію учасників безготівкових гр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063C6">
        <w:rPr>
          <w:rFonts w:ascii="Times New Roman" w:hAnsi="Times New Roman" w:cs="Times New Roman"/>
          <w:sz w:val="28"/>
          <w:szCs w:val="28"/>
          <w:lang w:val="uk-UA"/>
        </w:rPr>
        <w:t>шових розрахунків за кожною ф</w:t>
      </w:r>
      <w:r>
        <w:rPr>
          <w:rFonts w:ascii="Times New Roman" w:hAnsi="Times New Roman" w:cs="Times New Roman"/>
          <w:sz w:val="28"/>
          <w:szCs w:val="28"/>
          <w:lang w:val="uk-UA"/>
        </w:rPr>
        <w:t>ормою їх організації (із засто</w:t>
      </w:r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суванням платіжних доручень, вимог-доручень, розрахункових чеків, акредитивів відкличних та безвідкличних, векселів простих та переказних, систем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“клієнт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банк”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“клієнт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банк”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“телефонний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банкінг”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; розрахунків шляхом взаємного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списан-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заборгованості та примусового списання грошових коштів); </w:t>
      </w:r>
    </w:p>
    <w:p w:rsidR="001063C6" w:rsidRDefault="001063C6" w:rsidP="0010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49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реферат за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тем.</w:t>
      </w:r>
    </w:p>
    <w:p w:rsidR="001063C6" w:rsidRPr="007B0492" w:rsidRDefault="001063C6" w:rsidP="001063C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63C6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Теми рефератів</w:t>
      </w:r>
    </w:p>
    <w:p w:rsidR="001063C6" w:rsidRPr="007B0492" w:rsidRDefault="001063C6" w:rsidP="0010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• Шляхи підвищення результативності організації грошових розрахунків підприємств. </w:t>
      </w:r>
    </w:p>
    <w:p w:rsidR="001063C6" w:rsidRPr="007B0492" w:rsidRDefault="001063C6" w:rsidP="0010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492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безготівкових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3C6" w:rsidRPr="007B0492" w:rsidRDefault="001063C6" w:rsidP="0010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49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ханізму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розрахунко</w:t>
      </w:r>
      <w:r w:rsidRPr="007B0492">
        <w:rPr>
          <w:rFonts w:ascii="Times New Roman" w:hAnsi="Times New Roman" w:cs="Times New Roman"/>
          <w:sz w:val="28"/>
          <w:szCs w:val="28"/>
        </w:rPr>
        <w:t>во-платіжної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B0492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7B0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3C6" w:rsidRDefault="001063C6" w:rsidP="00106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3) Навести визначення ключових термінів: грошовий обіг, грошові розрахунки в господарській діяльності підприємств, готівкові розрахунки, касові операції, ліміт залишку готівки в касі, касова дисципліна, безготівкові розрахунки, платіжне доручення, платіжна вимога-доручення, розрахунковий чек, відкличний акредитив, безвідкличний акредитив, простий вексель, переказний вексель, ремітент,системи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“клієнт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банк”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“клієнт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банк”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“телефонний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банкінг”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; взаємне списання заборгованості,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примусо-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63C6"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 w:rsidRPr="001063C6">
        <w:rPr>
          <w:rFonts w:ascii="Times New Roman" w:hAnsi="Times New Roman" w:cs="Times New Roman"/>
          <w:sz w:val="28"/>
          <w:szCs w:val="28"/>
          <w:lang w:val="uk-UA"/>
        </w:rPr>
        <w:t xml:space="preserve"> списання грошових коштів, розрахунково-платіжна дисциплі</w:t>
      </w:r>
      <w:r w:rsidRPr="007B0492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63C6" w:rsidRPr="003044B4" w:rsidRDefault="001063C6" w:rsidP="001063C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b/>
          <w:i/>
          <w:sz w:val="28"/>
          <w:szCs w:val="28"/>
        </w:rPr>
        <w:t>Тести</w:t>
      </w:r>
    </w:p>
    <w:p w:rsidR="001063C6" w:rsidRPr="003044B4" w:rsidRDefault="001063C6" w:rsidP="001063C6">
      <w:pPr>
        <w:spacing w:before="200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Тест 1. Готівкові розрахунки — це…</w:t>
      </w:r>
    </w:p>
    <w:p w:rsidR="001063C6" w:rsidRPr="003044B4" w:rsidRDefault="001063C6" w:rsidP="001063C6">
      <w:pPr>
        <w:numPr>
          <w:ilvl w:val="0"/>
          <w:numId w:val="3"/>
        </w:numPr>
        <w:tabs>
          <w:tab w:val="clear" w:pos="66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списання коштів з рахунків платника;</w:t>
      </w:r>
    </w:p>
    <w:p w:rsidR="001063C6" w:rsidRPr="003044B4" w:rsidRDefault="001063C6" w:rsidP="001063C6">
      <w:pPr>
        <w:numPr>
          <w:ilvl w:val="0"/>
          <w:numId w:val="3"/>
        </w:numPr>
        <w:tabs>
          <w:tab w:val="clear" w:pos="66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розрахунки, за яких платіж не гарантується;</w:t>
      </w:r>
    </w:p>
    <w:p w:rsidR="001063C6" w:rsidRPr="003044B4" w:rsidRDefault="001063C6" w:rsidP="001063C6">
      <w:pPr>
        <w:numPr>
          <w:ilvl w:val="0"/>
          <w:numId w:val="3"/>
        </w:numPr>
        <w:tabs>
          <w:tab w:val="clear" w:pos="66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розрахунки, які здійснюються між покупцем і постачальником, що перебувають в одному регіоні;</w:t>
      </w:r>
    </w:p>
    <w:p w:rsidR="001063C6" w:rsidRPr="003044B4" w:rsidRDefault="001063C6" w:rsidP="001063C6">
      <w:pPr>
        <w:numPr>
          <w:ilvl w:val="0"/>
          <w:numId w:val="3"/>
        </w:numPr>
        <w:tabs>
          <w:tab w:val="clear" w:pos="66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pacing w:val="-4"/>
          <w:sz w:val="28"/>
          <w:szCs w:val="28"/>
          <w:lang w:val="uk-UA"/>
        </w:rPr>
        <w:t>платежі готівкою між підприємствами за реалізовану продукцію;</w:t>
      </w:r>
    </w:p>
    <w:p w:rsidR="001063C6" w:rsidRPr="003044B4" w:rsidRDefault="001063C6" w:rsidP="001063C6">
      <w:pPr>
        <w:numPr>
          <w:ilvl w:val="0"/>
          <w:numId w:val="3"/>
        </w:numPr>
        <w:tabs>
          <w:tab w:val="clear" w:pos="66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pacing w:val="-4"/>
          <w:sz w:val="28"/>
          <w:szCs w:val="28"/>
          <w:lang w:val="uk-UA"/>
        </w:rPr>
        <w:t>платежі готівкою між підприємствами за операції, які не пов’яза</w:t>
      </w:r>
      <w:r w:rsidRPr="003044B4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  <w:t>ні з реалізацією</w:t>
      </w:r>
      <w:r w:rsidRPr="003044B4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продукції.</w:t>
      </w:r>
    </w:p>
    <w:p w:rsidR="001063C6" w:rsidRPr="003044B4" w:rsidRDefault="001063C6" w:rsidP="001063C6">
      <w:pPr>
        <w:spacing w:before="200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Тест 2. Платіжне доручення — це…</w:t>
      </w:r>
    </w:p>
    <w:p w:rsidR="001063C6" w:rsidRPr="001063C6" w:rsidRDefault="001063C6" w:rsidP="001063C6">
      <w:pPr>
        <w:pStyle w:val="a5"/>
        <w:numPr>
          <w:ilvl w:val="0"/>
          <w:numId w:val="4"/>
        </w:numPr>
        <w:shd w:val="clear" w:color="auto" w:fill="auto"/>
        <w:tabs>
          <w:tab w:val="clear" w:pos="661"/>
        </w:tabs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документ,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що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містить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доручення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чекодавця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банку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переказати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його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рахунка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певну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суму;</w:t>
      </w:r>
    </w:p>
    <w:p w:rsidR="001063C6" w:rsidRPr="003044B4" w:rsidRDefault="001063C6" w:rsidP="001063C6">
      <w:pPr>
        <w:numPr>
          <w:ilvl w:val="0"/>
          <w:numId w:val="4"/>
        </w:numPr>
        <w:tabs>
          <w:tab w:val="clear" w:pos="6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pacing w:val="-4"/>
          <w:sz w:val="28"/>
          <w:szCs w:val="28"/>
          <w:lang w:val="uk-UA"/>
        </w:rPr>
        <w:t>письмове боргове зобов’язання, яке дає право вимагати від борж</w:t>
      </w:r>
      <w:r w:rsidRPr="003044B4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  <w:t>ника</w:t>
      </w:r>
      <w:r w:rsidRPr="003044B4">
        <w:rPr>
          <w:rFonts w:ascii="Times New Roman" w:hAnsi="Times New Roman" w:cs="Times New Roman"/>
          <w:sz w:val="28"/>
          <w:szCs w:val="28"/>
          <w:lang w:val="uk-UA"/>
        </w:rPr>
        <w:t xml:space="preserve"> сплати відповідної суми;</w:t>
      </w:r>
    </w:p>
    <w:p w:rsidR="001063C6" w:rsidRPr="003044B4" w:rsidRDefault="001063C6" w:rsidP="001063C6">
      <w:pPr>
        <w:numPr>
          <w:ilvl w:val="0"/>
          <w:numId w:val="4"/>
        </w:numPr>
        <w:tabs>
          <w:tab w:val="clear" w:pos="6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письмове доручення платника банку про списання з його рахунка певної суми й переказування на рахунок одержувача;</w:t>
      </w:r>
    </w:p>
    <w:p w:rsidR="001063C6" w:rsidRPr="003044B4" w:rsidRDefault="001063C6" w:rsidP="001063C6">
      <w:pPr>
        <w:numPr>
          <w:ilvl w:val="0"/>
          <w:numId w:val="4"/>
        </w:numPr>
        <w:tabs>
          <w:tab w:val="clear" w:pos="66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комбінований документ, який містить вимогу постачальника та доручення платника;</w:t>
      </w:r>
    </w:p>
    <w:p w:rsidR="001063C6" w:rsidRPr="003044B4" w:rsidRDefault="001063C6" w:rsidP="001063C6">
      <w:pPr>
        <w:numPr>
          <w:ilvl w:val="0"/>
          <w:numId w:val="4"/>
        </w:numPr>
        <w:tabs>
          <w:tab w:val="clear" w:pos="6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немає правильної відповіді.</w:t>
      </w:r>
    </w:p>
    <w:p w:rsidR="001063C6" w:rsidRPr="003044B4" w:rsidRDefault="001063C6" w:rsidP="001063C6">
      <w:pPr>
        <w:spacing w:before="200" w:after="160"/>
        <w:ind w:firstLine="301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 xml:space="preserve">Тест 3. </w:t>
      </w:r>
      <w:r w:rsidRPr="003044B4">
        <w:rPr>
          <w:rFonts w:ascii="Times New Roman" w:hAnsi="Times New Roman" w:cs="Times New Roman"/>
          <w:spacing w:val="-2"/>
          <w:sz w:val="28"/>
          <w:szCs w:val="28"/>
          <w:lang w:val="uk-UA"/>
        </w:rPr>
        <w:t>Знайдіть у правій колонці правильне визначення кожного виду розрахунків:</w:t>
      </w:r>
    </w:p>
    <w:tbl>
      <w:tblPr>
        <w:tblW w:w="0" w:type="auto"/>
        <w:jc w:val="center"/>
        <w:tblLayout w:type="fixed"/>
        <w:tblLook w:val="0000"/>
      </w:tblPr>
      <w:tblGrid>
        <w:gridCol w:w="2462"/>
        <w:gridCol w:w="4045"/>
      </w:tblGrid>
      <w:tr w:rsidR="001063C6" w:rsidRPr="003044B4" w:rsidTr="00F06D2E">
        <w:trPr>
          <w:jc w:val="center"/>
        </w:trPr>
        <w:tc>
          <w:tcPr>
            <w:tcW w:w="2462" w:type="dxa"/>
            <w:vAlign w:val="center"/>
          </w:tcPr>
          <w:p w:rsidR="001063C6" w:rsidRPr="003044B4" w:rsidRDefault="001063C6" w:rsidP="00F06D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4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 Розрахунки за товарними операціями.</w:t>
            </w:r>
          </w:p>
        </w:tc>
        <w:tc>
          <w:tcPr>
            <w:tcW w:w="4045" w:type="dxa"/>
          </w:tcPr>
          <w:p w:rsidR="001063C6" w:rsidRPr="003044B4" w:rsidRDefault="001063C6" w:rsidP="00F06D2E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04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 розрахунки підприємства з бюджетом;</w:t>
            </w:r>
          </w:p>
        </w:tc>
      </w:tr>
      <w:tr w:rsidR="001063C6" w:rsidRPr="003044B4" w:rsidTr="00F06D2E">
        <w:trPr>
          <w:jc w:val="center"/>
        </w:trPr>
        <w:tc>
          <w:tcPr>
            <w:tcW w:w="2462" w:type="dxa"/>
            <w:vAlign w:val="center"/>
          </w:tcPr>
          <w:p w:rsidR="001063C6" w:rsidRPr="003044B4" w:rsidRDefault="001063C6" w:rsidP="00F06D2E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3044B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Б. Розрахунки за нетовар</w:t>
            </w:r>
            <w:r w:rsidRPr="003044B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softHyphen/>
              <w:t>ними операціями.</w:t>
            </w:r>
          </w:p>
        </w:tc>
        <w:tc>
          <w:tcPr>
            <w:tcW w:w="4045" w:type="dxa"/>
          </w:tcPr>
          <w:p w:rsidR="001063C6" w:rsidRPr="003044B4" w:rsidRDefault="001063C6" w:rsidP="00F06D2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044B4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2) платежі за виконані роботи,</w:t>
            </w:r>
            <w:r w:rsidRPr="00304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послуги;</w:t>
            </w:r>
          </w:p>
        </w:tc>
      </w:tr>
      <w:tr w:rsidR="001063C6" w:rsidRPr="00377E3F" w:rsidTr="00F06D2E">
        <w:trPr>
          <w:jc w:val="center"/>
        </w:trPr>
        <w:tc>
          <w:tcPr>
            <w:tcW w:w="2462" w:type="dxa"/>
            <w:vAlign w:val="center"/>
          </w:tcPr>
          <w:p w:rsidR="001063C6" w:rsidRPr="003044B4" w:rsidRDefault="001063C6" w:rsidP="00F06D2E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045" w:type="dxa"/>
          </w:tcPr>
          <w:p w:rsidR="001063C6" w:rsidRPr="003044B4" w:rsidRDefault="001063C6" w:rsidP="00F06D2E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04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 обов’язкові відрахування в державні ці</w:t>
            </w:r>
            <w:r w:rsidRPr="00304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льові фонди;</w:t>
            </w:r>
          </w:p>
        </w:tc>
      </w:tr>
      <w:tr w:rsidR="001063C6" w:rsidRPr="003044B4" w:rsidTr="00F06D2E">
        <w:trPr>
          <w:jc w:val="center"/>
        </w:trPr>
        <w:tc>
          <w:tcPr>
            <w:tcW w:w="2462" w:type="dxa"/>
            <w:vAlign w:val="center"/>
          </w:tcPr>
          <w:p w:rsidR="001063C6" w:rsidRPr="003044B4" w:rsidRDefault="001063C6" w:rsidP="00F06D2E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045" w:type="dxa"/>
          </w:tcPr>
          <w:p w:rsidR="001063C6" w:rsidRPr="003044B4" w:rsidRDefault="001063C6" w:rsidP="00F06D2E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</w:pPr>
            <w:r w:rsidRPr="003044B4"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  <w:t>4) розрахунки з кредитними установами;</w:t>
            </w:r>
          </w:p>
        </w:tc>
      </w:tr>
      <w:tr w:rsidR="001063C6" w:rsidRPr="003044B4" w:rsidTr="00F06D2E">
        <w:trPr>
          <w:jc w:val="center"/>
        </w:trPr>
        <w:tc>
          <w:tcPr>
            <w:tcW w:w="2462" w:type="dxa"/>
            <w:vAlign w:val="center"/>
          </w:tcPr>
          <w:p w:rsidR="001063C6" w:rsidRPr="003044B4" w:rsidRDefault="001063C6" w:rsidP="00F06D2E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4045" w:type="dxa"/>
          </w:tcPr>
          <w:p w:rsidR="001063C6" w:rsidRPr="003044B4" w:rsidRDefault="001063C6" w:rsidP="00F06D2E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304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 платежі за відвантажену продукцію.</w:t>
            </w:r>
          </w:p>
        </w:tc>
      </w:tr>
    </w:tbl>
    <w:p w:rsidR="001063C6" w:rsidRPr="003044B4" w:rsidRDefault="001063C6" w:rsidP="001063C6">
      <w:pPr>
        <w:spacing w:before="160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Тест 4. Платіжна вимога — це...</w:t>
      </w:r>
    </w:p>
    <w:p w:rsidR="001063C6" w:rsidRPr="001063C6" w:rsidRDefault="001063C6" w:rsidP="001063C6">
      <w:pPr>
        <w:pStyle w:val="a5"/>
        <w:numPr>
          <w:ilvl w:val="0"/>
          <w:numId w:val="5"/>
        </w:numPr>
        <w:shd w:val="clear" w:color="auto" w:fill="auto"/>
        <w:tabs>
          <w:tab w:val="clear" w:pos="661"/>
        </w:tabs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комбінований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документ,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який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містить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вимогу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постачальника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доручення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платника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63C6" w:rsidRPr="003044B4" w:rsidRDefault="001063C6" w:rsidP="001063C6">
      <w:pPr>
        <w:numPr>
          <w:ilvl w:val="0"/>
          <w:numId w:val="5"/>
        </w:numPr>
        <w:tabs>
          <w:tab w:val="clear" w:pos="6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розрахунковий документ, що містить доручення банку покупця банкові постачальника здійснити оплату рахунків постачальника;</w:t>
      </w:r>
    </w:p>
    <w:p w:rsidR="001063C6" w:rsidRPr="003044B4" w:rsidRDefault="001063C6" w:rsidP="001063C6">
      <w:pPr>
        <w:numPr>
          <w:ilvl w:val="0"/>
          <w:numId w:val="5"/>
        </w:numPr>
        <w:tabs>
          <w:tab w:val="clear" w:pos="6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розрахунковий документ, який містить доручення чекодавця банкові здійснити платіж;</w:t>
      </w:r>
    </w:p>
    <w:p w:rsidR="001063C6" w:rsidRPr="003044B4" w:rsidRDefault="001063C6" w:rsidP="001063C6">
      <w:pPr>
        <w:numPr>
          <w:ilvl w:val="0"/>
          <w:numId w:val="5"/>
        </w:numPr>
        <w:tabs>
          <w:tab w:val="clear" w:pos="6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розрахунковий документ, що містить вимогу </w:t>
      </w:r>
      <w:proofErr w:type="spellStart"/>
      <w:r w:rsidRPr="003044B4">
        <w:rPr>
          <w:rFonts w:ascii="Times New Roman" w:hAnsi="Times New Roman" w:cs="Times New Roman"/>
          <w:sz w:val="28"/>
          <w:szCs w:val="28"/>
          <w:lang w:val="uk-UA"/>
        </w:rPr>
        <w:t>стягувача</w:t>
      </w:r>
      <w:proofErr w:type="spellEnd"/>
      <w:r w:rsidRPr="003044B4">
        <w:rPr>
          <w:rFonts w:ascii="Times New Roman" w:hAnsi="Times New Roman" w:cs="Times New Roman"/>
          <w:sz w:val="28"/>
          <w:szCs w:val="28"/>
          <w:lang w:val="uk-UA"/>
        </w:rPr>
        <w:t xml:space="preserve"> (утримувача за договірного списання) до банку платника здійснити без погодження з платником переказ коштів на рахунок </w:t>
      </w:r>
      <w:proofErr w:type="spellStart"/>
      <w:r w:rsidRPr="003044B4">
        <w:rPr>
          <w:rFonts w:ascii="Times New Roman" w:hAnsi="Times New Roman" w:cs="Times New Roman"/>
          <w:sz w:val="28"/>
          <w:szCs w:val="28"/>
          <w:lang w:val="uk-UA"/>
        </w:rPr>
        <w:t>отримувача</w:t>
      </w:r>
      <w:proofErr w:type="spellEnd"/>
      <w:r w:rsidRPr="003044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63C6" w:rsidRPr="003044B4" w:rsidRDefault="001063C6" w:rsidP="001063C6">
      <w:pPr>
        <w:numPr>
          <w:ilvl w:val="0"/>
          <w:numId w:val="5"/>
        </w:numPr>
        <w:tabs>
          <w:tab w:val="clear" w:pos="6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усі відповіді помилкові.</w:t>
      </w:r>
    </w:p>
    <w:p w:rsidR="001063C6" w:rsidRPr="003044B4" w:rsidRDefault="001063C6" w:rsidP="001063C6">
      <w:pPr>
        <w:spacing w:before="240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Тест 5. Розрахунковий чек — це…</w:t>
      </w:r>
    </w:p>
    <w:p w:rsidR="001063C6" w:rsidRPr="003044B4" w:rsidRDefault="001063C6" w:rsidP="001063C6">
      <w:pPr>
        <w:numPr>
          <w:ilvl w:val="0"/>
          <w:numId w:val="6"/>
        </w:numPr>
        <w:tabs>
          <w:tab w:val="clear" w:pos="66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доручення банку покупця банкові постачальника оплатити рахунки постачальника;</w:t>
      </w:r>
    </w:p>
    <w:p w:rsidR="001063C6" w:rsidRPr="001063C6" w:rsidRDefault="001063C6" w:rsidP="001063C6">
      <w:pPr>
        <w:pStyle w:val="a5"/>
        <w:numPr>
          <w:ilvl w:val="0"/>
          <w:numId w:val="6"/>
        </w:numPr>
        <w:shd w:val="clear" w:color="auto" w:fill="auto"/>
        <w:tabs>
          <w:tab w:val="clear" w:pos="661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розрахунку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, за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якої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банк-емітент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доручення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свого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клієнта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повинен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здійснити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платіж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63C6" w:rsidRPr="003044B4" w:rsidRDefault="001063C6" w:rsidP="001063C6">
      <w:pPr>
        <w:numPr>
          <w:ilvl w:val="0"/>
          <w:numId w:val="6"/>
        </w:numPr>
        <w:tabs>
          <w:tab w:val="clear" w:pos="66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 xml:space="preserve">письмове доручення власника рахунка банкові-емітенту сплатити </w:t>
      </w:r>
      <w:proofErr w:type="spellStart"/>
      <w:r w:rsidRPr="003044B4">
        <w:rPr>
          <w:rFonts w:ascii="Times New Roman" w:hAnsi="Times New Roman" w:cs="Times New Roman"/>
          <w:sz w:val="28"/>
          <w:szCs w:val="28"/>
          <w:lang w:val="uk-UA"/>
        </w:rPr>
        <w:t>отримувачу</w:t>
      </w:r>
      <w:proofErr w:type="spellEnd"/>
      <w:r w:rsidRPr="003044B4">
        <w:rPr>
          <w:rFonts w:ascii="Times New Roman" w:hAnsi="Times New Roman" w:cs="Times New Roman"/>
          <w:sz w:val="28"/>
          <w:szCs w:val="28"/>
          <w:lang w:val="uk-UA"/>
        </w:rPr>
        <w:t xml:space="preserve"> коштів зазначену в чеку суму;</w:t>
      </w:r>
    </w:p>
    <w:p w:rsidR="001063C6" w:rsidRPr="003044B4" w:rsidRDefault="001063C6" w:rsidP="001063C6">
      <w:pPr>
        <w:numPr>
          <w:ilvl w:val="0"/>
          <w:numId w:val="6"/>
        </w:numPr>
        <w:tabs>
          <w:tab w:val="clear" w:pos="66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розрахунковий документ, в якому вказано конкретне місце платежу;</w:t>
      </w:r>
    </w:p>
    <w:p w:rsidR="001063C6" w:rsidRPr="003044B4" w:rsidRDefault="001063C6" w:rsidP="001063C6">
      <w:pPr>
        <w:pStyle w:val="a5"/>
        <w:numPr>
          <w:ilvl w:val="0"/>
          <w:numId w:val="6"/>
        </w:numPr>
        <w:shd w:val="clear" w:color="auto" w:fill="auto"/>
        <w:tabs>
          <w:tab w:val="clear" w:pos="661"/>
          <w:tab w:val="left" w:pos="851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proofErr w:type="spellStart"/>
      <w:r w:rsidRPr="003044B4">
        <w:rPr>
          <w:b w:val="0"/>
          <w:sz w:val="28"/>
          <w:szCs w:val="28"/>
        </w:rPr>
        <w:t>усі</w:t>
      </w:r>
      <w:proofErr w:type="spellEnd"/>
      <w:r w:rsidRPr="003044B4">
        <w:rPr>
          <w:b w:val="0"/>
          <w:sz w:val="28"/>
          <w:szCs w:val="28"/>
        </w:rPr>
        <w:t xml:space="preserve"> </w:t>
      </w:r>
      <w:proofErr w:type="spellStart"/>
      <w:r w:rsidRPr="003044B4">
        <w:rPr>
          <w:b w:val="0"/>
          <w:sz w:val="28"/>
          <w:szCs w:val="28"/>
        </w:rPr>
        <w:t>відповіді</w:t>
      </w:r>
      <w:proofErr w:type="spellEnd"/>
      <w:r w:rsidRPr="003044B4">
        <w:rPr>
          <w:b w:val="0"/>
          <w:sz w:val="28"/>
          <w:szCs w:val="28"/>
        </w:rPr>
        <w:t xml:space="preserve"> </w:t>
      </w:r>
      <w:proofErr w:type="spellStart"/>
      <w:r w:rsidRPr="003044B4">
        <w:rPr>
          <w:b w:val="0"/>
          <w:sz w:val="28"/>
          <w:szCs w:val="28"/>
        </w:rPr>
        <w:t>помилкові</w:t>
      </w:r>
      <w:proofErr w:type="spellEnd"/>
      <w:r w:rsidRPr="003044B4">
        <w:rPr>
          <w:b w:val="0"/>
          <w:sz w:val="28"/>
          <w:szCs w:val="28"/>
        </w:rPr>
        <w:t>.</w:t>
      </w:r>
    </w:p>
    <w:p w:rsidR="001063C6" w:rsidRPr="003044B4" w:rsidRDefault="001063C6" w:rsidP="001063C6">
      <w:pPr>
        <w:pStyle w:val="2"/>
        <w:keepNext w:val="0"/>
        <w:spacing w:before="240" w:line="240" w:lineRule="auto"/>
        <w:ind w:firstLine="301"/>
        <w:jc w:val="both"/>
        <w:rPr>
          <w:szCs w:val="28"/>
        </w:rPr>
      </w:pPr>
      <w:r w:rsidRPr="003044B4">
        <w:rPr>
          <w:szCs w:val="28"/>
        </w:rPr>
        <w:t>Тест 6. Акредитив — це…</w:t>
      </w:r>
    </w:p>
    <w:p w:rsidR="001063C6" w:rsidRPr="003044B4" w:rsidRDefault="001063C6" w:rsidP="001063C6">
      <w:pPr>
        <w:numPr>
          <w:ilvl w:val="0"/>
          <w:numId w:val="7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розрахунковий документ, що містить вимогу постачальника та доручення платника;</w:t>
      </w:r>
    </w:p>
    <w:p w:rsidR="001063C6" w:rsidRPr="003044B4" w:rsidRDefault="001063C6" w:rsidP="001063C6">
      <w:pPr>
        <w:numPr>
          <w:ilvl w:val="0"/>
          <w:numId w:val="7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розрахунковий документ, що містить доручення чекодавця банкові здійснити платіж;</w:t>
      </w:r>
    </w:p>
    <w:p w:rsidR="001063C6" w:rsidRPr="003044B4" w:rsidRDefault="001063C6" w:rsidP="001063C6">
      <w:pPr>
        <w:numPr>
          <w:ilvl w:val="0"/>
          <w:numId w:val="7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документ, що містить зобов’язання </w:t>
      </w:r>
      <w:r w:rsidRPr="003044B4">
        <w:rPr>
          <w:rFonts w:ascii="Times New Roman" w:hAnsi="Times New Roman" w:cs="Times New Roman"/>
          <w:sz w:val="28"/>
          <w:szCs w:val="28"/>
          <w:lang w:val="uk-UA"/>
        </w:rPr>
        <w:t xml:space="preserve">банку-емітента з доручення клієнта виконати платіж на користь </w:t>
      </w:r>
      <w:proofErr w:type="spellStart"/>
      <w:r w:rsidRPr="003044B4">
        <w:rPr>
          <w:rFonts w:ascii="Times New Roman" w:hAnsi="Times New Roman" w:cs="Times New Roman"/>
          <w:sz w:val="28"/>
          <w:szCs w:val="28"/>
          <w:lang w:val="uk-UA"/>
        </w:rPr>
        <w:t>бенефіціара</w:t>
      </w:r>
      <w:proofErr w:type="spellEnd"/>
      <w:r w:rsidRPr="003044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63C6" w:rsidRPr="003044B4" w:rsidRDefault="001063C6" w:rsidP="001063C6">
      <w:pPr>
        <w:numPr>
          <w:ilvl w:val="0"/>
          <w:numId w:val="7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письмове зобов’язання, яке дає право його власникові вимагати сплати відповідної суми у відповідний термін;</w:t>
      </w:r>
    </w:p>
    <w:p w:rsidR="001063C6" w:rsidRPr="003044B4" w:rsidRDefault="001063C6" w:rsidP="001063C6">
      <w:pPr>
        <w:numPr>
          <w:ilvl w:val="0"/>
          <w:numId w:val="7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усі відповіді правильні.</w:t>
      </w:r>
    </w:p>
    <w:p w:rsidR="001063C6" w:rsidRDefault="001063C6" w:rsidP="001063C6">
      <w:pPr>
        <w:spacing w:before="240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3C6" w:rsidRPr="003044B4" w:rsidRDefault="001063C6" w:rsidP="001063C6">
      <w:pPr>
        <w:spacing w:before="240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Тест 7. Непокритий акредитив — це акредитив…</w:t>
      </w:r>
    </w:p>
    <w:p w:rsidR="001063C6" w:rsidRPr="001063C6" w:rsidRDefault="001063C6" w:rsidP="001063C6">
      <w:pPr>
        <w:pStyle w:val="a5"/>
        <w:numPr>
          <w:ilvl w:val="0"/>
          <w:numId w:val="8"/>
        </w:numPr>
        <w:shd w:val="clear" w:color="auto" w:fill="auto"/>
        <w:tabs>
          <w:tab w:val="clear" w:pos="661"/>
          <w:tab w:val="num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який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може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бути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змінений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або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анульований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без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згоди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постачальника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, для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котрого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він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був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відкритий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63C6" w:rsidRPr="003044B4" w:rsidRDefault="001063C6" w:rsidP="001063C6">
      <w:pPr>
        <w:numPr>
          <w:ilvl w:val="0"/>
          <w:numId w:val="8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який може бути анульований банком-емітентом без поперед</w:t>
      </w:r>
      <w:r w:rsidRPr="003044B4">
        <w:rPr>
          <w:rFonts w:ascii="Times New Roman" w:hAnsi="Times New Roman" w:cs="Times New Roman"/>
          <w:sz w:val="28"/>
          <w:szCs w:val="28"/>
          <w:lang w:val="uk-UA"/>
        </w:rPr>
        <w:softHyphen/>
        <w:t>ньої згоди постачальника;</w:t>
      </w:r>
    </w:p>
    <w:p w:rsidR="001063C6" w:rsidRPr="003044B4" w:rsidRDefault="001063C6" w:rsidP="001063C6">
      <w:pPr>
        <w:numPr>
          <w:ilvl w:val="0"/>
          <w:numId w:val="8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за яким платежі постачальникові гарантує банк;</w:t>
      </w:r>
    </w:p>
    <w:p w:rsidR="001063C6" w:rsidRPr="003044B4" w:rsidRDefault="001063C6" w:rsidP="001063C6">
      <w:pPr>
        <w:numPr>
          <w:ilvl w:val="0"/>
          <w:numId w:val="8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немає правильної відповіді.</w:t>
      </w:r>
    </w:p>
    <w:p w:rsidR="001063C6" w:rsidRPr="001063C6" w:rsidRDefault="001063C6" w:rsidP="001063C6">
      <w:pPr>
        <w:pStyle w:val="a5"/>
        <w:spacing w:before="220" w:line="240" w:lineRule="auto"/>
        <w:ind w:firstLine="3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Тест </w:t>
      </w:r>
      <w:r w:rsidRPr="001063C6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Якщо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покупець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платник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заздалегідь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депонує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кошти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розрахунку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постачальником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тоді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такий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акредитив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слід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вважати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>…</w:t>
      </w:r>
    </w:p>
    <w:p w:rsidR="001063C6" w:rsidRPr="003044B4" w:rsidRDefault="001063C6" w:rsidP="001063C6">
      <w:pPr>
        <w:numPr>
          <w:ilvl w:val="0"/>
          <w:numId w:val="9"/>
        </w:numPr>
        <w:tabs>
          <w:tab w:val="clear" w:pos="661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44B4">
        <w:rPr>
          <w:rFonts w:ascii="Times New Roman" w:hAnsi="Times New Roman" w:cs="Times New Roman"/>
          <w:sz w:val="28"/>
          <w:szCs w:val="28"/>
          <w:lang w:val="uk-UA"/>
        </w:rPr>
        <w:t>безвідзивним</w:t>
      </w:r>
      <w:proofErr w:type="spellEnd"/>
      <w:r w:rsidRPr="003044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63C6" w:rsidRPr="003044B4" w:rsidRDefault="001063C6" w:rsidP="001063C6">
      <w:pPr>
        <w:numPr>
          <w:ilvl w:val="0"/>
          <w:numId w:val="9"/>
        </w:numPr>
        <w:tabs>
          <w:tab w:val="clear" w:pos="661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непокритим;</w:t>
      </w:r>
    </w:p>
    <w:p w:rsidR="001063C6" w:rsidRPr="003044B4" w:rsidRDefault="001063C6" w:rsidP="001063C6">
      <w:pPr>
        <w:numPr>
          <w:ilvl w:val="0"/>
          <w:numId w:val="9"/>
        </w:numPr>
        <w:tabs>
          <w:tab w:val="clear" w:pos="661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акцептованим;</w:t>
      </w:r>
    </w:p>
    <w:p w:rsidR="001063C6" w:rsidRPr="003044B4" w:rsidRDefault="001063C6" w:rsidP="001063C6">
      <w:pPr>
        <w:numPr>
          <w:ilvl w:val="0"/>
          <w:numId w:val="9"/>
        </w:numPr>
        <w:tabs>
          <w:tab w:val="clear" w:pos="661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покритим;</w:t>
      </w:r>
    </w:p>
    <w:p w:rsidR="001063C6" w:rsidRPr="003044B4" w:rsidRDefault="001063C6" w:rsidP="001063C6">
      <w:pPr>
        <w:numPr>
          <w:ilvl w:val="0"/>
          <w:numId w:val="9"/>
        </w:numPr>
        <w:tabs>
          <w:tab w:val="clear" w:pos="661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немає правильної відповіді.</w:t>
      </w:r>
    </w:p>
    <w:p w:rsidR="001063C6" w:rsidRPr="003044B4" w:rsidRDefault="001063C6" w:rsidP="001063C6">
      <w:pPr>
        <w:spacing w:before="320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Тест 9. Вексель — це…</w:t>
      </w:r>
    </w:p>
    <w:p w:rsidR="001063C6" w:rsidRPr="001063C6" w:rsidRDefault="001063C6" w:rsidP="001063C6">
      <w:pPr>
        <w:pStyle w:val="a5"/>
        <w:numPr>
          <w:ilvl w:val="0"/>
          <w:numId w:val="10"/>
        </w:numPr>
        <w:shd w:val="clear" w:color="auto" w:fill="auto"/>
        <w:tabs>
          <w:tab w:val="clear" w:pos="661"/>
          <w:tab w:val="num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доручення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банку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покупця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банкові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постачальника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оплатити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рахунки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3C6">
        <w:rPr>
          <w:rFonts w:ascii="Times New Roman" w:hAnsi="Times New Roman" w:cs="Times New Roman"/>
          <w:b w:val="0"/>
          <w:sz w:val="28"/>
          <w:szCs w:val="28"/>
        </w:rPr>
        <w:t>постачальника</w:t>
      </w:r>
      <w:proofErr w:type="spellEnd"/>
      <w:r w:rsidRPr="001063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63C6" w:rsidRPr="003044B4" w:rsidRDefault="001063C6" w:rsidP="001063C6">
      <w:pPr>
        <w:numPr>
          <w:ilvl w:val="0"/>
          <w:numId w:val="10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pacing w:val="5"/>
          <w:sz w:val="28"/>
          <w:szCs w:val="28"/>
          <w:lang w:val="uk-UA"/>
        </w:rPr>
        <w:t>письмове зобов’язання, боргова розписка відповідної форми, яке дає право її власнику вимагати сплати відповідної суми визначеної у векселі у відповідний термін;</w:t>
      </w:r>
    </w:p>
    <w:p w:rsidR="001063C6" w:rsidRPr="003044B4" w:rsidRDefault="001063C6" w:rsidP="001063C6">
      <w:pPr>
        <w:numPr>
          <w:ilvl w:val="0"/>
          <w:numId w:val="10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форма розрахунку, за якої банк-емітент з доручення свого клієнта повинен здійснити платіж;</w:t>
      </w:r>
    </w:p>
    <w:p w:rsidR="001063C6" w:rsidRPr="003044B4" w:rsidRDefault="001063C6" w:rsidP="001063C6">
      <w:pPr>
        <w:numPr>
          <w:ilvl w:val="0"/>
          <w:numId w:val="10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комбінований документ, який містить вимогу постачальника й доручення платника;</w:t>
      </w:r>
    </w:p>
    <w:p w:rsidR="001063C6" w:rsidRPr="003044B4" w:rsidRDefault="001063C6" w:rsidP="001063C6">
      <w:pPr>
        <w:numPr>
          <w:ilvl w:val="0"/>
          <w:numId w:val="10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немає правильної відповіді.</w:t>
      </w:r>
    </w:p>
    <w:p w:rsidR="001063C6" w:rsidRPr="003044B4" w:rsidRDefault="001063C6" w:rsidP="001063C6">
      <w:pPr>
        <w:spacing w:before="320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Тест 10. Вексельна форма розрахунків — це…</w:t>
      </w:r>
    </w:p>
    <w:p w:rsidR="001063C6" w:rsidRPr="003044B4" w:rsidRDefault="001063C6" w:rsidP="001063C6">
      <w:pPr>
        <w:pStyle w:val="21"/>
        <w:numPr>
          <w:ilvl w:val="0"/>
          <w:numId w:val="11"/>
        </w:numPr>
        <w:tabs>
          <w:tab w:val="clear" w:pos="661"/>
          <w:tab w:val="num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3044B4">
        <w:rPr>
          <w:sz w:val="28"/>
          <w:szCs w:val="28"/>
        </w:rPr>
        <w:t>розрахунки</w:t>
      </w:r>
      <w:proofErr w:type="spellEnd"/>
      <w:r w:rsidRPr="003044B4">
        <w:rPr>
          <w:sz w:val="28"/>
          <w:szCs w:val="28"/>
        </w:rPr>
        <w:t xml:space="preserve"> </w:t>
      </w:r>
      <w:proofErr w:type="spellStart"/>
      <w:r w:rsidRPr="003044B4">
        <w:rPr>
          <w:sz w:val="28"/>
          <w:szCs w:val="28"/>
        </w:rPr>
        <w:t>між</w:t>
      </w:r>
      <w:proofErr w:type="spellEnd"/>
      <w:r w:rsidRPr="003044B4">
        <w:rPr>
          <w:sz w:val="28"/>
          <w:szCs w:val="28"/>
        </w:rPr>
        <w:t xml:space="preserve"> </w:t>
      </w:r>
      <w:proofErr w:type="spellStart"/>
      <w:r w:rsidRPr="003044B4">
        <w:rPr>
          <w:sz w:val="28"/>
          <w:szCs w:val="28"/>
        </w:rPr>
        <w:t>постачальником</w:t>
      </w:r>
      <w:proofErr w:type="spellEnd"/>
      <w:r w:rsidRPr="003044B4">
        <w:rPr>
          <w:sz w:val="28"/>
          <w:szCs w:val="28"/>
        </w:rPr>
        <w:t xml:space="preserve"> </w:t>
      </w:r>
      <w:proofErr w:type="spellStart"/>
      <w:r w:rsidRPr="003044B4">
        <w:rPr>
          <w:sz w:val="28"/>
          <w:szCs w:val="28"/>
        </w:rPr>
        <w:t>і</w:t>
      </w:r>
      <w:proofErr w:type="spellEnd"/>
      <w:r w:rsidRPr="003044B4">
        <w:rPr>
          <w:sz w:val="28"/>
          <w:szCs w:val="28"/>
        </w:rPr>
        <w:t xml:space="preserve"> </w:t>
      </w:r>
      <w:proofErr w:type="spellStart"/>
      <w:r w:rsidRPr="003044B4">
        <w:rPr>
          <w:sz w:val="28"/>
          <w:szCs w:val="28"/>
        </w:rPr>
        <w:t>платником</w:t>
      </w:r>
      <w:proofErr w:type="spellEnd"/>
      <w:r w:rsidRPr="003044B4">
        <w:rPr>
          <w:sz w:val="28"/>
          <w:szCs w:val="28"/>
        </w:rPr>
        <w:t xml:space="preserve"> за </w:t>
      </w:r>
      <w:proofErr w:type="spellStart"/>
      <w:r w:rsidRPr="003044B4">
        <w:rPr>
          <w:sz w:val="28"/>
          <w:szCs w:val="28"/>
        </w:rPr>
        <w:t>товари</w:t>
      </w:r>
      <w:proofErr w:type="spellEnd"/>
      <w:r w:rsidRPr="003044B4">
        <w:rPr>
          <w:sz w:val="28"/>
          <w:szCs w:val="28"/>
        </w:rPr>
        <w:t xml:space="preserve"> (</w:t>
      </w:r>
      <w:proofErr w:type="spellStart"/>
      <w:r w:rsidRPr="003044B4">
        <w:rPr>
          <w:sz w:val="28"/>
          <w:szCs w:val="28"/>
        </w:rPr>
        <w:t>по</w:t>
      </w:r>
      <w:r w:rsidRPr="003044B4">
        <w:rPr>
          <w:sz w:val="28"/>
          <w:szCs w:val="28"/>
        </w:rPr>
        <w:softHyphen/>
        <w:t>слуги</w:t>
      </w:r>
      <w:proofErr w:type="spellEnd"/>
      <w:r w:rsidRPr="003044B4">
        <w:rPr>
          <w:sz w:val="28"/>
          <w:szCs w:val="28"/>
        </w:rPr>
        <w:t xml:space="preserve">) </w:t>
      </w:r>
      <w:proofErr w:type="spellStart"/>
      <w:r w:rsidRPr="003044B4">
        <w:rPr>
          <w:sz w:val="28"/>
          <w:szCs w:val="28"/>
        </w:rPr>
        <w:t>з</w:t>
      </w:r>
      <w:proofErr w:type="spellEnd"/>
      <w:r w:rsidRPr="003044B4">
        <w:rPr>
          <w:sz w:val="28"/>
          <w:szCs w:val="28"/>
        </w:rPr>
        <w:t xml:space="preserve"> </w:t>
      </w:r>
      <w:proofErr w:type="spellStart"/>
      <w:r w:rsidRPr="003044B4">
        <w:rPr>
          <w:sz w:val="28"/>
          <w:szCs w:val="28"/>
        </w:rPr>
        <w:t>відстроченням</w:t>
      </w:r>
      <w:proofErr w:type="spellEnd"/>
      <w:r w:rsidRPr="003044B4">
        <w:rPr>
          <w:sz w:val="28"/>
          <w:szCs w:val="28"/>
        </w:rPr>
        <w:t xml:space="preserve"> платежу;</w:t>
      </w:r>
    </w:p>
    <w:p w:rsidR="001063C6" w:rsidRPr="003044B4" w:rsidRDefault="001063C6" w:rsidP="001063C6">
      <w:pPr>
        <w:numPr>
          <w:ilvl w:val="0"/>
          <w:numId w:val="11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 xml:space="preserve">письмове розпорядження власника рахунка банкові переказати відповідну суму зі свого рахунка на рахунок </w:t>
      </w:r>
      <w:proofErr w:type="spellStart"/>
      <w:r w:rsidRPr="003044B4">
        <w:rPr>
          <w:rFonts w:ascii="Times New Roman" w:hAnsi="Times New Roman" w:cs="Times New Roman"/>
          <w:sz w:val="28"/>
          <w:szCs w:val="28"/>
          <w:lang w:val="uk-UA"/>
        </w:rPr>
        <w:t>отримувача</w:t>
      </w:r>
      <w:proofErr w:type="spellEnd"/>
      <w:r w:rsidRPr="003044B4">
        <w:rPr>
          <w:rFonts w:ascii="Times New Roman" w:hAnsi="Times New Roman" w:cs="Times New Roman"/>
          <w:sz w:val="28"/>
          <w:szCs w:val="28"/>
          <w:lang w:val="uk-UA"/>
        </w:rPr>
        <w:t xml:space="preserve"> коштів;</w:t>
      </w:r>
    </w:p>
    <w:p w:rsidR="001063C6" w:rsidRPr="003044B4" w:rsidRDefault="001063C6" w:rsidP="001063C6">
      <w:pPr>
        <w:numPr>
          <w:ilvl w:val="0"/>
          <w:numId w:val="11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розрахунки між постачальником і платником за товари (по</w:t>
      </w:r>
      <w:r w:rsidRPr="003044B4">
        <w:rPr>
          <w:rFonts w:ascii="Times New Roman" w:hAnsi="Times New Roman" w:cs="Times New Roman"/>
          <w:sz w:val="28"/>
          <w:szCs w:val="28"/>
          <w:lang w:val="uk-UA"/>
        </w:rPr>
        <w:softHyphen/>
        <w:t>слуги) з відстроченням платежу на підставі спеціального документа;</w:t>
      </w:r>
    </w:p>
    <w:p w:rsidR="001063C6" w:rsidRPr="003044B4" w:rsidRDefault="001063C6" w:rsidP="001063C6">
      <w:pPr>
        <w:numPr>
          <w:ilvl w:val="0"/>
          <w:numId w:val="11"/>
        </w:numPr>
        <w:tabs>
          <w:tab w:val="clear" w:pos="661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B4">
        <w:rPr>
          <w:rFonts w:ascii="Times New Roman" w:hAnsi="Times New Roman" w:cs="Times New Roman"/>
          <w:sz w:val="28"/>
          <w:szCs w:val="28"/>
          <w:lang w:val="uk-UA"/>
        </w:rPr>
        <w:t>немає правильної відповіді.</w:t>
      </w:r>
    </w:p>
    <w:p w:rsidR="001063C6" w:rsidRPr="007B0492" w:rsidRDefault="001063C6" w:rsidP="00106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0492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1063C6" w:rsidRPr="00237AA6" w:rsidRDefault="001063C6" w:rsidP="001063C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37AA6">
        <w:rPr>
          <w:sz w:val="28"/>
          <w:szCs w:val="28"/>
        </w:rPr>
        <w:t>Поддєрьогін</w:t>
      </w:r>
      <w:proofErr w:type="spellEnd"/>
      <w:r w:rsidRPr="00237AA6">
        <w:rPr>
          <w:sz w:val="28"/>
          <w:szCs w:val="28"/>
        </w:rPr>
        <w:t xml:space="preserve"> А.М. Фінанси підприємств: Підручник / Керівник авт. </w:t>
      </w:r>
      <w:proofErr w:type="spellStart"/>
      <w:r w:rsidRPr="00237AA6">
        <w:rPr>
          <w:sz w:val="28"/>
          <w:szCs w:val="28"/>
        </w:rPr>
        <w:t>кол</w:t>
      </w:r>
      <w:proofErr w:type="spellEnd"/>
      <w:r w:rsidRPr="00237AA6">
        <w:rPr>
          <w:sz w:val="28"/>
          <w:szCs w:val="28"/>
        </w:rPr>
        <w:t xml:space="preserve">. і наук. ред.. 3-тє вид., перероб. та </w:t>
      </w:r>
      <w:proofErr w:type="spellStart"/>
      <w:r w:rsidRPr="00237AA6">
        <w:rPr>
          <w:sz w:val="28"/>
          <w:szCs w:val="28"/>
        </w:rPr>
        <w:t>доп</w:t>
      </w:r>
      <w:proofErr w:type="spellEnd"/>
      <w:r w:rsidRPr="00237AA6">
        <w:rPr>
          <w:sz w:val="28"/>
          <w:szCs w:val="28"/>
        </w:rPr>
        <w:t>. – К.: КНЕУ, 2000. – 460 с.(стор.)</w:t>
      </w:r>
      <w:r>
        <w:rPr>
          <w:sz w:val="28"/>
          <w:szCs w:val="28"/>
        </w:rPr>
        <w:t xml:space="preserve"> 35</w:t>
      </w:r>
      <w:r w:rsidRPr="00237AA6">
        <w:rPr>
          <w:sz w:val="28"/>
          <w:szCs w:val="28"/>
        </w:rPr>
        <w:t>-46</w:t>
      </w:r>
    </w:p>
    <w:p w:rsidR="001063C6" w:rsidRPr="007B0492" w:rsidRDefault="001063C6" w:rsidP="001063C6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C3F5E" w:rsidRDefault="00377E3F"/>
    <w:sectPr w:rsidR="00BC3F5E" w:rsidSect="003044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CD9"/>
    <w:multiLevelType w:val="hybridMultilevel"/>
    <w:tmpl w:val="ED64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2DD3"/>
    <w:multiLevelType w:val="singleLevel"/>
    <w:tmpl w:val="076E78D6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</w:lvl>
  </w:abstractNum>
  <w:abstractNum w:abstractNumId="2">
    <w:nsid w:val="281727CB"/>
    <w:multiLevelType w:val="singleLevel"/>
    <w:tmpl w:val="C4E63018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</w:lvl>
  </w:abstractNum>
  <w:abstractNum w:abstractNumId="3">
    <w:nsid w:val="298B0509"/>
    <w:multiLevelType w:val="singleLevel"/>
    <w:tmpl w:val="259A06D4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</w:lvl>
  </w:abstractNum>
  <w:abstractNum w:abstractNumId="4">
    <w:nsid w:val="2EE25FDB"/>
    <w:multiLevelType w:val="singleLevel"/>
    <w:tmpl w:val="9BC8E338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</w:lvl>
  </w:abstractNum>
  <w:abstractNum w:abstractNumId="5">
    <w:nsid w:val="48885EAA"/>
    <w:multiLevelType w:val="singleLevel"/>
    <w:tmpl w:val="602C0888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</w:lvl>
  </w:abstractNum>
  <w:abstractNum w:abstractNumId="6">
    <w:nsid w:val="4C9E100C"/>
    <w:multiLevelType w:val="singleLevel"/>
    <w:tmpl w:val="3DF0A5C2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</w:lvl>
  </w:abstractNum>
  <w:abstractNum w:abstractNumId="7">
    <w:nsid w:val="51144586"/>
    <w:multiLevelType w:val="singleLevel"/>
    <w:tmpl w:val="9BC8E338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</w:lvl>
  </w:abstractNum>
  <w:abstractNum w:abstractNumId="8">
    <w:nsid w:val="66BD35AC"/>
    <w:multiLevelType w:val="singleLevel"/>
    <w:tmpl w:val="602C0888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</w:lvl>
  </w:abstractNum>
  <w:abstractNum w:abstractNumId="9">
    <w:nsid w:val="6B4E538D"/>
    <w:multiLevelType w:val="singleLevel"/>
    <w:tmpl w:val="106A0A20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</w:lvl>
  </w:abstractNum>
  <w:abstractNum w:abstractNumId="10">
    <w:nsid w:val="7D98045E"/>
    <w:multiLevelType w:val="hybridMultilevel"/>
    <w:tmpl w:val="776E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3C6"/>
    <w:rsid w:val="001063C6"/>
    <w:rsid w:val="00306E31"/>
    <w:rsid w:val="00377E3F"/>
    <w:rsid w:val="00456D92"/>
    <w:rsid w:val="00537B5F"/>
    <w:rsid w:val="009D30D5"/>
    <w:rsid w:val="00A91AA7"/>
    <w:rsid w:val="00F749BD"/>
    <w:rsid w:val="00FC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1063C6"/>
    <w:pPr>
      <w:keepNext/>
      <w:spacing w:after="0" w:line="360" w:lineRule="auto"/>
      <w:ind w:firstLine="851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63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06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link w:val="a5"/>
    <w:locked/>
    <w:rsid w:val="001063C6"/>
    <w:rPr>
      <w:b/>
      <w:bCs/>
      <w:sz w:val="34"/>
      <w:szCs w:val="34"/>
      <w:shd w:val="clear" w:color="auto" w:fill="FFFFFF"/>
    </w:rPr>
  </w:style>
  <w:style w:type="paragraph" w:styleId="a5">
    <w:name w:val="Body Text"/>
    <w:basedOn w:val="a"/>
    <w:link w:val="a4"/>
    <w:rsid w:val="001063C6"/>
    <w:pPr>
      <w:shd w:val="clear" w:color="auto" w:fill="FFFFFF"/>
      <w:spacing w:after="0" w:line="317" w:lineRule="exact"/>
      <w:ind w:left="119" w:hanging="2060"/>
      <w:jc w:val="center"/>
    </w:pPr>
    <w:rPr>
      <w:b/>
      <w:bCs/>
      <w:sz w:val="34"/>
      <w:szCs w:val="34"/>
    </w:rPr>
  </w:style>
  <w:style w:type="character" w:customStyle="1" w:styleId="1">
    <w:name w:val="Основной текст Знак1"/>
    <w:basedOn w:val="a0"/>
    <w:link w:val="a5"/>
    <w:uiPriority w:val="99"/>
    <w:semiHidden/>
    <w:rsid w:val="001063C6"/>
  </w:style>
  <w:style w:type="paragraph" w:styleId="21">
    <w:name w:val="Body Text Indent 2"/>
    <w:basedOn w:val="a"/>
    <w:link w:val="22"/>
    <w:rsid w:val="001063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06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ольгапопович</dc:creator>
  <cp:lastModifiedBy>ольгапопович</cp:lastModifiedBy>
  <cp:revision>4</cp:revision>
  <dcterms:created xsi:type="dcterms:W3CDTF">2018-11-22T16:02:00Z</dcterms:created>
  <dcterms:modified xsi:type="dcterms:W3CDTF">2018-11-22T16:38:00Z</dcterms:modified>
</cp:coreProperties>
</file>