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0D" w:rsidRDefault="002B5C0D" w:rsidP="002B5C0D">
      <w:pPr>
        <w:pStyle w:val="a3"/>
        <w:rPr>
          <w:sz w:val="40"/>
          <w:lang w:val="uk-UA"/>
        </w:rPr>
      </w:pPr>
      <w:r>
        <w:rPr>
          <w:sz w:val="32"/>
          <w:lang w:val="en-US"/>
        </w:rPr>
        <w:t xml:space="preserve">            </w:t>
      </w:r>
      <w:r>
        <w:rPr>
          <w:sz w:val="40"/>
          <w:lang w:val="en-US"/>
        </w:rPr>
        <w:t xml:space="preserve">    </w:t>
      </w:r>
      <w:r>
        <w:rPr>
          <w:sz w:val="40"/>
          <w:lang w:val="uk-UA"/>
        </w:rPr>
        <w:t xml:space="preserve">                Урок №3</w:t>
      </w:r>
    </w:p>
    <w:p w:rsidR="002B5C0D" w:rsidRPr="002B5C0D" w:rsidRDefault="002B5C0D" w:rsidP="002B5C0D">
      <w:pPr>
        <w:rPr>
          <w:sz w:val="32"/>
        </w:rPr>
      </w:pPr>
      <w:r>
        <w:rPr>
          <w:sz w:val="32"/>
          <w:lang w:val="en-US"/>
        </w:rPr>
        <w:t>Topic: On the menu. Articles</w:t>
      </w:r>
      <w:r w:rsidRPr="002B5C0D">
        <w:rPr>
          <w:sz w:val="32"/>
        </w:rPr>
        <w:t>.</w:t>
      </w:r>
    </w:p>
    <w:p w:rsidR="002B5C0D" w:rsidRDefault="002B5C0D" w:rsidP="002B5C0D">
      <w:pPr>
        <w:rPr>
          <w:sz w:val="32"/>
          <w:lang w:val="uk-UA"/>
        </w:rPr>
      </w:pPr>
      <w:r>
        <w:rPr>
          <w:sz w:val="32"/>
          <w:lang w:val="en-US"/>
        </w:rPr>
        <w:t>Aims</w:t>
      </w:r>
      <w:r w:rsidRPr="004553B2">
        <w:rPr>
          <w:sz w:val="32"/>
        </w:rPr>
        <w:t xml:space="preserve">: </w:t>
      </w:r>
      <w:r w:rsidRPr="00332CA2">
        <w:rPr>
          <w:sz w:val="32"/>
          <w:u w:val="single"/>
          <w:lang w:val="uk-UA"/>
        </w:rPr>
        <w:t>навчальна</w:t>
      </w:r>
      <w:r>
        <w:rPr>
          <w:sz w:val="32"/>
          <w:lang w:val="uk-UA"/>
        </w:rPr>
        <w:t xml:space="preserve"> – організувати усне мовлення з теми, удосконалювати граматичні навички (означений та неозначений артиклі), вчити комбінувати новий граматичний матеріал з раніше засвоєним, розвивати навички аудіювання;</w:t>
      </w:r>
    </w:p>
    <w:p w:rsidR="002B5C0D" w:rsidRDefault="002B5C0D" w:rsidP="002B5C0D">
      <w:pPr>
        <w:rPr>
          <w:sz w:val="32"/>
          <w:lang w:val="uk-UA"/>
        </w:rPr>
      </w:pPr>
      <w:r w:rsidRPr="00332CA2">
        <w:rPr>
          <w:sz w:val="32"/>
          <w:u w:val="single"/>
          <w:lang w:val="uk-UA"/>
        </w:rPr>
        <w:t>Освітня</w:t>
      </w:r>
      <w:r>
        <w:rPr>
          <w:sz w:val="32"/>
          <w:lang w:val="uk-UA"/>
        </w:rPr>
        <w:t xml:space="preserve"> – поглибити знання учнів з теми;</w:t>
      </w:r>
    </w:p>
    <w:p w:rsidR="002B5C0D" w:rsidRDefault="002B5C0D" w:rsidP="002B5C0D">
      <w:pPr>
        <w:rPr>
          <w:sz w:val="32"/>
          <w:lang w:val="uk-UA"/>
        </w:rPr>
      </w:pPr>
      <w:r w:rsidRPr="00332CA2">
        <w:rPr>
          <w:sz w:val="32"/>
          <w:u w:val="single"/>
          <w:lang w:val="uk-UA"/>
        </w:rPr>
        <w:t>Розвиваюча</w:t>
      </w:r>
      <w:r>
        <w:rPr>
          <w:sz w:val="32"/>
          <w:lang w:val="uk-UA"/>
        </w:rPr>
        <w:t xml:space="preserve"> – розвивати фонетичний та інтонаційний слух, </w:t>
      </w:r>
      <w:proofErr w:type="spellStart"/>
      <w:r>
        <w:rPr>
          <w:sz w:val="32"/>
          <w:lang w:val="uk-UA"/>
        </w:rPr>
        <w:t>пам</w:t>
      </w:r>
      <w:proofErr w:type="spellEnd"/>
      <w:r w:rsidRPr="00332CA2">
        <w:rPr>
          <w:sz w:val="32"/>
        </w:rPr>
        <w:t>’</w:t>
      </w:r>
      <w:r>
        <w:rPr>
          <w:sz w:val="32"/>
          <w:lang w:val="uk-UA"/>
        </w:rPr>
        <w:t>ять, здогадку, увагу, логічне мислення учнів;</w:t>
      </w:r>
    </w:p>
    <w:p w:rsidR="002B5C0D" w:rsidRDefault="002B5C0D" w:rsidP="002B5C0D">
      <w:pPr>
        <w:rPr>
          <w:sz w:val="32"/>
          <w:lang w:val="uk-UA"/>
        </w:rPr>
      </w:pPr>
      <w:r w:rsidRPr="00332CA2">
        <w:rPr>
          <w:sz w:val="32"/>
          <w:u w:val="single"/>
          <w:lang w:val="uk-UA"/>
        </w:rPr>
        <w:t>Виховна</w:t>
      </w:r>
      <w:r>
        <w:rPr>
          <w:sz w:val="32"/>
          <w:lang w:val="uk-UA"/>
        </w:rPr>
        <w:t xml:space="preserve"> – підтримувати інтерес до вивчення англійської мови, вчити учнів культурі спілкування.</w:t>
      </w:r>
    </w:p>
    <w:p w:rsidR="002B5C0D" w:rsidRDefault="002B5C0D" w:rsidP="002B5C0D">
      <w:pPr>
        <w:rPr>
          <w:sz w:val="32"/>
          <w:lang w:val="uk-UA"/>
        </w:rPr>
      </w:pPr>
      <w:r>
        <w:rPr>
          <w:sz w:val="32"/>
          <w:lang w:val="uk-UA"/>
        </w:rPr>
        <w:t>Обладнання уроку: підручник, тематичні картки, текст для читання, матеріали для аудіювання.</w:t>
      </w:r>
    </w:p>
    <w:p w:rsidR="002B5C0D" w:rsidRDefault="002B5C0D" w:rsidP="002B5C0D">
      <w:pPr>
        <w:rPr>
          <w:sz w:val="32"/>
          <w:lang w:val="uk-UA"/>
        </w:rPr>
      </w:pPr>
      <w:r>
        <w:rPr>
          <w:sz w:val="32"/>
          <w:lang w:val="uk-UA"/>
        </w:rPr>
        <w:t>Тип уроку: урок корекції знань.</w:t>
      </w:r>
    </w:p>
    <w:p w:rsidR="002B5C0D" w:rsidRDefault="002B5C0D" w:rsidP="002B5C0D">
      <w:pPr>
        <w:rPr>
          <w:sz w:val="32"/>
          <w:u w:val="single"/>
          <w:lang w:val="en-US"/>
        </w:rPr>
      </w:pPr>
      <w:r>
        <w:rPr>
          <w:sz w:val="32"/>
          <w:lang w:val="en-US"/>
        </w:rPr>
        <w:t xml:space="preserve">The lesson statement: </w:t>
      </w:r>
      <w:r w:rsidRPr="00332CA2">
        <w:rPr>
          <w:sz w:val="32"/>
          <w:u w:val="single"/>
          <w:lang w:val="en-US"/>
        </w:rPr>
        <w:t>I can correctly use “a/an” and “the” with nouns.</w:t>
      </w:r>
    </w:p>
    <w:p w:rsidR="002B5C0D" w:rsidRDefault="002B5C0D" w:rsidP="002B5C0D">
      <w:pPr>
        <w:rPr>
          <w:sz w:val="32"/>
          <w:u w:val="single"/>
          <w:lang w:val="en-US"/>
        </w:rPr>
      </w:pPr>
    </w:p>
    <w:p w:rsidR="002B5C0D" w:rsidRDefault="002B5C0D" w:rsidP="002B5C0D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Greeting.</w:t>
      </w:r>
    </w:p>
    <w:p w:rsidR="002B5C0D" w:rsidRDefault="002B5C0D" w:rsidP="002B5C0D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Warming up activity.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Look at </w:t>
      </w:r>
      <w:r w:rsidRPr="009B0F1A">
        <w:rPr>
          <w:sz w:val="32"/>
          <w:u w:val="single"/>
          <w:lang w:val="en-US"/>
        </w:rPr>
        <w:t>the</w:t>
      </w:r>
      <w:r>
        <w:rPr>
          <w:sz w:val="32"/>
          <w:lang w:val="en-US"/>
        </w:rPr>
        <w:t xml:space="preserve"> picture. What can you see on it? (Students name the </w:t>
      </w:r>
      <w:proofErr w:type="gramStart"/>
      <w:r>
        <w:rPr>
          <w:sz w:val="32"/>
          <w:lang w:val="en-US"/>
        </w:rPr>
        <w:t>objects which</w:t>
      </w:r>
      <w:proofErr w:type="gramEnd"/>
      <w:r>
        <w:rPr>
          <w:sz w:val="32"/>
          <w:lang w:val="en-US"/>
        </w:rPr>
        <w:t xml:space="preserve"> they see).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Then ask if they have observed the little </w:t>
      </w:r>
      <w:proofErr w:type="gramStart"/>
      <w:r>
        <w:rPr>
          <w:sz w:val="32"/>
          <w:lang w:val="en-US"/>
        </w:rPr>
        <w:t>words which</w:t>
      </w:r>
      <w:proofErr w:type="gramEnd"/>
      <w:r>
        <w:rPr>
          <w:sz w:val="32"/>
          <w:lang w:val="en-US"/>
        </w:rPr>
        <w:t xml:space="preserve"> appear before nouns and don’t seem to mean anything. </w:t>
      </w:r>
      <w:r w:rsidRPr="009B0F1A">
        <w:rPr>
          <w:sz w:val="32"/>
          <w:u w:val="single"/>
          <w:lang w:val="en-US"/>
        </w:rPr>
        <w:t>What are they?</w:t>
      </w:r>
      <w:r w:rsidRPr="009B0F1A">
        <w:rPr>
          <w:sz w:val="32"/>
          <w:lang w:val="en-US"/>
        </w:rPr>
        <w:t xml:space="preserve"> (Elicit a, the, possibly </w:t>
      </w:r>
      <w:r w:rsidRPr="009B0F1A">
        <w:rPr>
          <w:sz w:val="32"/>
          <w:u w:val="single"/>
          <w:lang w:val="en-US"/>
        </w:rPr>
        <w:t>an</w:t>
      </w:r>
      <w:r>
        <w:rPr>
          <w:sz w:val="32"/>
          <w:lang w:val="en-US"/>
        </w:rPr>
        <w:t>)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Say these words </w:t>
      </w:r>
      <w:proofErr w:type="gramStart"/>
      <w:r>
        <w:rPr>
          <w:sz w:val="32"/>
          <w:lang w:val="en-US"/>
        </w:rPr>
        <w:t>are called</w:t>
      </w:r>
      <w:proofErr w:type="gramEnd"/>
      <w:r>
        <w:rPr>
          <w:sz w:val="32"/>
          <w:lang w:val="en-US"/>
        </w:rPr>
        <w:t xml:space="preserve"> articles and tell the class that they are going to learn more about them today,</w:t>
      </w:r>
      <w:r w:rsidRPr="00932797">
        <w:rPr>
          <w:sz w:val="32"/>
          <w:lang w:val="en-US"/>
        </w:rPr>
        <w:t xml:space="preserve"> </w:t>
      </w:r>
      <w:r>
        <w:rPr>
          <w:sz w:val="32"/>
          <w:lang w:val="en-US"/>
        </w:rPr>
        <w:t>but they are also going to talk about restaurants.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</w:p>
    <w:p w:rsidR="002B5C0D" w:rsidRDefault="002B5C0D" w:rsidP="002B5C0D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Do you like eating in restaurants?</w:t>
      </w:r>
    </w:p>
    <w:p w:rsidR="002B5C0D" w:rsidRDefault="002B5C0D" w:rsidP="002B5C0D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Is there a good restaurant near your house?</w:t>
      </w:r>
    </w:p>
    <w:p w:rsidR="002B5C0D" w:rsidRDefault="002B5C0D" w:rsidP="002B5C0D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Why is it good?</w:t>
      </w:r>
    </w:p>
    <w:p w:rsidR="002B5C0D" w:rsidRDefault="002B5C0D" w:rsidP="002B5C0D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Draw students’ attention to the photos (p.81 SB)</w:t>
      </w:r>
    </w:p>
    <w:p w:rsidR="002B5C0D" w:rsidRDefault="002B5C0D" w:rsidP="002B5C0D">
      <w:pPr>
        <w:ind w:left="720"/>
        <w:rPr>
          <w:sz w:val="32"/>
          <w:lang w:val="en-US"/>
        </w:rPr>
      </w:pPr>
      <w:r>
        <w:rPr>
          <w:sz w:val="32"/>
          <w:lang w:val="en-US"/>
        </w:rPr>
        <w:lastRenderedPageBreak/>
        <w:t xml:space="preserve">Tell them they are going to read about the restaurants near Jacks house. </w:t>
      </w:r>
    </w:p>
    <w:p w:rsidR="002B5C0D" w:rsidRDefault="002B5C0D" w:rsidP="002B5C0D">
      <w:pPr>
        <w:ind w:left="720"/>
        <w:rPr>
          <w:sz w:val="32"/>
          <w:lang w:val="en-US"/>
        </w:rPr>
      </w:pPr>
      <w:r>
        <w:rPr>
          <w:sz w:val="32"/>
          <w:lang w:val="en-US"/>
        </w:rPr>
        <w:t>Students read the instructions and the text.</w:t>
      </w:r>
    </w:p>
    <w:p w:rsidR="002B5C0D" w:rsidRDefault="002B5C0D" w:rsidP="002B5C0D">
      <w:pPr>
        <w:ind w:left="720"/>
        <w:rPr>
          <w:sz w:val="32"/>
          <w:lang w:val="en-US"/>
        </w:rPr>
      </w:pPr>
      <w:proofErr w:type="gramStart"/>
      <w:r>
        <w:rPr>
          <w:sz w:val="32"/>
          <w:lang w:val="en-US"/>
        </w:rPr>
        <w:t>Ask:</w:t>
      </w:r>
      <w:proofErr w:type="gramEnd"/>
      <w:r>
        <w:rPr>
          <w:sz w:val="32"/>
          <w:lang w:val="en-US"/>
        </w:rPr>
        <w:t xml:space="preserve"> So, which restaurant is Jacks favorite, do you think? Why?</w:t>
      </w:r>
    </w:p>
    <w:p w:rsidR="002B5C0D" w:rsidRDefault="002B5C0D" w:rsidP="002B5C0D">
      <w:pPr>
        <w:ind w:left="720"/>
        <w:rPr>
          <w:sz w:val="32"/>
          <w:lang w:val="en-US"/>
        </w:rPr>
      </w:pPr>
    </w:p>
    <w:p w:rsidR="002B5C0D" w:rsidRDefault="002B5C0D" w:rsidP="002B5C0D">
      <w:pPr>
        <w:ind w:left="720"/>
        <w:rPr>
          <w:sz w:val="32"/>
          <w:lang w:val="en-US"/>
        </w:rPr>
      </w:pPr>
      <w:r>
        <w:rPr>
          <w:sz w:val="32"/>
          <w:lang w:val="en-US"/>
        </w:rPr>
        <w:t xml:space="preserve">Note – </w:t>
      </w:r>
      <w:proofErr w:type="gramStart"/>
      <w:r w:rsidRPr="007371AD">
        <w:rPr>
          <w:sz w:val="32"/>
          <w:u w:val="single"/>
          <w:lang w:val="en-US"/>
        </w:rPr>
        <w:t>the</w:t>
      </w:r>
      <w:r>
        <w:rPr>
          <w:sz w:val="32"/>
          <w:lang w:val="en-US"/>
        </w:rPr>
        <w:t xml:space="preserve"> is</w:t>
      </w:r>
      <w:proofErr w:type="gramEnd"/>
      <w:r>
        <w:rPr>
          <w:sz w:val="32"/>
          <w:lang w:val="en-US"/>
        </w:rPr>
        <w:t xml:space="preserve"> normally used when talking about streets. </w:t>
      </w:r>
      <w:r w:rsidRPr="007371AD">
        <w:rPr>
          <w:sz w:val="32"/>
          <w:u w:val="single"/>
          <w:lang w:val="en-US"/>
        </w:rPr>
        <w:t>The High Street</w:t>
      </w:r>
      <w:r>
        <w:rPr>
          <w:sz w:val="32"/>
          <w:lang w:val="en-US"/>
        </w:rPr>
        <w:t xml:space="preserve"> is an exception.</w:t>
      </w:r>
    </w:p>
    <w:p w:rsidR="002B5C0D" w:rsidRDefault="002B5C0D" w:rsidP="002B5C0D">
      <w:pPr>
        <w:ind w:left="720"/>
        <w:rPr>
          <w:sz w:val="32"/>
          <w:lang w:val="en-US"/>
        </w:rPr>
      </w:pPr>
    </w:p>
    <w:p w:rsidR="002B5C0D" w:rsidRDefault="002B5C0D" w:rsidP="002B5C0D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Ask students to read the instructions and look at the “</w:t>
      </w:r>
      <w:r w:rsidRPr="007371AD">
        <w:rPr>
          <w:i/>
          <w:sz w:val="32"/>
          <w:lang w:val="en-US"/>
        </w:rPr>
        <w:t>Learn this!</w:t>
      </w:r>
      <w:r>
        <w:rPr>
          <w:sz w:val="32"/>
          <w:lang w:val="en-US"/>
        </w:rPr>
        <w:t>” box.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Elicit what countable and uncountable nouns are.</w:t>
      </w:r>
    </w:p>
    <w:p w:rsidR="002B5C0D" w:rsidRDefault="002B5C0D" w:rsidP="002B5C0D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 xml:space="preserve">Ask for the examples of </w:t>
      </w:r>
      <w:r w:rsidRPr="007371AD">
        <w:rPr>
          <w:sz w:val="32"/>
          <w:u w:val="single"/>
          <w:lang w:val="en-US"/>
        </w:rPr>
        <w:t>a, an, the</w:t>
      </w:r>
      <w:r w:rsidRPr="007371AD">
        <w:rPr>
          <w:sz w:val="32"/>
          <w:lang w:val="en-US"/>
        </w:rPr>
        <w:t xml:space="preserve"> together</w:t>
      </w:r>
      <w:r>
        <w:rPr>
          <w:sz w:val="32"/>
          <w:lang w:val="en-US"/>
        </w:rPr>
        <w:t xml:space="preserve"> with the nouns that follow. (This is important, because some students may think that article goes with the adjective it precedes (“a Chinese”))</w:t>
      </w:r>
    </w:p>
    <w:p w:rsidR="002B5C0D" w:rsidRDefault="002B5C0D" w:rsidP="002B5C0D">
      <w:pPr>
        <w:pStyle w:val="a3"/>
        <w:numPr>
          <w:ilvl w:val="0"/>
          <w:numId w:val="1"/>
        </w:numPr>
        <w:rPr>
          <w:sz w:val="32"/>
          <w:u w:val="single"/>
          <w:lang w:val="en-US"/>
        </w:rPr>
      </w:pPr>
      <w:r>
        <w:rPr>
          <w:sz w:val="32"/>
          <w:lang w:val="en-US"/>
        </w:rPr>
        <w:t xml:space="preserve">Students do the task (Ex.2 p.81) and compare answers </w:t>
      </w:r>
      <w:r w:rsidRPr="007371AD">
        <w:rPr>
          <w:sz w:val="32"/>
          <w:u w:val="single"/>
          <w:lang w:val="en-US"/>
        </w:rPr>
        <w:t>in pairs</w:t>
      </w:r>
      <w:r>
        <w:rPr>
          <w:sz w:val="32"/>
          <w:u w:val="single"/>
          <w:lang w:val="en-US"/>
        </w:rPr>
        <w:t>.</w:t>
      </w:r>
    </w:p>
    <w:p w:rsidR="002B5C0D" w:rsidRPr="007371AD" w:rsidRDefault="002B5C0D" w:rsidP="002B5C0D">
      <w:pPr>
        <w:pStyle w:val="a3"/>
        <w:numPr>
          <w:ilvl w:val="0"/>
          <w:numId w:val="1"/>
        </w:numPr>
        <w:rPr>
          <w:sz w:val="32"/>
          <w:u w:val="single"/>
          <w:lang w:val="en-US"/>
        </w:rPr>
      </w:pPr>
      <w:r>
        <w:rPr>
          <w:sz w:val="32"/>
          <w:lang w:val="en-US"/>
        </w:rPr>
        <w:t>Check with the whole class.</w:t>
      </w:r>
    </w:p>
    <w:p w:rsidR="002B5C0D" w:rsidRPr="007371AD" w:rsidRDefault="002B5C0D" w:rsidP="002B5C0D">
      <w:pPr>
        <w:pStyle w:val="a3"/>
        <w:numPr>
          <w:ilvl w:val="0"/>
          <w:numId w:val="2"/>
        </w:numPr>
        <w:rPr>
          <w:sz w:val="32"/>
          <w:u w:val="single"/>
          <w:lang w:val="en-US"/>
        </w:rPr>
      </w:pPr>
      <w:r>
        <w:rPr>
          <w:sz w:val="32"/>
          <w:lang w:val="en-US"/>
        </w:rPr>
        <w:t>Listening.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Ask students to look at the words in the book (Ex.3 p.81) and listen.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Play the recording through once. Play it again, stopping after each word and asking students to repeat.</w:t>
      </w:r>
    </w:p>
    <w:p w:rsidR="002B5C0D" w:rsidRPr="00853D41" w:rsidRDefault="002B5C0D" w:rsidP="002B5C0D">
      <w:pPr>
        <w:pStyle w:val="a3"/>
        <w:numPr>
          <w:ilvl w:val="0"/>
          <w:numId w:val="1"/>
        </w:numPr>
        <w:rPr>
          <w:sz w:val="32"/>
          <w:u w:val="single"/>
          <w:lang w:val="en-US"/>
        </w:rPr>
      </w:pPr>
      <w:r>
        <w:rPr>
          <w:sz w:val="32"/>
          <w:lang w:val="en-US"/>
        </w:rPr>
        <w:t xml:space="preserve">Ask them if anyone sees why it is sometimes </w:t>
      </w:r>
      <w:proofErr w:type="gramStart"/>
      <w:r w:rsidRPr="00853D41">
        <w:rPr>
          <w:sz w:val="32"/>
          <w:u w:val="single"/>
          <w:lang w:val="en-US"/>
        </w:rPr>
        <w:t>a</w:t>
      </w:r>
      <w:r>
        <w:rPr>
          <w:sz w:val="32"/>
          <w:lang w:val="en-US"/>
        </w:rPr>
        <w:t xml:space="preserve"> and</w:t>
      </w:r>
      <w:proofErr w:type="gramEnd"/>
      <w:r>
        <w:rPr>
          <w:sz w:val="32"/>
          <w:lang w:val="en-US"/>
        </w:rPr>
        <w:t xml:space="preserve"> sometimes </w:t>
      </w:r>
      <w:r w:rsidRPr="00853D41">
        <w:rPr>
          <w:sz w:val="32"/>
          <w:u w:val="single"/>
          <w:lang w:val="en-US"/>
        </w:rPr>
        <w:t>an</w:t>
      </w:r>
      <w:r>
        <w:rPr>
          <w:sz w:val="32"/>
          <w:lang w:val="en-US"/>
        </w:rPr>
        <w:t>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Emphasise</w:t>
      </w:r>
      <w:proofErr w:type="spellEnd"/>
      <w:r>
        <w:rPr>
          <w:sz w:val="32"/>
          <w:lang w:val="en-US"/>
        </w:rPr>
        <w:t xml:space="preserve"> that the difference between </w:t>
      </w:r>
      <w:r w:rsidRPr="00853D41">
        <w:rPr>
          <w:sz w:val="32"/>
          <w:u w:val="single"/>
          <w:lang w:val="en-US"/>
        </w:rPr>
        <w:t>a</w:t>
      </w:r>
      <w:r>
        <w:rPr>
          <w:sz w:val="32"/>
          <w:lang w:val="en-US"/>
        </w:rPr>
        <w:t xml:space="preserve"> and </w:t>
      </w:r>
      <w:proofErr w:type="gramStart"/>
      <w:r w:rsidRPr="00853D41">
        <w:rPr>
          <w:sz w:val="32"/>
          <w:u w:val="single"/>
          <w:lang w:val="en-US"/>
        </w:rPr>
        <w:t>an</w:t>
      </w:r>
      <w:proofErr w:type="gramEnd"/>
      <w:r>
        <w:rPr>
          <w:sz w:val="32"/>
          <w:lang w:val="en-US"/>
        </w:rPr>
        <w:t xml:space="preserve"> has to do with pronunciation only, not with meaning.</w:t>
      </w:r>
    </w:p>
    <w:p w:rsidR="002B5C0D" w:rsidRPr="00853D41" w:rsidRDefault="002B5C0D" w:rsidP="002B5C0D">
      <w:pPr>
        <w:pStyle w:val="a3"/>
        <w:numPr>
          <w:ilvl w:val="0"/>
          <w:numId w:val="1"/>
        </w:numPr>
        <w:rPr>
          <w:sz w:val="32"/>
          <w:u w:val="single"/>
          <w:lang w:val="en-US"/>
        </w:rPr>
      </w:pPr>
      <w:r>
        <w:rPr>
          <w:sz w:val="32"/>
          <w:lang w:val="en-US"/>
        </w:rPr>
        <w:t xml:space="preserve">Do the exercise 4 p.81 </w:t>
      </w:r>
      <w:proofErr w:type="spellStart"/>
      <w:r>
        <w:rPr>
          <w:sz w:val="32"/>
          <w:lang w:val="en-US"/>
        </w:rPr>
        <w:t>aclording</w:t>
      </w:r>
      <w:proofErr w:type="spellEnd"/>
      <w:r>
        <w:rPr>
          <w:sz w:val="32"/>
          <w:lang w:val="en-US"/>
        </w:rPr>
        <w:t xml:space="preserve"> to the rule they have just discovered. (Write </w:t>
      </w:r>
      <w:r w:rsidRPr="00853D41">
        <w:rPr>
          <w:sz w:val="32"/>
          <w:u w:val="single"/>
          <w:lang w:val="en-US"/>
        </w:rPr>
        <w:t>a</w:t>
      </w:r>
      <w:r>
        <w:rPr>
          <w:sz w:val="32"/>
          <w:lang w:val="en-US"/>
        </w:rPr>
        <w:t xml:space="preserve"> or </w:t>
      </w:r>
      <w:r w:rsidRPr="00853D41">
        <w:rPr>
          <w:sz w:val="32"/>
          <w:u w:val="single"/>
          <w:lang w:val="en-US"/>
        </w:rPr>
        <w:t>an</w:t>
      </w:r>
      <w:r>
        <w:rPr>
          <w:sz w:val="32"/>
          <w:lang w:val="en-US"/>
        </w:rPr>
        <w:t>)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Check with the </w:t>
      </w:r>
      <w:proofErr w:type="gramStart"/>
      <w:r>
        <w:rPr>
          <w:sz w:val="32"/>
          <w:lang w:val="en-US"/>
        </w:rPr>
        <w:t>hole</w:t>
      </w:r>
      <w:proofErr w:type="gramEnd"/>
      <w:r>
        <w:rPr>
          <w:sz w:val="32"/>
          <w:lang w:val="en-US"/>
        </w:rPr>
        <w:t xml:space="preserve"> class.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</w:p>
    <w:p w:rsidR="002B5C0D" w:rsidRDefault="002B5C0D" w:rsidP="002B5C0D">
      <w:pPr>
        <w:pStyle w:val="a3"/>
        <w:ind w:left="1080"/>
        <w:rPr>
          <w:sz w:val="32"/>
          <w:lang w:val="en-US"/>
        </w:rPr>
      </w:pPr>
    </w:p>
    <w:p w:rsidR="002B5C0D" w:rsidRPr="00853D41" w:rsidRDefault="002B5C0D" w:rsidP="002B5C0D">
      <w:pPr>
        <w:pStyle w:val="a3"/>
        <w:numPr>
          <w:ilvl w:val="0"/>
          <w:numId w:val="2"/>
        </w:numPr>
        <w:rPr>
          <w:sz w:val="32"/>
          <w:u w:val="single"/>
          <w:lang w:val="en-US"/>
        </w:rPr>
      </w:pPr>
      <w:r>
        <w:rPr>
          <w:sz w:val="32"/>
          <w:lang w:val="en-US"/>
        </w:rPr>
        <w:t xml:space="preserve">And now we are going to look at the difference between </w:t>
      </w:r>
      <w:r w:rsidRPr="00853D41">
        <w:rPr>
          <w:sz w:val="32"/>
          <w:u w:val="single"/>
          <w:lang w:val="en-US"/>
        </w:rPr>
        <w:t>a / an</w:t>
      </w:r>
      <w:r>
        <w:rPr>
          <w:sz w:val="32"/>
          <w:lang w:val="en-US"/>
        </w:rPr>
        <w:t xml:space="preserve"> and </w:t>
      </w:r>
      <w:proofErr w:type="gramStart"/>
      <w:r w:rsidRPr="00853D41">
        <w:rPr>
          <w:sz w:val="32"/>
          <w:u w:val="single"/>
          <w:lang w:val="en-US"/>
        </w:rPr>
        <w:t>the</w:t>
      </w:r>
      <w:r>
        <w:rPr>
          <w:sz w:val="32"/>
          <w:lang w:val="en-US"/>
        </w:rPr>
        <w:t xml:space="preserve"> ,</w:t>
      </w:r>
      <w:proofErr w:type="gramEnd"/>
      <w:r>
        <w:rPr>
          <w:sz w:val="32"/>
          <w:lang w:val="en-US"/>
        </w:rPr>
        <w:t xml:space="preserve"> and the difference has to do with meanings.</w:t>
      </w:r>
    </w:p>
    <w:p w:rsidR="002B5C0D" w:rsidRPr="007371AD" w:rsidRDefault="002B5C0D" w:rsidP="002B5C0D">
      <w:pPr>
        <w:pStyle w:val="a3"/>
        <w:ind w:left="1080"/>
        <w:rPr>
          <w:sz w:val="32"/>
          <w:u w:val="single"/>
          <w:lang w:val="en-US"/>
        </w:rPr>
      </w:pPr>
      <w:r>
        <w:rPr>
          <w:sz w:val="32"/>
          <w:lang w:val="en-US"/>
        </w:rPr>
        <w:t xml:space="preserve"> (Ex.5 p.81)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lastRenderedPageBreak/>
        <w:t>Students do the exercise individually and compare answers in pairs.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Check with the whole class. Point to the examples in the text in exercise 1: </w:t>
      </w:r>
      <w:proofErr w:type="gramStart"/>
      <w:r w:rsidRPr="003C58F2">
        <w:rPr>
          <w:sz w:val="32"/>
          <w:u w:val="single"/>
          <w:lang w:val="en-US"/>
        </w:rPr>
        <w:t>There’s</w:t>
      </w:r>
      <w:proofErr w:type="gramEnd"/>
      <w:r w:rsidRPr="003C58F2">
        <w:rPr>
          <w:sz w:val="32"/>
          <w:u w:val="single"/>
          <w:lang w:val="en-US"/>
        </w:rPr>
        <w:t xml:space="preserve"> a Chinese Restaurant and an Italian restaurant</w:t>
      </w:r>
      <w:r>
        <w:rPr>
          <w:sz w:val="32"/>
          <w:lang w:val="en-US"/>
        </w:rPr>
        <w:t xml:space="preserve"> – mentioned for the first time.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 w:rsidRPr="003C58F2">
        <w:rPr>
          <w:sz w:val="32"/>
          <w:u w:val="single"/>
          <w:lang w:val="en-US"/>
        </w:rPr>
        <w:t>The Chinese restaurant is good, but it is expensive</w:t>
      </w:r>
      <w:r>
        <w:rPr>
          <w:sz w:val="32"/>
          <w:lang w:val="en-US"/>
        </w:rPr>
        <w:t xml:space="preserve"> – mentioned again.</w:t>
      </w:r>
    </w:p>
    <w:p w:rsidR="002B5C0D" w:rsidRDefault="002B5C0D" w:rsidP="002B5C0D">
      <w:pPr>
        <w:pStyle w:val="a3"/>
        <w:numPr>
          <w:ilvl w:val="0"/>
          <w:numId w:val="1"/>
        </w:numPr>
        <w:rPr>
          <w:sz w:val="32"/>
          <w:lang w:val="en-US"/>
        </w:rPr>
      </w:pPr>
      <w:r w:rsidRPr="003C58F2">
        <w:rPr>
          <w:sz w:val="32"/>
          <w:lang w:val="en-US"/>
        </w:rPr>
        <w:t>Do the exercise 6 p.</w:t>
      </w:r>
      <w:r>
        <w:rPr>
          <w:sz w:val="32"/>
          <w:lang w:val="en-US"/>
        </w:rPr>
        <w:t>81. Circle the correct words in the text.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Check with the whole class.</w:t>
      </w:r>
    </w:p>
    <w:p w:rsidR="002B5C0D" w:rsidRDefault="002B5C0D" w:rsidP="002B5C0D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Do the exercise 7 p. 81 individually.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Check with the whole class.</w:t>
      </w:r>
    </w:p>
    <w:p w:rsidR="002B5C0D" w:rsidRDefault="002B5C0D" w:rsidP="002B5C0D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 xml:space="preserve">Writing. Write a paragraph similar to the one in exercise 1 about places in your </w:t>
      </w:r>
      <w:proofErr w:type="spellStart"/>
      <w:r>
        <w:rPr>
          <w:sz w:val="32"/>
          <w:lang w:val="en-US"/>
        </w:rPr>
        <w:t>neighbourhood</w:t>
      </w:r>
      <w:proofErr w:type="spellEnd"/>
      <w:r>
        <w:rPr>
          <w:sz w:val="32"/>
          <w:lang w:val="en-US"/>
        </w:rPr>
        <w:t xml:space="preserve"> or in your town (restaurants, cafes, clubs, cinemas, discos)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– In groups of </w:t>
      </w:r>
      <w:proofErr w:type="gramStart"/>
      <w:r>
        <w:rPr>
          <w:sz w:val="32"/>
          <w:lang w:val="en-US"/>
        </w:rPr>
        <w:t>4</w:t>
      </w:r>
      <w:proofErr w:type="gramEnd"/>
      <w:r>
        <w:rPr>
          <w:sz w:val="32"/>
          <w:lang w:val="en-US"/>
        </w:rPr>
        <w:t xml:space="preserve"> students read one another’s texts.</w:t>
      </w:r>
    </w:p>
    <w:p w:rsidR="002B5C0D" w:rsidRPr="006A2633" w:rsidRDefault="002B5C0D" w:rsidP="002B5C0D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 xml:space="preserve">Summarizing / </w:t>
      </w:r>
      <w:r>
        <w:rPr>
          <w:sz w:val="32"/>
          <w:lang w:val="uk-UA"/>
        </w:rPr>
        <w:t>Підсумки уроку</w:t>
      </w:r>
    </w:p>
    <w:p w:rsidR="002B5C0D" w:rsidRDefault="002B5C0D" w:rsidP="002B5C0D">
      <w:pPr>
        <w:pStyle w:val="a3"/>
        <w:rPr>
          <w:sz w:val="32"/>
          <w:lang w:val="en-US"/>
        </w:rPr>
      </w:pPr>
      <w:r>
        <w:rPr>
          <w:sz w:val="32"/>
          <w:lang w:val="en-US"/>
        </w:rPr>
        <w:t xml:space="preserve">Ask </w:t>
      </w:r>
      <w:proofErr w:type="gramStart"/>
      <w:r>
        <w:rPr>
          <w:sz w:val="32"/>
          <w:lang w:val="en-US"/>
        </w:rPr>
        <w:t>students:</w:t>
      </w:r>
      <w:proofErr w:type="gramEnd"/>
      <w:r>
        <w:rPr>
          <w:sz w:val="32"/>
          <w:lang w:val="en-US"/>
        </w:rPr>
        <w:t xml:space="preserve"> what have we talked about today?</w:t>
      </w:r>
    </w:p>
    <w:p w:rsidR="002B5C0D" w:rsidRPr="00540297" w:rsidRDefault="002B5C0D" w:rsidP="002B5C0D">
      <w:pPr>
        <w:ind w:left="720"/>
        <w:rPr>
          <w:sz w:val="32"/>
          <w:lang w:val="en-US"/>
        </w:rPr>
      </w:pPr>
      <w:proofErr w:type="gramStart"/>
      <w:r w:rsidRPr="00540297">
        <w:rPr>
          <w:sz w:val="32"/>
          <w:lang w:val="en-US"/>
        </w:rPr>
        <w:t>Elicit:</w:t>
      </w:r>
      <w:proofErr w:type="gramEnd"/>
      <w:r w:rsidRPr="00540297">
        <w:rPr>
          <w:sz w:val="32"/>
          <w:lang w:val="en-US"/>
        </w:rPr>
        <w:t xml:space="preserve"> articles or a, an, the and restaurants.</w:t>
      </w:r>
    </w:p>
    <w:p w:rsidR="002B5C0D" w:rsidRDefault="002B5C0D" w:rsidP="002B5C0D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Ask students to tell you rules: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When do we use a / an?</w:t>
      </w:r>
    </w:p>
    <w:p w:rsidR="002B5C0D" w:rsidRPr="00A00965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When do we use the?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Draw student’s attention to the lesson statement.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I can correctly use </w:t>
      </w:r>
      <w:r w:rsidRPr="00A00965">
        <w:rPr>
          <w:sz w:val="32"/>
          <w:u w:val="single"/>
          <w:lang w:val="en-US"/>
        </w:rPr>
        <w:t>a/an</w:t>
      </w:r>
      <w:r>
        <w:rPr>
          <w:sz w:val="32"/>
          <w:lang w:val="en-US"/>
        </w:rPr>
        <w:t xml:space="preserve"> and </w:t>
      </w:r>
      <w:proofErr w:type="gramStart"/>
      <w:r w:rsidRPr="00A00965">
        <w:rPr>
          <w:sz w:val="32"/>
          <w:u w:val="single"/>
          <w:lang w:val="en-US"/>
        </w:rPr>
        <w:t>the</w:t>
      </w:r>
      <w:r>
        <w:rPr>
          <w:sz w:val="32"/>
          <w:lang w:val="en-US"/>
        </w:rPr>
        <w:t xml:space="preserve"> with</w:t>
      </w:r>
      <w:proofErr w:type="gramEnd"/>
      <w:r>
        <w:rPr>
          <w:sz w:val="32"/>
          <w:lang w:val="en-US"/>
        </w:rPr>
        <w:t xml:space="preserve"> nouns.</w:t>
      </w:r>
    </w:p>
    <w:p w:rsidR="002B5C0D" w:rsidRPr="00A00965" w:rsidRDefault="002B5C0D" w:rsidP="002B5C0D">
      <w:pPr>
        <w:pStyle w:val="a3"/>
        <w:ind w:left="1080"/>
        <w:rPr>
          <w:sz w:val="32"/>
          <w:lang w:val="en-US"/>
        </w:rPr>
      </w:pPr>
      <w:bookmarkStart w:id="0" w:name="_GoBack"/>
      <w:bookmarkEnd w:id="0"/>
      <w:r>
        <w:rPr>
          <w:sz w:val="32"/>
          <w:lang w:val="en-US"/>
        </w:rPr>
        <w:t>Your marks are:</w:t>
      </w:r>
    </w:p>
    <w:p w:rsidR="002B5C0D" w:rsidRPr="00540297" w:rsidRDefault="002B5C0D" w:rsidP="002B5C0D">
      <w:pPr>
        <w:pStyle w:val="a3"/>
        <w:numPr>
          <w:ilvl w:val="0"/>
          <w:numId w:val="2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t>Hometask</w:t>
      </w:r>
      <w:proofErr w:type="spellEnd"/>
      <w:r>
        <w:rPr>
          <w:sz w:val="32"/>
          <w:lang w:val="en-US"/>
        </w:rPr>
        <w:t xml:space="preserve"> / </w:t>
      </w:r>
      <w:r>
        <w:rPr>
          <w:sz w:val="32"/>
          <w:lang w:val="uk-UA"/>
        </w:rPr>
        <w:t>Домашнє завдання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Ex.5 p. 73 WB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Complete the dialogue with a/</w:t>
      </w:r>
      <w:proofErr w:type="gramStart"/>
      <w:r>
        <w:rPr>
          <w:sz w:val="32"/>
          <w:lang w:val="en-US"/>
        </w:rPr>
        <w:t>an or</w:t>
      </w:r>
      <w:proofErr w:type="gramEnd"/>
      <w:r>
        <w:rPr>
          <w:sz w:val="32"/>
          <w:lang w:val="en-US"/>
        </w:rPr>
        <w:t xml:space="preserve"> the.</w:t>
      </w:r>
    </w:p>
    <w:p w:rsidR="002B5C0D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Ex.3 p. 73 WB</w:t>
      </w:r>
    </w:p>
    <w:p w:rsidR="002B5C0D" w:rsidRPr="00540297" w:rsidRDefault="002B5C0D" w:rsidP="002B5C0D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Rewrite the sentences including the adjectives in brackets before the noun.</w:t>
      </w:r>
    </w:p>
    <w:p w:rsidR="005143B8" w:rsidRPr="002B5C0D" w:rsidRDefault="005143B8">
      <w:pPr>
        <w:rPr>
          <w:lang w:val="en-US"/>
        </w:rPr>
      </w:pPr>
    </w:p>
    <w:sectPr w:rsidR="005143B8" w:rsidRPr="002B5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C21F2"/>
    <w:multiLevelType w:val="hybridMultilevel"/>
    <w:tmpl w:val="8F9A687A"/>
    <w:lvl w:ilvl="0" w:tplc="0C94C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5E6EDC"/>
    <w:multiLevelType w:val="hybridMultilevel"/>
    <w:tmpl w:val="868C2A7E"/>
    <w:lvl w:ilvl="0" w:tplc="7B1EA88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0D"/>
    <w:rsid w:val="002B5C0D"/>
    <w:rsid w:val="0051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643F-BCB9-4602-A7E4-FF372CE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2019-02-06T13:07:00Z</dcterms:created>
  <dcterms:modified xsi:type="dcterms:W3CDTF">2019-02-06T13:07:00Z</dcterms:modified>
</cp:coreProperties>
</file>