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FC66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3DFCB4E3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переживає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масштабні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оновленням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парадигми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акцентують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критично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продукт.</w:t>
      </w:r>
    </w:p>
    <w:p w14:paraId="22B44E85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текст за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моделлю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викликам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: вони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репродуктивне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активізують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A3506ED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теоретично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методично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F579E4B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3F60882D" w14:textId="77777777" w:rsidR="003054FC" w:rsidRPr="003054FC" w:rsidRDefault="003054FC" w:rsidP="003054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засади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554F385" w14:textId="77777777" w:rsidR="003054FC" w:rsidRPr="003054FC" w:rsidRDefault="003054FC" w:rsidP="003054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70F38F7" w14:textId="77777777" w:rsidR="003054FC" w:rsidRPr="003054FC" w:rsidRDefault="003054FC" w:rsidP="003054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E093B1C" w14:textId="77777777" w:rsidR="003054FC" w:rsidRPr="003054FC" w:rsidRDefault="003054FC" w:rsidP="003054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Навести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занять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32DAA24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  <w:t xml:space="preserve">Предмет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9E5026A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pict w14:anchorId="4F2E5E43">
          <v:rect id="_x0000_i1061" style="width:0;height:1.5pt" o:hralign="center" o:hrstd="t" o:hr="t" fillcolor="#a0a0a0" stroked="f"/>
        </w:pict>
      </w:r>
    </w:p>
    <w:p w14:paraId="719A8674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РОЗДІЛ 1. ТЕОРЕТИЧНІ ОСНОВИ ФОРМУВАННЯ КРЕАТИВНОГО МИСЛЕННЯ НА УРОКАХ СЛОВЕСНОСТІ</w:t>
      </w:r>
    </w:p>
    <w:p w14:paraId="50250A33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креативного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38051C52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педагогічній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оригінальні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Дж.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Гілфорд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уперше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виокремив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«дивергентного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» як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; </w:t>
      </w:r>
      <w:r w:rsidRPr="003054FC">
        <w:rPr>
          <w:rFonts w:ascii="Times New Roman" w:hAnsi="Times New Roman" w:cs="Times New Roman"/>
          <w:sz w:val="28"/>
          <w:szCs w:val="28"/>
        </w:rPr>
        <w:lastRenderedPageBreak/>
        <w:t xml:space="preserve">П. Торренс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розробив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тести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; Е. де Боно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підкреслив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роль латерального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71C4ECE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характеристики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54080695" w14:textId="77777777" w:rsidR="003054FC" w:rsidRPr="003054FC" w:rsidRDefault="003054FC" w:rsidP="003054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оригінальність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нетипові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52F1627C" w14:textId="77777777" w:rsidR="003054FC" w:rsidRPr="003054FC" w:rsidRDefault="003054FC" w:rsidP="003054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гнучкість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115C1F84" w14:textId="77777777" w:rsidR="003054FC" w:rsidRPr="003054FC" w:rsidRDefault="003054FC" w:rsidP="003054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швидкість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часу;</w:t>
      </w:r>
    </w:p>
    <w:p w14:paraId="1631D715" w14:textId="77777777" w:rsidR="003054FC" w:rsidRPr="003054FC" w:rsidRDefault="003054FC" w:rsidP="003054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умістовність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образної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трансформації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модифікувати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11150916" w14:textId="77777777" w:rsidR="003054FC" w:rsidRPr="003054FC" w:rsidRDefault="003054FC" w:rsidP="003054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уміння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комбінувати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непоєднуваних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F0A5D44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як вид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: вона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асоціацій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інтерпретацій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тому уроки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найефективніших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BA8F675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творчості</w:t>
      </w:r>
      <w:proofErr w:type="spellEnd"/>
    </w:p>
    <w:p w14:paraId="1C03D0FB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5974E501" w14:textId="77777777" w:rsidR="003054FC" w:rsidRPr="003054FC" w:rsidRDefault="003054FC" w:rsidP="003054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Конструктивістський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конструює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 новою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4823D90" w14:textId="77777777" w:rsidR="003054FC" w:rsidRPr="003054FC" w:rsidRDefault="003054FC" w:rsidP="003054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Компетентнісний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380B439" w14:textId="77777777" w:rsidR="003054FC" w:rsidRPr="003054FC" w:rsidRDefault="003054FC" w:rsidP="003054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Діяльнісний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B8ED2BD" w14:textId="77777777" w:rsidR="003054FC" w:rsidRPr="003054FC" w:rsidRDefault="003054FC" w:rsidP="003054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Особистісно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орієнтоване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талантів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13762F1" w14:textId="77777777" w:rsidR="003054FC" w:rsidRPr="003054FC" w:rsidRDefault="003054FC" w:rsidP="003054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Інтерактивний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обміні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4DB9FEC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289321FD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pict w14:anchorId="40E31C76">
          <v:rect id="_x0000_i1062" style="width:0;height:1.5pt" o:hralign="center" o:hrstd="t" o:hr="t" fillcolor="#a0a0a0" stroked="f"/>
        </w:pict>
      </w:r>
    </w:p>
    <w:p w14:paraId="2F8BA720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РОЗДІЛ 2. ІННОВАЦІЙНІ ТЕХНОЛОГІЇ У НАВЧАННІ СЛОВЕСНОСТІ</w:t>
      </w:r>
    </w:p>
    <w:p w14:paraId="1B9743A7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54FC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150B2D05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68CADA00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2.1.1. Метод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14:paraId="491A3340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дослідницьку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комунікації.</w:t>
      </w:r>
      <w:r w:rsidRPr="003054FC">
        <w:rPr>
          <w:rFonts w:ascii="Times New Roman" w:hAnsi="Times New Roman" w:cs="Times New Roman"/>
          <w:sz w:val="28"/>
          <w:szCs w:val="28"/>
        </w:rPr>
        <w:br/>
        <w:t xml:space="preserve">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0D2D04C1" w14:textId="77777777" w:rsidR="003054FC" w:rsidRPr="003054FC" w:rsidRDefault="003054FC" w:rsidP="003054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паспорта» героя;</w:t>
      </w:r>
    </w:p>
    <w:p w14:paraId="131C262D" w14:textId="77777777" w:rsidR="003054FC" w:rsidRPr="003054FC" w:rsidRDefault="003054FC" w:rsidP="003054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порівняльне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екранізацій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9F13975" w14:textId="77777777" w:rsidR="003054FC" w:rsidRPr="003054FC" w:rsidRDefault="003054FC" w:rsidP="003054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7635FE50" w14:textId="77777777" w:rsidR="003054FC" w:rsidRPr="003054FC" w:rsidRDefault="003054FC" w:rsidP="003054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-культурного контексту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106A47D7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2.1.2.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Дискусійні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5852B17C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776FCC98" w14:textId="77777777" w:rsidR="003054FC" w:rsidRPr="003054FC" w:rsidRDefault="003054FC" w:rsidP="003054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»;</w:t>
      </w:r>
    </w:p>
    <w:p w14:paraId="1708C84D" w14:textId="77777777" w:rsidR="003054FC" w:rsidRPr="003054FC" w:rsidRDefault="003054FC" w:rsidP="003054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»;</w:t>
      </w:r>
    </w:p>
    <w:p w14:paraId="46F8E6CC" w14:textId="77777777" w:rsidR="003054FC" w:rsidRPr="003054FC" w:rsidRDefault="003054FC" w:rsidP="003054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суд над персонажем;</w:t>
      </w:r>
    </w:p>
    <w:p w14:paraId="55BAFC1F" w14:textId="77777777" w:rsidR="003054FC" w:rsidRPr="003054FC" w:rsidRDefault="003054FC" w:rsidP="003054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філософський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за методом Сократа.</w:t>
      </w:r>
    </w:p>
    <w:p w14:paraId="01670D34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Дискусія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інтелектуальну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сферу,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аргументацію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972327E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2.1.3.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5D080B3A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Модель 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Виклик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18A39441" w14:textId="77777777" w:rsidR="003054FC" w:rsidRPr="003054FC" w:rsidRDefault="003054FC" w:rsidP="003054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567B2F78" w14:textId="77777777" w:rsidR="003054FC" w:rsidRPr="003054FC" w:rsidRDefault="003054FC" w:rsidP="003054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ED8EEBA" w14:textId="77777777" w:rsidR="003054FC" w:rsidRPr="003054FC" w:rsidRDefault="003054FC" w:rsidP="003054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34B3121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26A8BDD8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поколінням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287CEE0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мультимедійного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продукту</w:t>
      </w:r>
    </w:p>
    <w:p w14:paraId="1F184530" w14:textId="77777777" w:rsidR="003054FC" w:rsidRPr="003054FC" w:rsidRDefault="003054FC" w:rsidP="003054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буктрейлери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012305CD" w14:textId="77777777" w:rsidR="003054FC" w:rsidRPr="003054FC" w:rsidRDefault="003054FC" w:rsidP="003054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відеоесе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7A24843" w14:textId="77777777" w:rsidR="003054FC" w:rsidRPr="003054FC" w:rsidRDefault="003054FC" w:rsidP="003054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подкасти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за мотивами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67BB146C" w14:textId="77777777" w:rsidR="003054FC" w:rsidRPr="003054FC" w:rsidRDefault="003054FC" w:rsidP="003054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F0B4FA0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монтажу,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ораторського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FFA5F2D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2.2.2. Онлайн-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дошки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колективної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творчості</w:t>
      </w:r>
      <w:proofErr w:type="spellEnd"/>
    </w:p>
    <w:p w14:paraId="03222814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Padlet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Miro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Jamboard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Canva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для:</w:t>
      </w:r>
    </w:p>
    <w:p w14:paraId="50683BDD" w14:textId="77777777" w:rsidR="003054FC" w:rsidRPr="003054FC" w:rsidRDefault="003054FC" w:rsidP="003054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ментальних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карт;</w:t>
      </w:r>
    </w:p>
    <w:p w14:paraId="49CD7AC2" w14:textId="77777777" w:rsidR="003054FC" w:rsidRPr="003054FC" w:rsidRDefault="003054FC" w:rsidP="003054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6AEB3D6A" w14:textId="77777777" w:rsidR="003054FC" w:rsidRPr="003054FC" w:rsidRDefault="003054FC" w:rsidP="003054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асоціацій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5D9FFCA6" w14:textId="77777777" w:rsidR="003054FC" w:rsidRPr="003054FC" w:rsidRDefault="003054FC" w:rsidP="003054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кроссенсів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DAC50EF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2.2.3.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творчості</w:t>
      </w:r>
      <w:proofErr w:type="spellEnd"/>
    </w:p>
    <w:p w14:paraId="36A9B87E" w14:textId="77777777" w:rsidR="003054FC" w:rsidRPr="003054FC" w:rsidRDefault="003054FC" w:rsidP="003054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генератори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хмар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817812F" w14:textId="77777777" w:rsidR="003054FC" w:rsidRPr="003054FC" w:rsidRDefault="003054FC" w:rsidP="003054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коміксів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8C39F86" w14:textId="77777777" w:rsidR="003054FC" w:rsidRPr="003054FC" w:rsidRDefault="003054FC" w:rsidP="003054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карт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73CB9B0A" w14:textId="77777777" w:rsidR="003054FC" w:rsidRPr="003054FC" w:rsidRDefault="003054FC" w:rsidP="003054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аудіоредактори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радіовистав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507B3C9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Гейміфікація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7389083F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підсилюють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вводять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піднесення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B0E5E1B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213D3084" w14:textId="77777777" w:rsidR="003054FC" w:rsidRPr="003054FC" w:rsidRDefault="003054FC" w:rsidP="003054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квест "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Таємниці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роману"</w:t>
      </w:r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37AF16C" w14:textId="77777777" w:rsidR="003054FC" w:rsidRPr="003054FC" w:rsidRDefault="003054FC" w:rsidP="003054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рольова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гра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Інтерв’ю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героєм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5E8CA249" w14:textId="77777777" w:rsidR="003054FC" w:rsidRPr="003054FC" w:rsidRDefault="003054FC" w:rsidP="003054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симуляція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подій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твору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форматі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RPG</w:t>
      </w:r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543AB37E" w14:textId="77777777" w:rsidR="003054FC" w:rsidRPr="003054FC" w:rsidRDefault="003054FC" w:rsidP="003054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літературний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марафон</w:t>
      </w:r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6B04D4F8" w14:textId="77777777" w:rsidR="003054FC" w:rsidRPr="003054FC" w:rsidRDefault="003054FC" w:rsidP="003054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вебквест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пошуком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зашифрованих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цитат</w:t>
      </w:r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36B1306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образного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2DC59A6F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2.4.1.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Скетчінг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сторіборди</w:t>
      </w:r>
      <w:proofErr w:type="spellEnd"/>
    </w:p>
    <w:p w14:paraId="10C25238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візуалізують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сцени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зупинки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сюжету».</w:t>
      </w:r>
    </w:p>
    <w:p w14:paraId="09D8E32C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2.4.2.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Прийоми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фантазування</w:t>
      </w:r>
      <w:proofErr w:type="spellEnd"/>
    </w:p>
    <w:p w14:paraId="608FC4A2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067756CB" w14:textId="77777777" w:rsidR="003054FC" w:rsidRPr="003054FC" w:rsidRDefault="003054FC" w:rsidP="003054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аглютинація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B49585A" w14:textId="77777777" w:rsidR="003054FC" w:rsidRPr="003054FC" w:rsidRDefault="003054FC" w:rsidP="003054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гіперболізація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7CF4DC9" w14:textId="77777777" w:rsidR="003054FC" w:rsidRPr="003054FC" w:rsidRDefault="003054FC" w:rsidP="003054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6E7F0BD" w14:textId="77777777" w:rsidR="003054FC" w:rsidRPr="003054FC" w:rsidRDefault="003054FC" w:rsidP="003054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lastRenderedPageBreak/>
        <w:t>моделювання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альтернативної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2B0B3889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2.4.3.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трансформація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літературного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тексту</w:t>
      </w:r>
    </w:p>
    <w:p w14:paraId="6884AA3F" w14:textId="77777777" w:rsidR="003054FC" w:rsidRPr="003054FC" w:rsidRDefault="003054FC" w:rsidP="003054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альтернативний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48421DB" w14:textId="77777777" w:rsidR="003054FC" w:rsidRPr="003054FC" w:rsidRDefault="003054FC" w:rsidP="003054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героя;</w:t>
      </w:r>
    </w:p>
    <w:p w14:paraId="1C13A8C6" w14:textId="77777777" w:rsidR="003054FC" w:rsidRPr="003054FC" w:rsidRDefault="003054FC" w:rsidP="003054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фанфік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93E8215" w14:textId="77777777" w:rsidR="003054FC" w:rsidRPr="003054FC" w:rsidRDefault="003054FC" w:rsidP="003054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рімейк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епізоду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2E11246A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pict w14:anchorId="63C7B8D3">
          <v:rect id="_x0000_i1063" style="width:0;height:1.5pt" o:hralign="center" o:hrstd="t" o:hr="t" fillcolor="#a0a0a0" stroked="f"/>
        </w:pict>
      </w:r>
    </w:p>
    <w:p w14:paraId="62AEC69B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РОЗДІЛ 3. МЕТОДИЧНА СИСТЕМА ВПРОВАДЖЕННЯ ІННОВАЦІЙНИХ ТЕХНОЛОГІЙ У НАВЧАННЯ СЛОВЕСНОСТІ</w:t>
      </w:r>
    </w:p>
    <w:p w14:paraId="660608D0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відбору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інновацій</w:t>
      </w:r>
      <w:proofErr w:type="spellEnd"/>
    </w:p>
    <w:p w14:paraId="108D11F8" w14:textId="77777777" w:rsidR="003054FC" w:rsidRPr="003054FC" w:rsidRDefault="003054FC" w:rsidP="003054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конкретного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EF71AFB" w14:textId="77777777" w:rsidR="003054FC" w:rsidRPr="003054FC" w:rsidRDefault="003054FC" w:rsidP="003054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8D2D864" w14:textId="77777777" w:rsidR="003054FC" w:rsidRPr="003054FC" w:rsidRDefault="003054FC" w:rsidP="003054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Опора на текст як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BC43991" w14:textId="77777777" w:rsidR="003054FC" w:rsidRPr="003054FC" w:rsidRDefault="003054FC" w:rsidP="003054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право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1E11CDD" w14:textId="77777777" w:rsidR="003054FC" w:rsidRPr="003054FC" w:rsidRDefault="003054FC" w:rsidP="003054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341CEBB4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3.2. Модель уроку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з акцентом на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креативність</w:t>
      </w:r>
      <w:proofErr w:type="spellEnd"/>
    </w:p>
    <w:p w14:paraId="548B32AE" w14:textId="77777777" w:rsidR="003054FC" w:rsidRPr="003054FC" w:rsidRDefault="003054FC" w:rsidP="003054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Мотиваційний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242954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5527FD7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8FF2C8E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проблемна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05D0812" w14:textId="77777777" w:rsidR="003054FC" w:rsidRPr="003054FC" w:rsidRDefault="003054FC" w:rsidP="003054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Аналітичний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0B7520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робота з текстом;</w:t>
      </w:r>
    </w:p>
    <w:p w14:paraId="5E993D9E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маркуванням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»;</w:t>
      </w:r>
    </w:p>
    <w:p w14:paraId="37DDACF1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мапи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E406B86" w14:textId="77777777" w:rsidR="003054FC" w:rsidRPr="003054FC" w:rsidRDefault="003054FC" w:rsidP="003054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69C295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мультимедійного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продукту;</w:t>
      </w:r>
    </w:p>
    <w:p w14:paraId="2C5A8BDF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альтернативний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8B4B744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ігрова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симуляція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37E76998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14:paraId="43CAC768" w14:textId="77777777" w:rsidR="003054FC" w:rsidRPr="003054FC" w:rsidRDefault="003054FC" w:rsidP="003054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Рефлексія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50BCCB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»;</w:t>
      </w:r>
    </w:p>
    <w:p w14:paraId="156793B0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199758B" w14:textId="77777777" w:rsidR="003054FC" w:rsidRPr="003054FC" w:rsidRDefault="003054FC" w:rsidP="003054FC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73F2E96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</w:p>
    <w:p w14:paraId="0DEB0936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Приклад 1. Урок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(10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CCD127E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роману О. Гончара «Собор».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Інновація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буктрейлера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24B3641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сценаристи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диктори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монтажери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моральну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героя,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оформлюють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відеоряд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  <w:t xml:space="preserve">Результат: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оригінальний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A6D2439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Приклад 2.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Зарубіжна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(7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813528F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054FC">
        <w:rPr>
          <w:rFonts w:ascii="Times New Roman" w:hAnsi="Times New Roman" w:cs="Times New Roman"/>
          <w:sz w:val="28"/>
          <w:szCs w:val="28"/>
        </w:rPr>
        <w:t xml:space="preserve"> «Маленький принц» А. де Сент-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Екзюпері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Інновація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сторіборд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рольова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«Рада планет».</w:t>
      </w:r>
    </w:p>
    <w:p w14:paraId="3853061A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комікс-епізод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сюжету.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образність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сценарне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41DD83A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Приклад 3.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Інтегрований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урок «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Мистецтво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FD1F88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  <w:r w:rsidRPr="003054F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Інновація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кольорової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».</w:t>
      </w:r>
    </w:p>
    <w:p w14:paraId="74AF84E9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колажі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картину-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інтерпретацію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вірша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C8ADD0D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творчої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464EFFAF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5FB3ACBF" w14:textId="77777777" w:rsidR="003054FC" w:rsidRPr="003054FC" w:rsidRDefault="003054FC" w:rsidP="003054F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оригінальності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0AF702DE" w14:textId="77777777" w:rsidR="003054FC" w:rsidRPr="003054FC" w:rsidRDefault="003054FC" w:rsidP="003054F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135AC35" w14:textId="77777777" w:rsidR="003054FC" w:rsidRPr="003054FC" w:rsidRDefault="003054FC" w:rsidP="003054F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431C3184" w14:textId="77777777" w:rsidR="003054FC" w:rsidRPr="003054FC" w:rsidRDefault="003054FC" w:rsidP="003054F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комплексність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аргументованість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інтерпретацій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2BA45AA3" w14:textId="77777777" w:rsidR="003054FC" w:rsidRPr="003054FC" w:rsidRDefault="003054FC" w:rsidP="003054F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B35F635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бути вербальною,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рубрики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03324AC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lastRenderedPageBreak/>
        <w:pict w14:anchorId="000A6E51">
          <v:rect id="_x0000_i1064" style="width:0;height:1.5pt" o:hralign="center" o:hrstd="t" o:hr="t" fillcolor="#a0a0a0" stroked="f"/>
        </w:pict>
      </w:r>
    </w:p>
    <w:p w14:paraId="0512B706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РОЗДІЛ 4. РЕЗУЛЬТАТИ ТА ПЕРЕВАГИ ІННОВАЦІЙНОГО ПІДХОДУ</w:t>
      </w:r>
    </w:p>
    <w:p w14:paraId="3A04212B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вчителів-новаторів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експериментальних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:</w:t>
      </w:r>
    </w:p>
    <w:p w14:paraId="4B794D1B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78FE086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5A534BF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комунікації.</w:t>
      </w:r>
    </w:p>
    <w:p w14:paraId="1DE5427B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7F3419E8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CD2E673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читацької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11DF8559" w14:textId="77777777" w:rsidR="003054FC" w:rsidRPr="003054FC" w:rsidRDefault="003054FC" w:rsidP="003054F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70B6A51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не як «текст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», а як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1BFA8E1A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pict w14:anchorId="2B36CFFA">
          <v:rect id="_x0000_i1065" style="width:0;height:1.5pt" o:hralign="center" o:hrstd="t" o:hr="t" fillcolor="#a0a0a0" stroked="f"/>
        </w:pict>
      </w:r>
    </w:p>
    <w:p w14:paraId="762A4BC4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4FA9939D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словесності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сприятливий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пасивним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творцем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790E027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методична система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у:</w:t>
      </w:r>
    </w:p>
    <w:p w14:paraId="4BF40425" w14:textId="77777777" w:rsidR="003054FC" w:rsidRPr="003054FC" w:rsidRDefault="003054FC" w:rsidP="003054F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й новаторства;</w:t>
      </w:r>
    </w:p>
    <w:p w14:paraId="6B4FE052" w14:textId="77777777" w:rsidR="003054FC" w:rsidRPr="003054FC" w:rsidRDefault="003054FC" w:rsidP="003054F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варіативності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725DA4AB" w14:textId="77777777" w:rsidR="003054FC" w:rsidRPr="003054FC" w:rsidRDefault="003054FC" w:rsidP="003054F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акценті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продукті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;</w:t>
      </w:r>
    </w:p>
    <w:p w14:paraId="0D833021" w14:textId="77777777" w:rsidR="003054FC" w:rsidRPr="003054FC" w:rsidRDefault="003054FC" w:rsidP="003054F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залученні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CDA2D23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платформ для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образного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, а також на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STEM-та ART-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9029F09" w14:textId="77777777" w:rsidR="003054FC" w:rsidRPr="003054FC" w:rsidRDefault="003054FC" w:rsidP="003054FC">
      <w:p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pict w14:anchorId="70D56649">
          <v:rect id="_x0000_i1066" style="width:0;height:1.5pt" o:hralign="center" o:hrstd="t" o:hr="t" fillcolor="#a0a0a0" stroked="f"/>
        </w:pict>
      </w:r>
    </w:p>
    <w:p w14:paraId="549BF7E8" w14:textId="77777777" w:rsidR="003054FC" w:rsidRPr="003054FC" w:rsidRDefault="003054FC" w:rsidP="003054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54FC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 (</w:t>
      </w:r>
      <w:proofErr w:type="spellStart"/>
      <w:r w:rsidRPr="003054FC">
        <w:rPr>
          <w:rFonts w:ascii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 w:rsidRPr="003054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E825EBD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lastRenderedPageBreak/>
        <w:t>Гілфорд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6A79623B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Торренс П.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DBA6F16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Де Боно Е.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Латеральне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444904A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О., Пироженко Л.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5600C92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НУШ.</w:t>
      </w:r>
    </w:p>
    <w:p w14:paraId="60CF24E3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Савченко О. Дидактика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5C70F3B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409FFA17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Паламарчук Л. Методика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44A0BE9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37B7D564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Полат Є. Метод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22823ED0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Тверезовська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79B07119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Клепініна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0EFCD7D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Холод І.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Медіатехнології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0AAADC33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054FC">
        <w:rPr>
          <w:rFonts w:ascii="Times New Roman" w:hAnsi="Times New Roman" w:cs="Times New Roman"/>
          <w:sz w:val="28"/>
          <w:szCs w:val="28"/>
        </w:rPr>
        <w:t xml:space="preserve">Крамаренко Н.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>.</w:t>
      </w:r>
    </w:p>
    <w:p w14:paraId="57CE5550" w14:textId="77777777" w:rsidR="003054FC" w:rsidRPr="003054FC" w:rsidRDefault="003054FC" w:rsidP="003054F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4F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3054FC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6FEB2185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6B9"/>
    <w:multiLevelType w:val="multilevel"/>
    <w:tmpl w:val="603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773"/>
    <w:multiLevelType w:val="multilevel"/>
    <w:tmpl w:val="721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899"/>
    <w:multiLevelType w:val="multilevel"/>
    <w:tmpl w:val="95EE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B05E5"/>
    <w:multiLevelType w:val="multilevel"/>
    <w:tmpl w:val="A5FE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E24AA"/>
    <w:multiLevelType w:val="multilevel"/>
    <w:tmpl w:val="97BA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F78D4"/>
    <w:multiLevelType w:val="multilevel"/>
    <w:tmpl w:val="692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555DC"/>
    <w:multiLevelType w:val="multilevel"/>
    <w:tmpl w:val="346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E5FF6"/>
    <w:multiLevelType w:val="multilevel"/>
    <w:tmpl w:val="4152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715BB"/>
    <w:multiLevelType w:val="multilevel"/>
    <w:tmpl w:val="983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3130E"/>
    <w:multiLevelType w:val="multilevel"/>
    <w:tmpl w:val="783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76968"/>
    <w:multiLevelType w:val="multilevel"/>
    <w:tmpl w:val="08CC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B5EAE"/>
    <w:multiLevelType w:val="multilevel"/>
    <w:tmpl w:val="08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944A0"/>
    <w:multiLevelType w:val="multilevel"/>
    <w:tmpl w:val="F866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24840"/>
    <w:multiLevelType w:val="multilevel"/>
    <w:tmpl w:val="F3C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6381F"/>
    <w:multiLevelType w:val="multilevel"/>
    <w:tmpl w:val="82B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51764"/>
    <w:multiLevelType w:val="multilevel"/>
    <w:tmpl w:val="1B9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4284A"/>
    <w:multiLevelType w:val="multilevel"/>
    <w:tmpl w:val="96F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810789"/>
    <w:multiLevelType w:val="multilevel"/>
    <w:tmpl w:val="612C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2823">
    <w:abstractNumId w:val="14"/>
  </w:num>
  <w:num w:numId="2" w16cid:durableId="534929767">
    <w:abstractNumId w:val="13"/>
  </w:num>
  <w:num w:numId="3" w16cid:durableId="1835534597">
    <w:abstractNumId w:val="17"/>
  </w:num>
  <w:num w:numId="4" w16cid:durableId="1626161654">
    <w:abstractNumId w:val="6"/>
  </w:num>
  <w:num w:numId="5" w16cid:durableId="578713031">
    <w:abstractNumId w:val="5"/>
  </w:num>
  <w:num w:numId="6" w16cid:durableId="1259409275">
    <w:abstractNumId w:val="3"/>
  </w:num>
  <w:num w:numId="7" w16cid:durableId="2142185126">
    <w:abstractNumId w:val="0"/>
  </w:num>
  <w:num w:numId="8" w16cid:durableId="302151880">
    <w:abstractNumId w:val="16"/>
  </w:num>
  <w:num w:numId="9" w16cid:durableId="1462844908">
    <w:abstractNumId w:val="15"/>
  </w:num>
  <w:num w:numId="10" w16cid:durableId="364866149">
    <w:abstractNumId w:val="4"/>
  </w:num>
  <w:num w:numId="11" w16cid:durableId="1286039947">
    <w:abstractNumId w:val="11"/>
  </w:num>
  <w:num w:numId="12" w16cid:durableId="1405685781">
    <w:abstractNumId w:val="7"/>
  </w:num>
  <w:num w:numId="13" w16cid:durableId="1146778697">
    <w:abstractNumId w:val="2"/>
  </w:num>
  <w:num w:numId="14" w16cid:durableId="339550254">
    <w:abstractNumId w:val="9"/>
  </w:num>
  <w:num w:numId="15" w16cid:durableId="371392870">
    <w:abstractNumId w:val="8"/>
  </w:num>
  <w:num w:numId="16" w16cid:durableId="454981416">
    <w:abstractNumId w:val="10"/>
  </w:num>
  <w:num w:numId="17" w16cid:durableId="1451631306">
    <w:abstractNumId w:val="1"/>
  </w:num>
  <w:num w:numId="18" w16cid:durableId="520708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A"/>
    <w:rsid w:val="003054FC"/>
    <w:rsid w:val="004103FF"/>
    <w:rsid w:val="00716EDA"/>
    <w:rsid w:val="0083704F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52472-019C-4861-9CAD-D7461EDD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6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6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6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6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6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6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6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6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6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6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6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2025-12-01T23:56:00Z</dcterms:created>
  <dcterms:modified xsi:type="dcterms:W3CDTF">2025-12-02T00:02:00Z</dcterms:modified>
</cp:coreProperties>
</file>