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3D" w:rsidRPr="00CC325E" w:rsidRDefault="00B0693D" w:rsidP="00B0693D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48"/>
          <w:szCs w:val="48"/>
          <w:lang w:val="ru-RU"/>
        </w:rPr>
      </w:pPr>
      <w:r w:rsidRPr="00CC325E">
        <w:rPr>
          <w:rFonts w:ascii="Cambria" w:eastAsia="Times New Roman" w:hAnsi="Cambria" w:cs="Times New Roman"/>
          <w:b/>
          <w:bCs/>
          <w:kern w:val="36"/>
          <w:sz w:val="48"/>
          <w:szCs w:val="48"/>
          <w:lang w:val="ru-RU"/>
        </w:rPr>
        <w:t>ОСОБЛИВОСТІ МОВЛЕННЄВОГО РОЗВИТКУ ДІТЕЙ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48"/>
          <w:szCs w:val="48"/>
          <w:lang w:val="ru-RU"/>
        </w:rPr>
      </w:pPr>
      <w:r w:rsidRPr="00CC325E">
        <w:rPr>
          <w:rFonts w:ascii="Cambria" w:eastAsia="Times New Roman" w:hAnsi="Cambria" w:cs="Times New Roman"/>
          <w:b/>
          <w:bCs/>
          <w:kern w:val="36"/>
          <w:sz w:val="48"/>
          <w:szCs w:val="48"/>
          <w:lang w:val="ru-RU"/>
        </w:rPr>
        <w:t>В УМОВАХ СУЧАСНИХ СОЦІАЛЬНИХ ВИКЛИКІВ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7"/>
          <w:szCs w:val="27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b/>
          <w:bCs/>
          <w:sz w:val="27"/>
          <w:szCs w:val="27"/>
          <w:lang w:val="ru-RU"/>
        </w:rPr>
        <w:t>Анотація</w:t>
      </w:r>
      <w:proofErr w:type="spellEnd"/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статті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розглянуто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особливості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молодшого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шкільного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в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умовах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соціальних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викликів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Проаналізовано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фактори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впливають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динаміку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зокрема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поширення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цифрових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технологій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наслідки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дистанційного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пандемії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r w:rsidRPr="00CC325E">
        <w:rPr>
          <w:rFonts w:ascii="Cambria" w:eastAsia="Times New Roman" w:hAnsi="Cambria" w:cs="Times New Roman"/>
          <w:sz w:val="28"/>
          <w:szCs w:val="28"/>
        </w:rPr>
        <w:t>COVID</w:t>
      </w: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-19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психоемоційні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пов’язані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воєнними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подіями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Представлено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результати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узагальнення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практичного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досвіду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логопедичної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учнями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початкових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класів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також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дані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моніторингу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2020–2025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Визначено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тенденцію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збільшення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кількості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ускладнення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їх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структури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Обґрунтовано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необхідність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підходу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корекційно-розвиткової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передбачає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взаємодію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логопеда,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педагогів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психологів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батьків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Підкреслено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значення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ранньої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діагностики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фонематичних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удосконалення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звуковимови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лексико-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граматичної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сторони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створення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підтримувального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освітнього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середовища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для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гармонійного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дитини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905D5E">
        <w:rPr>
          <w:rFonts w:ascii="Cambria" w:eastAsia="Times New Roman" w:hAnsi="Cambria" w:cs="Times New Roman"/>
          <w:b/>
          <w:bCs/>
          <w:sz w:val="28"/>
          <w:szCs w:val="28"/>
          <w:lang w:val="ru-RU"/>
        </w:rPr>
        <w:t>Ключові</w:t>
      </w:r>
      <w:proofErr w:type="spellEnd"/>
      <w:r w:rsidRPr="00905D5E">
        <w:rPr>
          <w:rFonts w:ascii="Cambria" w:eastAsia="Times New Roman" w:hAnsi="Cambria" w:cs="Times New Roman"/>
          <w:b/>
          <w:bCs/>
          <w:sz w:val="28"/>
          <w:szCs w:val="28"/>
          <w:lang w:val="ru-RU"/>
        </w:rPr>
        <w:t xml:space="preserve"> слова:</w:t>
      </w: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молодші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школярі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логопедична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робота,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фонематичний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слух,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корекційно-розвиткова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робота,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соціальні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виклики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905D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система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спрямована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створення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доступного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якісного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освітнього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середовища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для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всіх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Важливим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завданням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є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врахування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індивідуальних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особливостей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можливостей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освітніх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потреб кожного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Особливе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місце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цьому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посідає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адже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саме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є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основним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засобом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спілкування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пізнання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навколишнього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світу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засвоєння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навчального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матеріалу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Рівень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значною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мірою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визначає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успішність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діяльності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дитини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її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здатність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взаємодіяти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однолітками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й педагогами, 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також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пізнавальних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Протягом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останніх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учителі-логопеди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нормотиповими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дітьми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дітьми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особливими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освітніми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потребами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дедалі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частіше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відзначають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прояви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регресу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(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іноді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тимчасового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)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сфері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також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певне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зниження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рівня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сформованості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вольових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якостей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учнів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початкової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Спостерігаються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труднощі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зв’язного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зниження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активності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недостатня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стійкість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уваги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час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діяльності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Серед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можливих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причин таких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змін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дослідники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практики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називають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надмірне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використання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цифрових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пристроїв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також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поступове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скорочення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живого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спілкування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повсякденному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житті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Значну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частину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часу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проводять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цифровому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середовищі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часто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супроводжується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пасивним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сприйманням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інформації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обмеженням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безпосередньої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комунікації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однолітками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і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дорослими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За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відсутності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цілеспрямованого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педагогічного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супроводу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цифровізації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можуть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негативно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пізнавальної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діяльності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: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знижувати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глибину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мислення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погіршувати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концентрацію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уваги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ускладнювати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зв’язного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спричиняти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певні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поведінкові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труднощі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зв’язку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особливої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актуальності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набуває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системна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педагогічна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підтримка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спрямована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активності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комунікативних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умінь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і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пізнавальних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молодших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школярів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Значних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змін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освітній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зазнав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пандемії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r w:rsidRPr="00CC325E">
        <w:rPr>
          <w:rFonts w:ascii="Cambria" w:eastAsia="Times New Roman" w:hAnsi="Cambria" w:cs="Times New Roman"/>
          <w:sz w:val="28"/>
          <w:szCs w:val="28"/>
        </w:rPr>
        <w:t>COVID</w:t>
      </w: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-19.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Соціальна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ізоляція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масовий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перехід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дистанційного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обмежили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можливості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безпосередньої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комунікації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позначилося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активності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Багато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педагогів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розглядають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як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важливий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чинник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який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вплинув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динаміку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молодших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школярів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Додатковим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серйозним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випробуванням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для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стала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повномасштабна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війна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Вона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супроводжується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психотравмувальними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які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можуть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проявлятися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вигляді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мутизму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заїкання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фонетико-фонематичного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сприймання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втрати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раніше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сформованих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навичок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За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даними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досліджень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зокрема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праці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О.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Бєлової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(2024), в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Україні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спостерігається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тенденція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зростання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кількості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Аналіз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практичної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діяльності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початковій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свідчить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відбувається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не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лише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зростання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кількості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й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зниження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загального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рівня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їхньої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фізичної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готовності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Узагальнення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здійснено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основі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результатів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систематичного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логопедичного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обстеження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учнів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1–4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класів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щорічного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моніторингу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аналізу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висновків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інклюзивно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-ресурсного центру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спостережень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корекційно-розвиткової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Порівняльний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аналіз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показників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2020–2025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рр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свідчить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про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суттєве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збільшення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кількості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тяжкими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— на 23 %.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Водночас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кількість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учнів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із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проявами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дислексії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(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труднощ</w:t>
      </w:r>
      <w:r>
        <w:rPr>
          <w:rFonts w:ascii="Cambria" w:eastAsia="Times New Roman" w:hAnsi="Cambria" w:cs="Times New Roman"/>
          <w:sz w:val="28"/>
          <w:szCs w:val="28"/>
          <w:lang w:val="ru-RU"/>
        </w:rPr>
        <w:t>ами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під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читання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зросла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 на 3</w:t>
      </w: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0 %.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Отримані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результати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підтверджують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тенденцію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ускладнення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структури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молодших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школярів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актуалізують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необхідність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lastRenderedPageBreak/>
        <w:t>посилення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системної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міждисциплінарної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корекційно-розвиткової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Обробка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даних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здійснювалася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шляхом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зіставлення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показників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визначений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період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визначення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відсоткової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динаміки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змін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Відомо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Л. С.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Виготський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підкреслював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нерозривний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зв’язок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мислення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Затримка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віці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шести–семи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років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нерідко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супроводжується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труднощами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пізнавальних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навчальних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умінь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і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соціальної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адаптації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Отже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комплексний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особистості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Вимушена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зміна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місця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проживання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розлука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батьками,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нове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мовне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середовище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звичного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укладу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життя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перебування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в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умовах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небезпеки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— усе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чинить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значний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вплив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психоемоційний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стан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дитини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обставини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можуть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пролонгований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ефект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для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її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загального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стресових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ситуаціях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організм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функціонує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в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режимі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мобілізації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: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активізуються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захисні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механізми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тоді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як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діяльність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центрів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може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тимчасово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знижуватися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огляду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вікову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незрілість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нервової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системи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є особлив</w:t>
      </w:r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о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чутливими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подібних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ru-RU"/>
        </w:rPr>
        <w:t>впливів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Розширення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словникового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запасу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сприяє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зв’язного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мислення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Сформований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фонематичний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слух є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передумовою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правильної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звуковимови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успішного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опанування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письма й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читання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дрібної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моторики,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що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нейропсихологічне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підґрунтя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активізує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зони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кори головного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мозку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Саме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тому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корекційна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робота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бути систематичною,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послідовною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враховувати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психоемоційний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стан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дитини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Працюючи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з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дітьми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які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пережили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стресові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або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травматичні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події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важливо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поєднувати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вправи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створенням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підтримувальної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емоційної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атмосфери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Ігрові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методи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доброзичлива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комунікація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поступове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ускладнення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завдань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сприяють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формуванню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позитивної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динаміки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Отже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корекція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умовах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повинна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здійснюватися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на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основі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підходу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Першочерговими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напрямами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логопедичної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роботи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є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діагностика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порушень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фонематичних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процесів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формування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правильної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звуковимови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розвиток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лексико-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граматичної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сторони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також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урахування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психоемоційного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стану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дітей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Важливу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роль 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досягненні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позитивних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результатів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відіграє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співпраця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логопеда з батьками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іншими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фахівцями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905D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Таким чином,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підтримка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мовленнєвого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розвитку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в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сучасних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умовах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є не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лише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освітнім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завданням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а й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важливим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чинником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збереження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психічного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здоров’я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дитини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.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Рання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діагностика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,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узгоджена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міждисциплінарна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взаємодія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фахівців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і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lastRenderedPageBreak/>
        <w:t>створення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безпечного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освітнього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простору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забезпечують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умови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для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гармонійного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особистісного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становлення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та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успішної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 xml:space="preserve"> </w:t>
      </w:r>
      <w:proofErr w:type="spellStart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соціалізації</w:t>
      </w:r>
      <w:proofErr w:type="spellEnd"/>
      <w:r w:rsidRPr="00CC325E">
        <w:rPr>
          <w:rFonts w:ascii="Cambria" w:eastAsia="Times New Roman" w:hAnsi="Cambria" w:cs="Times New Roman"/>
          <w:sz w:val="28"/>
          <w:szCs w:val="28"/>
          <w:lang w:val="ru-RU"/>
        </w:rPr>
        <w:t>.</w:t>
      </w:r>
    </w:p>
    <w:p w:rsidR="00B0693D" w:rsidRPr="00905D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</w:p>
    <w:p w:rsidR="00B0693D" w:rsidRPr="00CC325E" w:rsidRDefault="00B0693D" w:rsidP="00B0693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val="ru-RU"/>
        </w:rPr>
      </w:pP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Список використаних джерел</w:t>
      </w: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1.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Бєлова О. В. Динаміка розвитку мовленнєвої діяльності дітей старшого дошкільного віку з логопатологією // Науковий часопис. 2024. № 1. С. 15–22.</w:t>
      </w: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2.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Виготський Л. С. Мислення і мовлення. Київ : Радянська школа, 1982. 287 с.</w:t>
      </w: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3.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Лурія О. Р. Мова і свідомість. Київ : Вища школа, 1979. 320 с.</w:t>
      </w: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4.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Колупаєва А. А. Інклюзивна освіта: реалії та перспективи : монографія. Київ : Самміт-Книга, 2009. 272 с.</w:t>
      </w:r>
    </w:p>
    <w:p w:rsidR="00B0693D" w:rsidRPr="00905D5E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5.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Синьов В. М., Шеремет М. К. Основи логопедії : підручник. Київ : Слово, 2010. 376 с.</w:t>
      </w:r>
    </w:p>
    <w:p w:rsidR="00B0693D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  <w:r w:rsidRPr="00905D5E">
        <w:rPr>
          <w:rFonts w:ascii="Cambria" w:hAnsi="Cambria"/>
          <w:noProof/>
          <w:sz w:val="28"/>
          <w:szCs w:val="28"/>
          <w:lang w:val="ru-RU"/>
        </w:rPr>
        <w:t>6.</w:t>
      </w:r>
      <w:r w:rsidRPr="00905D5E">
        <w:rPr>
          <w:rFonts w:ascii="Cambria" w:hAnsi="Cambria"/>
          <w:noProof/>
          <w:sz w:val="28"/>
          <w:szCs w:val="28"/>
          <w:lang w:val="ru-RU"/>
        </w:rPr>
        <w:tab/>
        <w:t>Богуш А. М. Методика розвитку мовлення дітей дошкільного віку : навч. посіб. Київ : Вища школа, 2007. 414 с.</w:t>
      </w:r>
    </w:p>
    <w:p w:rsidR="00B0693D" w:rsidRDefault="00B0693D" w:rsidP="00B0693D">
      <w:pPr>
        <w:ind w:left="-142" w:firstLine="142"/>
        <w:jc w:val="both"/>
        <w:rPr>
          <w:rFonts w:ascii="Cambria" w:hAnsi="Cambria"/>
          <w:noProof/>
          <w:sz w:val="28"/>
          <w:szCs w:val="28"/>
          <w:lang w:val="ru-RU"/>
        </w:rPr>
      </w:pPr>
    </w:p>
    <w:p w:rsidR="005B62A8" w:rsidRDefault="005B62A8" w:rsidP="00B0693D">
      <w:pPr>
        <w:ind w:left="-142" w:firstLine="142"/>
      </w:pPr>
      <w:bookmarkStart w:id="0" w:name="_GoBack"/>
      <w:bookmarkEnd w:id="0"/>
    </w:p>
    <w:sectPr w:rsidR="005B62A8" w:rsidSect="00B0693D">
      <w:pgSz w:w="12240" w:h="15840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46"/>
    <w:rsid w:val="005B62A8"/>
    <w:rsid w:val="00B0693D"/>
    <w:rsid w:val="00F5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C1BC-77BE-403A-BE08-E5D95F82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2026-03-10T12:42:00Z</dcterms:created>
  <dcterms:modified xsi:type="dcterms:W3CDTF">2026-03-10T12:44:00Z</dcterms:modified>
</cp:coreProperties>
</file>