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4E78D8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78D8"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4E78D8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78D8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4E78D8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78D8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4E78D8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4E78D8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4E78D8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E78D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 w:rsidRPr="004E78D8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E78D8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4E78D8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4E78D8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4E78D8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E78D8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7A67" w:rsidRPr="004E78D8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4E78D8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2E7A67" w:rsidRPr="004E78D8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4E78D8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 w:rsidRPr="004E78D8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4E78D8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 w:rsidRPr="004E78D8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E7A67" w:rsidRPr="004E78D8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E06E4A" w:rsidRPr="004E78D8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3E6F69" w:rsidRPr="004E78D8">
        <w:rPr>
          <w:rFonts w:ascii="Times New Roman" w:hAnsi="Times New Roman"/>
          <w:sz w:val="28"/>
          <w:szCs w:val="28"/>
          <w:u w:val="single"/>
          <w:lang w:val="uk-UA"/>
        </w:rPr>
        <w:t>7</w:t>
      </w:r>
    </w:p>
    <w:p w:rsidR="00E46E6B" w:rsidRPr="004E78D8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4E78D8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F69" w:rsidRPr="004E78D8" w:rsidRDefault="003E6F69" w:rsidP="003E6F69">
      <w:pPr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>Про врегулювання відносин щодо</w:t>
      </w:r>
    </w:p>
    <w:p w:rsidR="003E6F69" w:rsidRPr="004E78D8" w:rsidRDefault="003E6F69" w:rsidP="003E6F69">
      <w:pPr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>оренди майна комунальної власності</w:t>
      </w:r>
    </w:p>
    <w:p w:rsidR="003E6F69" w:rsidRPr="004E78D8" w:rsidRDefault="003E6F69" w:rsidP="003E6F69">
      <w:pPr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6D7231" w:rsidRPr="004E78D8"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</w:p>
    <w:p w:rsidR="00E25972" w:rsidRPr="004E78D8" w:rsidRDefault="00E25972" w:rsidP="00A02C51">
      <w:pPr>
        <w:rPr>
          <w:rFonts w:ascii="Times New Roman" w:hAnsi="Times New Roman"/>
          <w:color w:val="444444"/>
          <w:sz w:val="21"/>
          <w:szCs w:val="21"/>
          <w:lang w:val="uk-UA" w:eastAsia="uk-UA" w:bidi="ar-SA"/>
        </w:rPr>
      </w:pPr>
    </w:p>
    <w:p w:rsidR="002078E2" w:rsidRPr="00D56D7E" w:rsidRDefault="008A5C39" w:rsidP="00D249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 xml:space="preserve">З метою врегулювання правових, економічних та організаційних відносин, пов’язаних з передачею в оренду майна, що перебуває в комунальній власності територіальної громади </w:t>
      </w:r>
      <w:r w:rsidR="001163D6" w:rsidRPr="004E78D8"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  <w:r w:rsidRPr="004E78D8">
        <w:rPr>
          <w:rFonts w:ascii="Times New Roman" w:hAnsi="Times New Roman"/>
          <w:sz w:val="28"/>
          <w:szCs w:val="28"/>
          <w:lang w:val="uk-UA"/>
        </w:rPr>
        <w:t>, на підставі Закону України «Про оренду державного і комунального майна» №157-ХІ від 03.10.2019, Порядку передачі в оренду державного та комунального майна,  затвердженого постановою Кабінету Міністрів України №483 від 03.06.2020р. , керуючись п.30 ч.1 ст.26 та ч.6 ст.60 Закону України «Про місцеве самоврядування в Україні»</w:t>
      </w:r>
      <w:r w:rsidR="00BA6246" w:rsidRPr="004E78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6246" w:rsidRPr="00D56D7E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D56D7E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D56D7E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3430DA" w:rsidRDefault="008275E9" w:rsidP="004E78D8">
      <w:pPr>
        <w:pStyle w:val="a6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6D7E">
        <w:rPr>
          <w:rFonts w:ascii="Times New Roman" w:hAnsi="Times New Roman"/>
          <w:sz w:val="28"/>
          <w:szCs w:val="28"/>
          <w:lang w:val="uk-UA"/>
        </w:rPr>
        <w:t>Визначити Зимнівську сільськ</w:t>
      </w:r>
      <w:r w:rsidR="007512C4">
        <w:rPr>
          <w:rFonts w:ascii="Times New Roman" w:hAnsi="Times New Roman"/>
          <w:sz w:val="28"/>
          <w:szCs w:val="28"/>
          <w:lang w:val="uk-UA"/>
        </w:rPr>
        <w:t>у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раду уповноваженим органом управління у сфері орендних </w:t>
      </w:r>
      <w:r w:rsidRPr="004E78D8">
        <w:rPr>
          <w:rFonts w:ascii="Times New Roman" w:hAnsi="Times New Roman"/>
          <w:sz w:val="28"/>
          <w:szCs w:val="28"/>
          <w:lang w:val="uk-UA"/>
        </w:rPr>
        <w:t>відносин щодо</w:t>
      </w:r>
      <w:r w:rsidR="003430DA">
        <w:rPr>
          <w:rFonts w:ascii="Times New Roman" w:hAnsi="Times New Roman"/>
          <w:sz w:val="28"/>
          <w:szCs w:val="28"/>
          <w:lang w:val="uk-UA"/>
        </w:rPr>
        <w:t>:</w:t>
      </w:r>
    </w:p>
    <w:p w:rsidR="00294045" w:rsidRDefault="003430DA" w:rsidP="00294045">
      <w:pPr>
        <w:pStyle w:val="a6"/>
        <w:numPr>
          <w:ilvl w:val="1"/>
          <w:numId w:val="15"/>
        </w:numPr>
        <w:tabs>
          <w:tab w:val="left" w:pos="567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рішень про намір передачі майна в оренду</w:t>
      </w:r>
      <w:r w:rsidR="00294045">
        <w:rPr>
          <w:rFonts w:ascii="Times New Roman" w:hAnsi="Times New Roman"/>
          <w:sz w:val="28"/>
          <w:szCs w:val="28"/>
          <w:lang w:val="uk-UA"/>
        </w:rPr>
        <w:t>;</w:t>
      </w:r>
    </w:p>
    <w:p w:rsidR="00294045" w:rsidRDefault="003430DA" w:rsidP="00294045">
      <w:pPr>
        <w:pStyle w:val="a6"/>
        <w:numPr>
          <w:ilvl w:val="1"/>
          <w:numId w:val="15"/>
        </w:numPr>
        <w:tabs>
          <w:tab w:val="left" w:pos="567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045">
        <w:rPr>
          <w:rFonts w:ascii="Times New Roman" w:hAnsi="Times New Roman"/>
          <w:sz w:val="28"/>
          <w:szCs w:val="28"/>
          <w:lang w:val="uk-UA"/>
        </w:rPr>
        <w:t xml:space="preserve">оренди </w:t>
      </w:r>
      <w:r w:rsidR="008275E9" w:rsidRPr="00294045">
        <w:rPr>
          <w:rFonts w:ascii="Times New Roman" w:hAnsi="Times New Roman"/>
          <w:sz w:val="28"/>
          <w:szCs w:val="28"/>
          <w:lang w:val="uk-UA"/>
        </w:rPr>
        <w:t>єдиних майнових комплексів</w:t>
      </w:r>
      <w:r w:rsidRPr="00294045">
        <w:rPr>
          <w:rFonts w:ascii="Times New Roman" w:hAnsi="Times New Roman"/>
          <w:sz w:val="28"/>
          <w:szCs w:val="28"/>
          <w:lang w:val="uk-UA"/>
        </w:rPr>
        <w:t>;</w:t>
      </w:r>
    </w:p>
    <w:p w:rsidR="00070945" w:rsidRPr="00294045" w:rsidRDefault="008275E9" w:rsidP="00294045">
      <w:pPr>
        <w:pStyle w:val="a6"/>
        <w:numPr>
          <w:ilvl w:val="1"/>
          <w:numId w:val="15"/>
        </w:numPr>
        <w:tabs>
          <w:tab w:val="left" w:pos="567"/>
        </w:tabs>
        <w:ind w:left="1134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045">
        <w:rPr>
          <w:rFonts w:ascii="Times New Roman" w:hAnsi="Times New Roman"/>
          <w:sz w:val="28"/>
          <w:szCs w:val="28"/>
          <w:lang w:val="uk-UA"/>
        </w:rPr>
        <w:t>орендних відносин</w:t>
      </w:r>
      <w:r w:rsidR="00FF508C" w:rsidRPr="00294045">
        <w:rPr>
          <w:rFonts w:ascii="Times New Roman" w:hAnsi="Times New Roman"/>
          <w:sz w:val="28"/>
          <w:szCs w:val="28"/>
          <w:lang w:val="uk-UA"/>
        </w:rPr>
        <w:t xml:space="preserve"> (прийняття рішень про передачу в оренду)</w:t>
      </w:r>
      <w:r w:rsidR="00101B28" w:rsidRPr="0029404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4045">
        <w:rPr>
          <w:rFonts w:ascii="Times New Roman" w:hAnsi="Times New Roman"/>
          <w:sz w:val="28"/>
          <w:szCs w:val="28"/>
          <w:lang w:val="uk-UA"/>
        </w:rPr>
        <w:t xml:space="preserve">де орендарем виступають підприємства, установи, організації, що надають соціально важливі послуги населенню громади. </w:t>
      </w:r>
    </w:p>
    <w:p w:rsidR="001163D6" w:rsidRPr="004E78D8" w:rsidRDefault="001163D6" w:rsidP="004E78D8">
      <w:pPr>
        <w:pStyle w:val="a6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8D8">
        <w:rPr>
          <w:rFonts w:ascii="Times New Roman" w:hAnsi="Times New Roman"/>
          <w:sz w:val="28"/>
          <w:szCs w:val="28"/>
          <w:lang w:val="uk-UA"/>
        </w:rPr>
        <w:t xml:space="preserve">Визначити виконавчий комітет Зимнівської сільської ради уповноваженим органом </w:t>
      </w:r>
      <w:r w:rsidR="008275E9" w:rsidRPr="004E78D8">
        <w:rPr>
          <w:rFonts w:ascii="Times New Roman" w:hAnsi="Times New Roman"/>
          <w:sz w:val="28"/>
          <w:szCs w:val="28"/>
          <w:lang w:val="uk-UA"/>
        </w:rPr>
        <w:t>в сфері орендних відносин щодо нерухомого майна (будівель, споруд, приміщень, а також їх частин) та окремого індивідуально визначеного майна щодо прийняття наступних рішень:</w:t>
      </w:r>
    </w:p>
    <w:p w:rsidR="003A3C71" w:rsidRPr="004E78D8" w:rsidRDefault="00384249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4E78D8">
        <w:rPr>
          <w:color w:val="333333"/>
          <w:sz w:val="28"/>
          <w:szCs w:val="28"/>
        </w:rPr>
        <w:t>про скасування чи змінення</w:t>
      </w:r>
      <w:r w:rsidR="008275E9" w:rsidRPr="004E78D8">
        <w:rPr>
          <w:color w:val="333333"/>
          <w:sz w:val="28"/>
          <w:szCs w:val="28"/>
        </w:rPr>
        <w:t xml:space="preserve"> рішення </w:t>
      </w:r>
      <w:r w:rsidR="008275E9" w:rsidRPr="004E78D8">
        <w:rPr>
          <w:sz w:val="28"/>
          <w:szCs w:val="28"/>
        </w:rPr>
        <w:t>про включення об’єкта до одного з</w:t>
      </w:r>
      <w:r w:rsidRPr="004E78D8">
        <w:rPr>
          <w:color w:val="333333"/>
          <w:sz w:val="28"/>
          <w:szCs w:val="28"/>
        </w:rPr>
        <w:t xml:space="preserve"> Переліків;</w:t>
      </w:r>
    </w:p>
    <w:p w:rsidR="003A3C71" w:rsidRPr="004E78D8" w:rsidRDefault="00384249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4E78D8">
        <w:rPr>
          <w:color w:val="333333"/>
          <w:sz w:val="28"/>
          <w:szCs w:val="28"/>
        </w:rPr>
        <w:t>про відмову у включенні об’єкта до одного з Переліків</w:t>
      </w:r>
      <w:r w:rsidR="003A17A4" w:rsidRPr="004E78D8">
        <w:rPr>
          <w:color w:val="333333"/>
          <w:sz w:val="28"/>
          <w:szCs w:val="28"/>
        </w:rPr>
        <w:t>;</w:t>
      </w:r>
    </w:p>
    <w:p w:rsidR="00070945" w:rsidRPr="004E78D8" w:rsidRDefault="008275E9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4E78D8">
        <w:rPr>
          <w:color w:val="333333"/>
          <w:sz w:val="28"/>
          <w:szCs w:val="28"/>
          <w:shd w:val="clear" w:color="auto" w:fill="FFFFFF"/>
        </w:rPr>
        <w:t xml:space="preserve">про затвердження тексту </w:t>
      </w:r>
      <w:r w:rsidR="003A17A4" w:rsidRPr="004E78D8">
        <w:rPr>
          <w:color w:val="333333"/>
          <w:sz w:val="28"/>
          <w:szCs w:val="28"/>
          <w:shd w:val="clear" w:color="auto" w:fill="FFFFFF"/>
        </w:rPr>
        <w:t>оголошення про передачу комунального майна в оренду на аукціоні, у тому числі інформації про додаткові умови оренди певних видів майна</w:t>
      </w:r>
      <w:r w:rsidRPr="004E78D8">
        <w:rPr>
          <w:color w:val="333333"/>
          <w:sz w:val="28"/>
          <w:szCs w:val="28"/>
          <w:shd w:val="clear" w:color="auto" w:fill="FFFFFF"/>
        </w:rPr>
        <w:t>;</w:t>
      </w:r>
    </w:p>
    <w:p w:rsidR="00070945" w:rsidRPr="003D3D22" w:rsidRDefault="00D62F6D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4E78D8">
        <w:rPr>
          <w:color w:val="333333"/>
          <w:sz w:val="28"/>
          <w:szCs w:val="28"/>
          <w:shd w:val="clear" w:color="auto" w:fill="FFFFFF"/>
        </w:rPr>
        <w:t>про продовження договор</w:t>
      </w:r>
      <w:r w:rsidR="003A3C71" w:rsidRPr="004E78D8">
        <w:rPr>
          <w:color w:val="333333"/>
          <w:sz w:val="28"/>
          <w:szCs w:val="28"/>
          <w:shd w:val="clear" w:color="auto" w:fill="FFFFFF"/>
        </w:rPr>
        <w:t>ів</w:t>
      </w:r>
      <w:r w:rsidRPr="004E78D8">
        <w:rPr>
          <w:color w:val="333333"/>
          <w:sz w:val="28"/>
          <w:szCs w:val="28"/>
          <w:shd w:val="clear" w:color="auto" w:fill="FFFFFF"/>
        </w:rPr>
        <w:t xml:space="preserve"> оренди комунального майна</w:t>
      </w:r>
      <w:r w:rsidR="008275E9" w:rsidRPr="004E78D8">
        <w:rPr>
          <w:color w:val="333333"/>
          <w:sz w:val="28"/>
          <w:szCs w:val="28"/>
          <w:shd w:val="clear" w:color="auto" w:fill="FFFFFF"/>
        </w:rPr>
        <w:t xml:space="preserve"> без проведення аукціону</w:t>
      </w:r>
      <w:r w:rsidR="003A3C71" w:rsidRPr="004E78D8">
        <w:rPr>
          <w:color w:val="333333"/>
          <w:sz w:val="28"/>
          <w:szCs w:val="28"/>
          <w:shd w:val="clear" w:color="auto" w:fill="FFFFFF"/>
        </w:rPr>
        <w:t xml:space="preserve">, </w:t>
      </w:r>
      <w:bookmarkStart w:id="1" w:name="n359"/>
      <w:bookmarkEnd w:id="1"/>
      <w:r w:rsidR="003A3C71" w:rsidRPr="004E78D8">
        <w:rPr>
          <w:color w:val="333333"/>
          <w:sz w:val="28"/>
          <w:szCs w:val="28"/>
          <w:shd w:val="clear" w:color="auto" w:fill="FFFFFF"/>
        </w:rPr>
        <w:t xml:space="preserve">які </w:t>
      </w:r>
      <w:r w:rsidR="00FF508C" w:rsidRPr="004E78D8">
        <w:rPr>
          <w:color w:val="333333"/>
          <w:sz w:val="28"/>
          <w:szCs w:val="28"/>
        </w:rPr>
        <w:t>укладені та продовжуються вперше, за умови, якщо строк оренди за такими договорами становить п’ять років або менше;</w:t>
      </w:r>
      <w:r w:rsidR="003A3C71" w:rsidRPr="004E78D8">
        <w:rPr>
          <w:color w:val="333333"/>
          <w:sz w:val="28"/>
          <w:szCs w:val="28"/>
        </w:rPr>
        <w:t xml:space="preserve"> які </w:t>
      </w:r>
      <w:bookmarkStart w:id="2" w:name="n360"/>
      <w:bookmarkEnd w:id="2"/>
      <w:r w:rsidR="00FF508C" w:rsidRPr="004E78D8">
        <w:rPr>
          <w:color w:val="333333"/>
          <w:sz w:val="28"/>
          <w:szCs w:val="28"/>
        </w:rPr>
        <w:t xml:space="preserve">укладені без проведення аукціону з установами, організаціями, </w:t>
      </w:r>
      <w:r w:rsidR="00FF508C" w:rsidRPr="00C67547">
        <w:rPr>
          <w:sz w:val="28"/>
          <w:szCs w:val="28"/>
        </w:rPr>
        <w:t>передбаченими </w:t>
      </w:r>
      <w:hyperlink r:id="rId6" w:anchor="n300" w:history="1">
        <w:r w:rsidR="00FF508C" w:rsidRPr="00C67547">
          <w:rPr>
            <w:rStyle w:val="a8"/>
            <w:color w:val="auto"/>
            <w:sz w:val="28"/>
            <w:szCs w:val="28"/>
            <w:u w:val="none"/>
          </w:rPr>
          <w:t>частиною першою</w:t>
        </w:r>
      </w:hyperlink>
      <w:r w:rsidR="00FF508C" w:rsidRPr="00C67547">
        <w:rPr>
          <w:sz w:val="28"/>
          <w:szCs w:val="28"/>
        </w:rPr>
        <w:t> статті 15 цього Закону</w:t>
      </w:r>
      <w:r w:rsidR="00070945" w:rsidRPr="00C67547">
        <w:rPr>
          <w:sz w:val="28"/>
          <w:szCs w:val="28"/>
        </w:rPr>
        <w:t xml:space="preserve"> України «Про оренду державного та комунального майна»</w:t>
      </w:r>
      <w:r w:rsidR="00FF508C" w:rsidRPr="00C67547">
        <w:rPr>
          <w:sz w:val="28"/>
          <w:szCs w:val="28"/>
        </w:rPr>
        <w:t>;</w:t>
      </w:r>
      <w:r w:rsidR="003A3C71" w:rsidRPr="00C67547">
        <w:rPr>
          <w:sz w:val="28"/>
          <w:szCs w:val="28"/>
        </w:rPr>
        <w:t xml:space="preserve"> </w:t>
      </w:r>
      <w:bookmarkStart w:id="3" w:name="n361"/>
      <w:bookmarkEnd w:id="3"/>
      <w:r w:rsidR="003A3C71" w:rsidRPr="00C67547">
        <w:rPr>
          <w:sz w:val="28"/>
          <w:szCs w:val="28"/>
        </w:rPr>
        <w:t xml:space="preserve">які </w:t>
      </w:r>
      <w:r w:rsidR="00FF508C" w:rsidRPr="00C67547">
        <w:rPr>
          <w:sz w:val="28"/>
          <w:szCs w:val="28"/>
        </w:rPr>
        <w:t>укладені без проведення аукціону з підприємствами, установами, організаціями, передбаченими </w:t>
      </w:r>
      <w:hyperlink r:id="rId7" w:anchor="n305" w:history="1">
        <w:r w:rsidR="00FF508C" w:rsidRPr="00C67547">
          <w:rPr>
            <w:rStyle w:val="a8"/>
            <w:color w:val="auto"/>
            <w:sz w:val="28"/>
            <w:szCs w:val="28"/>
            <w:u w:val="none"/>
          </w:rPr>
          <w:t>частиною другою</w:t>
        </w:r>
      </w:hyperlink>
      <w:r w:rsidR="00FF508C" w:rsidRPr="00C67547">
        <w:rPr>
          <w:sz w:val="28"/>
          <w:szCs w:val="28"/>
        </w:rPr>
        <w:t> </w:t>
      </w:r>
      <w:r w:rsidR="00FF508C" w:rsidRPr="004E78D8">
        <w:rPr>
          <w:color w:val="333333"/>
          <w:sz w:val="28"/>
          <w:szCs w:val="28"/>
        </w:rPr>
        <w:t>статті 15 Закону</w:t>
      </w:r>
      <w:r w:rsidR="00070945" w:rsidRPr="004E78D8">
        <w:rPr>
          <w:color w:val="333333"/>
          <w:sz w:val="28"/>
          <w:szCs w:val="28"/>
        </w:rPr>
        <w:t xml:space="preserve"> </w:t>
      </w:r>
      <w:r w:rsidR="00070945" w:rsidRPr="004E78D8">
        <w:rPr>
          <w:color w:val="333333"/>
          <w:sz w:val="28"/>
          <w:szCs w:val="28"/>
        </w:rPr>
        <w:lastRenderedPageBreak/>
        <w:t xml:space="preserve">України «Про оренду державного та комунального майна», </w:t>
      </w:r>
      <w:bookmarkStart w:id="4" w:name="n362"/>
      <w:bookmarkEnd w:id="4"/>
      <w:r w:rsidR="00070945" w:rsidRPr="004E78D8">
        <w:rPr>
          <w:color w:val="333333"/>
          <w:sz w:val="28"/>
          <w:szCs w:val="28"/>
        </w:rPr>
        <w:t>які у</w:t>
      </w:r>
      <w:r w:rsidR="00FF508C" w:rsidRPr="004E78D8">
        <w:rPr>
          <w:color w:val="333333"/>
          <w:sz w:val="28"/>
          <w:szCs w:val="28"/>
        </w:rPr>
        <w:t xml:space="preserve">кладені з підприємствами, установами, організаціями, що надають соціально важливі послуги населенню, перелік яких </w:t>
      </w:r>
      <w:r w:rsidR="003E0941">
        <w:rPr>
          <w:color w:val="333333"/>
          <w:sz w:val="28"/>
          <w:szCs w:val="28"/>
        </w:rPr>
        <w:t>затверджений рішенням 12.08.</w:t>
      </w:r>
      <w:r w:rsidR="003E0941" w:rsidRPr="003D3D22">
        <w:rPr>
          <w:color w:val="333333"/>
          <w:sz w:val="28"/>
          <w:szCs w:val="28"/>
        </w:rPr>
        <w:t>2020 року №49/6</w:t>
      </w:r>
      <w:r w:rsidR="00070945" w:rsidRPr="003D3D22">
        <w:rPr>
          <w:color w:val="333333"/>
          <w:sz w:val="28"/>
          <w:szCs w:val="28"/>
        </w:rPr>
        <w:t>;</w:t>
      </w:r>
    </w:p>
    <w:p w:rsidR="003D3D22" w:rsidRPr="003D3D22" w:rsidRDefault="003D3D22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3D3D22">
        <w:rPr>
          <w:color w:val="333333"/>
          <w:sz w:val="28"/>
          <w:szCs w:val="28"/>
          <w:shd w:val="clear" w:color="auto" w:fill="FFFFFF"/>
        </w:rPr>
        <w:t>про продовження договорів оренди за результатами аукціону;</w:t>
      </w:r>
    </w:p>
    <w:p w:rsidR="003D3D22" w:rsidRPr="003D3D22" w:rsidRDefault="003D3D22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3D3D22">
        <w:rPr>
          <w:color w:val="333333"/>
          <w:sz w:val="28"/>
          <w:szCs w:val="28"/>
          <w:shd w:val="clear" w:color="auto" w:fill="FFFFFF"/>
        </w:rPr>
        <w:t>рішення про </w:t>
      </w:r>
      <w:bookmarkStart w:id="5" w:name="w1_25"/>
      <w:r w:rsidRPr="003D3D22">
        <w:rPr>
          <w:color w:val="333333"/>
          <w:sz w:val="28"/>
          <w:szCs w:val="28"/>
          <w:shd w:val="clear" w:color="auto" w:fill="FFFFFF"/>
        </w:rPr>
        <w:t>оголошення</w:t>
      </w:r>
      <w:bookmarkEnd w:id="5"/>
      <w:r w:rsidRPr="003D3D22">
        <w:rPr>
          <w:color w:val="333333"/>
          <w:sz w:val="28"/>
          <w:szCs w:val="28"/>
          <w:shd w:val="clear" w:color="auto" w:fill="FFFFFF"/>
        </w:rPr>
        <w:t> аукціону на продовження договору оренди; </w:t>
      </w:r>
    </w:p>
    <w:p w:rsidR="00FE354D" w:rsidRPr="003D3D22" w:rsidRDefault="00070945" w:rsidP="004E78D8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333333"/>
          <w:sz w:val="28"/>
          <w:szCs w:val="28"/>
        </w:rPr>
      </w:pPr>
      <w:r w:rsidRPr="003D3D22">
        <w:rPr>
          <w:color w:val="333333"/>
          <w:sz w:val="28"/>
          <w:szCs w:val="28"/>
          <w:shd w:val="clear" w:color="auto" w:fill="FFFFFF"/>
        </w:rPr>
        <w:t>п</w:t>
      </w:r>
      <w:r w:rsidR="008275E9" w:rsidRPr="003D3D22">
        <w:rPr>
          <w:color w:val="333333"/>
          <w:sz w:val="28"/>
          <w:szCs w:val="28"/>
          <w:shd w:val="clear" w:color="auto" w:fill="FFFFFF"/>
        </w:rPr>
        <w:t xml:space="preserve">ро </w:t>
      </w:r>
      <w:r w:rsidR="00D62F6D" w:rsidRPr="003D3D22">
        <w:rPr>
          <w:color w:val="333333"/>
          <w:sz w:val="28"/>
          <w:szCs w:val="28"/>
          <w:shd w:val="clear" w:color="auto" w:fill="FFFFFF"/>
        </w:rPr>
        <w:t>відмову у продовженні договор</w:t>
      </w:r>
      <w:r w:rsidRPr="003D3D22">
        <w:rPr>
          <w:color w:val="333333"/>
          <w:sz w:val="28"/>
          <w:szCs w:val="28"/>
          <w:shd w:val="clear" w:color="auto" w:fill="FFFFFF"/>
        </w:rPr>
        <w:t>ів</w:t>
      </w:r>
      <w:r w:rsidR="00D62F6D" w:rsidRPr="003D3D22">
        <w:rPr>
          <w:color w:val="333333"/>
          <w:sz w:val="28"/>
          <w:szCs w:val="28"/>
          <w:shd w:val="clear" w:color="auto" w:fill="FFFFFF"/>
        </w:rPr>
        <w:t xml:space="preserve"> оренди комунального майна</w:t>
      </w:r>
      <w:r w:rsidRPr="003D3D22">
        <w:rPr>
          <w:color w:val="333333"/>
          <w:sz w:val="28"/>
          <w:szCs w:val="28"/>
          <w:shd w:val="clear" w:color="auto" w:fill="FFFFFF"/>
        </w:rPr>
        <w:t>.</w:t>
      </w:r>
    </w:p>
    <w:p w:rsidR="00D56D7E" w:rsidRPr="00D56D7E" w:rsidRDefault="00ED6070" w:rsidP="00D56D7E">
      <w:pPr>
        <w:pStyle w:val="a6"/>
        <w:numPr>
          <w:ilvl w:val="0"/>
          <w:numId w:val="15"/>
        </w:num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3D22">
        <w:rPr>
          <w:rFonts w:ascii="Times New Roman" w:hAnsi="Times New Roman"/>
          <w:sz w:val="28"/>
          <w:szCs w:val="28"/>
          <w:lang w:val="uk-UA"/>
        </w:rPr>
        <w:t>До затвердження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 xml:space="preserve">сільською 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радою Методики розрахунку орендної плати, розробленої після затвердження відповідної Методики Кабінетом Міністрів України, застосовувати положення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Методики розрахунку і порядку використання плати за оренду майна комунальної власності територіальної громади Зимнівської сільської ради, затвердженої рішенням Зимнівської сільської ради від 21.06.2012 року №16/7 із змінами згідно рішення сільської ради від 27.09.2018 року №29-2/13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, що не суперечать Закону України «Про оренду державного та комунального майна» та Порядку передачі в оренду державного та комунального майна. </w:t>
      </w:r>
    </w:p>
    <w:p w:rsidR="00D56D7E" w:rsidRPr="00D56D7E" w:rsidRDefault="00ED6070" w:rsidP="00D56D7E">
      <w:pPr>
        <w:pStyle w:val="a6"/>
        <w:numPr>
          <w:ilvl w:val="0"/>
          <w:numId w:val="15"/>
        </w:num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6D7E">
        <w:rPr>
          <w:rFonts w:ascii="Times New Roman" w:hAnsi="Times New Roman"/>
          <w:sz w:val="28"/>
          <w:szCs w:val="28"/>
          <w:lang w:val="uk-UA"/>
        </w:rPr>
        <w:t xml:space="preserve">До затвердження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 xml:space="preserve">сільською 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радою примірного договору оренди комунального майна, розробленого після затвердження відповідного договору Кабінетом Міністрів України, застосовувати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Примірний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договір оренди нерухомого майна комунальн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ої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власності територіальної громади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, затверджений рішенням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21.06.2012 року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16/7</w:t>
      </w:r>
      <w:r w:rsidRPr="00D56D7E">
        <w:rPr>
          <w:rFonts w:ascii="Times New Roman" w:hAnsi="Times New Roman"/>
          <w:sz w:val="28"/>
          <w:szCs w:val="28"/>
          <w:lang w:val="uk-UA"/>
        </w:rPr>
        <w:t>, з врахуванням норм Закону України «Про оренду державного та к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омунального майна».</w:t>
      </w:r>
    </w:p>
    <w:p w:rsidR="00D56D7E" w:rsidRPr="00D56D7E" w:rsidRDefault="00FF508C" w:rsidP="00D56D7E">
      <w:pPr>
        <w:pStyle w:val="a6"/>
        <w:numPr>
          <w:ilvl w:val="0"/>
          <w:numId w:val="15"/>
        </w:num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6D7E">
        <w:rPr>
          <w:rFonts w:ascii="Times New Roman" w:hAnsi="Times New Roman"/>
          <w:sz w:val="28"/>
          <w:szCs w:val="28"/>
          <w:lang w:val="uk-UA"/>
        </w:rPr>
        <w:t xml:space="preserve">Пункт 1 рішення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21.06.2012року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>16/7</w:t>
      </w:r>
      <w:r w:rsidRPr="00D56D7E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70945" w:rsidRPr="00D56D7E">
        <w:rPr>
          <w:rFonts w:ascii="Times New Roman" w:hAnsi="Times New Roman"/>
          <w:sz w:val="28"/>
          <w:szCs w:val="28"/>
          <w:lang w:val="uk-UA"/>
        </w:rPr>
        <w:t xml:space="preserve">окремі питання управління майном комунальної власності територіальної громади Зимнівської сільської ради» </w:t>
      </w:r>
      <w:r w:rsidRPr="00D56D7E">
        <w:rPr>
          <w:rFonts w:ascii="Times New Roman" w:hAnsi="Times New Roman"/>
          <w:sz w:val="28"/>
          <w:szCs w:val="28"/>
          <w:lang w:val="uk-UA"/>
        </w:rPr>
        <w:t>вважати таким, що втратив чинність.</w:t>
      </w:r>
    </w:p>
    <w:p w:rsidR="001163D6" w:rsidRPr="00D56D7E" w:rsidRDefault="004E78D8" w:rsidP="00D56D7E">
      <w:pPr>
        <w:pStyle w:val="a6"/>
        <w:numPr>
          <w:ilvl w:val="0"/>
          <w:numId w:val="15"/>
        </w:numPr>
        <w:shd w:val="clear" w:color="auto" w:fill="FFFFFF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6D7E">
        <w:rPr>
          <w:rFonts w:ascii="Times New Roman" w:hAnsi="Times New Roman"/>
          <w:sz w:val="28"/>
          <w:szCs w:val="28"/>
          <w:lang w:val="uk-UA"/>
        </w:rPr>
        <w:t>К</w:t>
      </w:r>
      <w:r w:rsidR="001163D6" w:rsidRPr="00D56D7E">
        <w:rPr>
          <w:rFonts w:ascii="Times New Roman" w:hAnsi="Times New Roman"/>
          <w:sz w:val="28"/>
          <w:szCs w:val="28"/>
          <w:lang w:val="uk-UA"/>
        </w:rPr>
        <w:t>онтроль за виконанням цього рішення покласти на постійну комісію з питань планування місцевого бюджету, фінансів, соціально-економічного і культурного розвитку.</w:t>
      </w:r>
    </w:p>
    <w:p w:rsidR="001163D6" w:rsidRPr="00D56D7E" w:rsidRDefault="001163D6" w:rsidP="00D56D7E">
      <w:pPr>
        <w:shd w:val="clear" w:color="auto" w:fill="FFFFFF"/>
        <w:ind w:left="567" w:hanging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D6070" w:rsidRPr="004E78D8" w:rsidRDefault="00ED6070" w:rsidP="002B6D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078E2" w:rsidRPr="004E78D8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4E78D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4E78D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2078E2" w:rsidRPr="004E78D8" w:rsidRDefault="00F71B82" w:rsidP="002078E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E78D8"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 w:rsidRPr="004E78D8"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p w:rsidR="002078E2" w:rsidRPr="004E78D8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2078E2" w:rsidRPr="004E78D8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4E78D8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sectPr w:rsidR="00EA158F" w:rsidRPr="004E78D8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D59"/>
    <w:multiLevelType w:val="hybridMultilevel"/>
    <w:tmpl w:val="159ECB96"/>
    <w:lvl w:ilvl="0" w:tplc="051A332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F294451"/>
    <w:multiLevelType w:val="hybridMultilevel"/>
    <w:tmpl w:val="5616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B57859"/>
    <w:multiLevelType w:val="hybridMultilevel"/>
    <w:tmpl w:val="7B96B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6FC"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FA6"/>
    <w:multiLevelType w:val="hybridMultilevel"/>
    <w:tmpl w:val="5066BB62"/>
    <w:lvl w:ilvl="0" w:tplc="6450D74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E20FEF"/>
    <w:multiLevelType w:val="hybridMultilevel"/>
    <w:tmpl w:val="757CB812"/>
    <w:lvl w:ilvl="0" w:tplc="EE8E7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30B6B"/>
    <w:multiLevelType w:val="multilevel"/>
    <w:tmpl w:val="8DEC37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12" w15:restartNumberingAfterBreak="0">
    <w:nsid w:val="6BE34299"/>
    <w:multiLevelType w:val="multilevel"/>
    <w:tmpl w:val="FB78C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3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7CE59B1"/>
    <w:multiLevelType w:val="hybridMultilevel"/>
    <w:tmpl w:val="9724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313"/>
    <w:multiLevelType w:val="hybridMultilevel"/>
    <w:tmpl w:val="D4600C7A"/>
    <w:lvl w:ilvl="0" w:tplc="3DA08990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70945"/>
    <w:rsid w:val="00081208"/>
    <w:rsid w:val="00097313"/>
    <w:rsid w:val="000B3EA2"/>
    <w:rsid w:val="00101B28"/>
    <w:rsid w:val="001163D6"/>
    <w:rsid w:val="00123123"/>
    <w:rsid w:val="001243DF"/>
    <w:rsid w:val="001372D8"/>
    <w:rsid w:val="00141ABE"/>
    <w:rsid w:val="0018272B"/>
    <w:rsid w:val="001843F1"/>
    <w:rsid w:val="001D67A4"/>
    <w:rsid w:val="002078E2"/>
    <w:rsid w:val="00212C7C"/>
    <w:rsid w:val="00212ECC"/>
    <w:rsid w:val="00240620"/>
    <w:rsid w:val="0027541A"/>
    <w:rsid w:val="00294045"/>
    <w:rsid w:val="002A0E47"/>
    <w:rsid w:val="002A5FCD"/>
    <w:rsid w:val="002A664B"/>
    <w:rsid w:val="002B1040"/>
    <w:rsid w:val="002B6D09"/>
    <w:rsid w:val="002E007B"/>
    <w:rsid w:val="002E7A67"/>
    <w:rsid w:val="003126C2"/>
    <w:rsid w:val="003359C1"/>
    <w:rsid w:val="003430DA"/>
    <w:rsid w:val="00361262"/>
    <w:rsid w:val="00384249"/>
    <w:rsid w:val="0039340C"/>
    <w:rsid w:val="003A17A4"/>
    <w:rsid w:val="003A3C71"/>
    <w:rsid w:val="003B7BD6"/>
    <w:rsid w:val="003D3D22"/>
    <w:rsid w:val="003E0941"/>
    <w:rsid w:val="003E6DED"/>
    <w:rsid w:val="003E6F69"/>
    <w:rsid w:val="003F5D65"/>
    <w:rsid w:val="00400202"/>
    <w:rsid w:val="00411F38"/>
    <w:rsid w:val="00450113"/>
    <w:rsid w:val="00455FC7"/>
    <w:rsid w:val="00457ECB"/>
    <w:rsid w:val="00472420"/>
    <w:rsid w:val="004D0634"/>
    <w:rsid w:val="004E78D8"/>
    <w:rsid w:val="00516780"/>
    <w:rsid w:val="00566032"/>
    <w:rsid w:val="00580042"/>
    <w:rsid w:val="005B30E3"/>
    <w:rsid w:val="005C2326"/>
    <w:rsid w:val="005F66B0"/>
    <w:rsid w:val="006B6548"/>
    <w:rsid w:val="006D7231"/>
    <w:rsid w:val="00742BCF"/>
    <w:rsid w:val="007512C4"/>
    <w:rsid w:val="007B0986"/>
    <w:rsid w:val="007C1393"/>
    <w:rsid w:val="007C5111"/>
    <w:rsid w:val="007D63AF"/>
    <w:rsid w:val="008021AC"/>
    <w:rsid w:val="008115D1"/>
    <w:rsid w:val="00813A8F"/>
    <w:rsid w:val="0082647C"/>
    <w:rsid w:val="008275E9"/>
    <w:rsid w:val="008A5C39"/>
    <w:rsid w:val="008A648A"/>
    <w:rsid w:val="008F25E6"/>
    <w:rsid w:val="009153A7"/>
    <w:rsid w:val="00916931"/>
    <w:rsid w:val="009A4C09"/>
    <w:rsid w:val="00A02C51"/>
    <w:rsid w:val="00A73BDF"/>
    <w:rsid w:val="00A926BE"/>
    <w:rsid w:val="00B13FD9"/>
    <w:rsid w:val="00B143C9"/>
    <w:rsid w:val="00B546EF"/>
    <w:rsid w:val="00B557C2"/>
    <w:rsid w:val="00B8120A"/>
    <w:rsid w:val="00B82B7B"/>
    <w:rsid w:val="00B956E5"/>
    <w:rsid w:val="00BA6246"/>
    <w:rsid w:val="00BB34CC"/>
    <w:rsid w:val="00C22282"/>
    <w:rsid w:val="00C67547"/>
    <w:rsid w:val="00CC4936"/>
    <w:rsid w:val="00CC5864"/>
    <w:rsid w:val="00CF2C06"/>
    <w:rsid w:val="00D006F0"/>
    <w:rsid w:val="00D00DDA"/>
    <w:rsid w:val="00D00ED8"/>
    <w:rsid w:val="00D125F6"/>
    <w:rsid w:val="00D21DA8"/>
    <w:rsid w:val="00D249FB"/>
    <w:rsid w:val="00D56D7E"/>
    <w:rsid w:val="00D62F6D"/>
    <w:rsid w:val="00D738CD"/>
    <w:rsid w:val="00DA7E20"/>
    <w:rsid w:val="00DD7E76"/>
    <w:rsid w:val="00DF02F4"/>
    <w:rsid w:val="00E00C02"/>
    <w:rsid w:val="00E06E4A"/>
    <w:rsid w:val="00E25972"/>
    <w:rsid w:val="00E405F7"/>
    <w:rsid w:val="00E46E6B"/>
    <w:rsid w:val="00E53705"/>
    <w:rsid w:val="00E631A4"/>
    <w:rsid w:val="00EA158F"/>
    <w:rsid w:val="00EB0D6C"/>
    <w:rsid w:val="00ED6070"/>
    <w:rsid w:val="00EF1ACB"/>
    <w:rsid w:val="00F05097"/>
    <w:rsid w:val="00F40F3F"/>
    <w:rsid w:val="00F71B82"/>
    <w:rsid w:val="00FA0689"/>
    <w:rsid w:val="00FE354D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B0D6C"/>
    <w:rPr>
      <w:b/>
      <w:bCs/>
    </w:rPr>
  </w:style>
  <w:style w:type="table" w:styleId="aa">
    <w:name w:val="Table Grid"/>
    <w:basedOn w:val="a1"/>
    <w:uiPriority w:val="59"/>
    <w:rsid w:val="00B8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B6548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customStyle="1" w:styleId="31">
    <w:name w:val="Абзац списка3"/>
    <w:basedOn w:val="a"/>
    <w:rsid w:val="00F71B82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customStyle="1" w:styleId="rvps2">
    <w:name w:val="rvps2"/>
    <w:basedOn w:val="a"/>
    <w:rsid w:val="00384249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b">
    <w:name w:val="Subtle Reference"/>
    <w:basedOn w:val="a0"/>
    <w:uiPriority w:val="31"/>
    <w:qFormat/>
    <w:rsid w:val="004E78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2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8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49</cp:revision>
  <cp:lastPrinted>2020-10-30T08:53:00Z</cp:lastPrinted>
  <dcterms:created xsi:type="dcterms:W3CDTF">2020-08-12T06:34:00Z</dcterms:created>
  <dcterms:modified xsi:type="dcterms:W3CDTF">2020-10-30T08:54:00Z</dcterms:modified>
</cp:coreProperties>
</file>