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2B" w:rsidRPr="00233CF6" w:rsidRDefault="00233CF6" w:rsidP="00C702A0">
      <w:pPr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  <w:bookmarkStart w:id="0" w:name="_GoBack"/>
      <w:bookmarkEnd w:id="0"/>
    </w:p>
    <w:p w:rsidR="00233CF6" w:rsidRPr="00892CD3" w:rsidRDefault="00AB4196" w:rsidP="00892CD3">
      <w:pPr>
        <w:spacing w:line="240" w:lineRule="auto"/>
        <w:ind w:left="425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B66F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63C26" w:rsidRPr="001B66F7">
        <w:rPr>
          <w:rFonts w:ascii="Times New Roman" w:hAnsi="Times New Roman" w:cs="Times New Roman"/>
          <w:sz w:val="28"/>
          <w:szCs w:val="28"/>
          <w:lang w:val="uk-UA"/>
        </w:rPr>
        <w:t>о про</w:t>
      </w:r>
      <w:r w:rsidR="0024700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63C26" w:rsidRPr="001B66F7">
        <w:rPr>
          <w:rFonts w:ascii="Times New Roman" w:hAnsi="Times New Roman" w:cs="Times New Roman"/>
          <w:sz w:val="28"/>
          <w:szCs w:val="28"/>
          <w:lang w:val="uk-UA"/>
        </w:rPr>
        <w:t>кту рішення</w:t>
      </w:r>
      <w:r w:rsidR="003964FB" w:rsidRPr="001B6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1E2" w:rsidRPr="001B66F7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r w:rsidR="00924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1" w:name="_Hlk121493135"/>
      <w:r w:rsidR="009241E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3CF6" w:rsidRPr="00233CF6">
        <w:rPr>
          <w:rFonts w:ascii="Times New Roman" w:hAnsi="Times New Roman" w:cs="Times New Roman"/>
          <w:b/>
          <w:sz w:val="28"/>
          <w:lang w:val="uk-UA"/>
        </w:rPr>
        <w:t>Про</w:t>
      </w:r>
      <w:r w:rsidR="0024700C" w:rsidRPr="0024700C">
        <w:rPr>
          <w:rFonts w:ascii="Times New Roman" w:hAnsi="Times New Roman" w:cs="Times New Roman"/>
          <w:b/>
          <w:sz w:val="28"/>
          <w:lang w:val="uk-UA"/>
        </w:rPr>
        <w:t xml:space="preserve"> внесення змін до Програми відзначення державних та професійних свят, ювілейних дат та святкування Дня міста Бровари, заохочення за заслуги перед Броварською міською територіальною громадою на 2022-2026 роки</w:t>
      </w:r>
      <w:r w:rsidR="001B66F7">
        <w:rPr>
          <w:rFonts w:ascii="Times New Roman" w:hAnsi="Times New Roman" w:cs="Times New Roman"/>
          <w:b/>
          <w:sz w:val="28"/>
          <w:lang w:val="uk-UA"/>
        </w:rPr>
        <w:t xml:space="preserve">» </w:t>
      </w:r>
      <w:bookmarkEnd w:id="1"/>
    </w:p>
    <w:p w:rsidR="0074644B" w:rsidRPr="00892CD3" w:rsidRDefault="0074644B" w:rsidP="00892CD3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</w:t>
      </w:r>
      <w:r w:rsidR="00E85055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E85055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="00AB41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85055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E8505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E85055">
        <w:rPr>
          <w:rFonts w:ascii="Times New Roman" w:hAnsi="Times New Roman"/>
          <w:sz w:val="28"/>
          <w:szCs w:val="28"/>
        </w:rPr>
        <w:t>ст</w:t>
      </w:r>
      <w:r w:rsidR="00E85055">
        <w:rPr>
          <w:rFonts w:ascii="Times New Roman" w:hAnsi="Times New Roman"/>
          <w:sz w:val="28"/>
          <w:szCs w:val="28"/>
          <w:lang w:val="uk-UA"/>
        </w:rPr>
        <w:t>атті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="00AB41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="00AB41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17191" w:rsidRPr="00717191" w:rsidRDefault="0074644B" w:rsidP="00892CD3">
      <w:pPr>
        <w:keepNext/>
        <w:numPr>
          <w:ilvl w:val="1"/>
          <w:numId w:val="1"/>
        </w:numPr>
        <w:suppressAutoHyphens/>
        <w:spacing w:line="240" w:lineRule="auto"/>
        <w:ind w:left="14" w:firstLine="686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AB4196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AB4196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AB4196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495385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:rsidR="001B66F7" w:rsidRPr="001B66F7" w:rsidRDefault="001B66F7" w:rsidP="00892C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Броварська міська рада, є органом місцевого самоврядування, який представляє Броварську міську територіальну громаду, дбає про зміцнення засад місцевого самоврядування як необхідної складової розвитку громадянського суспільства і як ефективного механізму забезпечення прав, свобод та потреб членів Броварської міської територіальної громади.</w:t>
      </w:r>
    </w:p>
    <w:p w:rsidR="0024700C" w:rsidRDefault="001B66F7" w:rsidP="00892C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Одним із напрямків роботи Броварської міської ради та її виконавчого комітету є забезпечення відзначення на міському рівні загальнодержавних свят та заходів, проведення загальноміських свят, в тому числі відзначення трудових та творчих здобутків як окремих працівників, так і колективів підприємств, установ, організацій Броварської міської територіальної громади відзнаками міського рівня. Адже, своєчасне визнання професійної майстерності, особистого внеску у створення матеріальної та духовної культури сьогодення, підтримка активної життєвої позиції, пошана багаторічної сумлінної праці є важливим стимулом для зміцнення духовного та психологічного здоров’я, усвідомлення власної причетності у розбудові та зміцненні економічної, соціальної, культурної, громадської та інших сфер суспільного життя Броварської міської територіальної громади.</w:t>
      </w:r>
      <w:r w:rsidR="0024700C" w:rsidRPr="0024700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53020" w:rsidRPr="0093459A" w:rsidRDefault="0024700C" w:rsidP="00892CD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4700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Необхідність прийняття проєкту даного рішення обумовлена</w:t>
      </w:r>
      <w:r w:rsidRPr="0024700C">
        <w:rPr>
          <w:rFonts w:ascii="Calibri" w:eastAsia="Calibri" w:hAnsi="Calibri" w:cs="Times New Roman"/>
          <w:lang w:val="uk-UA" w:eastAsia="en-US"/>
        </w:rPr>
        <w:t xml:space="preserve"> </w:t>
      </w:r>
      <w:r w:rsidRPr="0024700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здійсненням своєчасного створення умов для ефективного використання бюджетних коштів</w:t>
      </w:r>
      <w:r w:rsidR="0093459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24700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93459A" w:rsidRPr="009345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особливостей здійснення публічних </w:t>
      </w:r>
      <w:proofErr w:type="spellStart"/>
      <w:r w:rsidR="0093459A" w:rsidRPr="009345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закупівель</w:t>
      </w:r>
      <w:proofErr w:type="spellEnd"/>
      <w:r w:rsidR="0093459A" w:rsidRPr="009345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товарів, робіт і послуг для замовників</w:t>
      </w:r>
      <w:r w:rsidR="009345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передбачених Законом України «Про публічні закупівлі»</w:t>
      </w:r>
      <w:r w:rsidR="0093459A" w:rsidRPr="009345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 період дії правового режиму воєнного стану в Україні</w:t>
      </w:r>
      <w:r w:rsidRPr="0093459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892CD3" w:rsidRPr="006A552B" w:rsidRDefault="00892CD3" w:rsidP="00892CD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74644B" w:rsidRDefault="0074644B" w:rsidP="00892CD3">
      <w:pPr>
        <w:tabs>
          <w:tab w:val="left" w:pos="1134"/>
          <w:tab w:val="left" w:pos="1276"/>
        </w:tabs>
        <w:suppressAutoHyphens/>
        <w:spacing w:line="240" w:lineRule="auto"/>
        <w:ind w:firstLine="68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D1B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3D629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FD1B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49538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9B111E" w:rsidRPr="00892CD3" w:rsidRDefault="006F6685" w:rsidP="00892CD3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F679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4700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F679F">
        <w:rPr>
          <w:rFonts w:ascii="Times New Roman" w:hAnsi="Times New Roman" w:cs="Times New Roman"/>
          <w:sz w:val="28"/>
          <w:szCs w:val="28"/>
          <w:lang w:val="uk-UA"/>
        </w:rPr>
        <w:t>кт рішення</w:t>
      </w:r>
      <w:r w:rsidRPr="006F67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F679F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="0024700C" w:rsidRPr="002470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4700C" w:rsidRPr="0024700C">
        <w:rPr>
          <w:rFonts w:ascii="Times New Roman" w:hAnsi="Times New Roman" w:cs="Times New Roman"/>
          <w:sz w:val="28"/>
          <w:lang w:val="uk-UA"/>
        </w:rPr>
        <w:t>Про внесення змін до Програми відзначення державних та професійних свят, ювілейних дат та святкування Дня міста Бровари, заохочення за заслуги перед Броварською міською територіальною громадою на 2022-2026 роки»</w:t>
      </w:r>
      <w:r w:rsidR="0024700C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24700C" w:rsidRPr="0024700C">
        <w:rPr>
          <w:rFonts w:ascii="Times New Roman" w:hAnsi="Times New Roman" w:cs="Times New Roman"/>
          <w:sz w:val="28"/>
          <w:lang w:val="uk-UA"/>
        </w:rPr>
        <w:t>(далі – проєкт рішення)</w:t>
      </w:r>
      <w:r w:rsidR="0024700C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розроблений з метою </w:t>
      </w:r>
      <w:r w:rsidR="001B66F7"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забезпечення високого рівня підготовки та проведення урочистих заходів у Броварської міській територіальній громаді з нагоди відзначення свят державного, обласного, </w:t>
      </w:r>
      <w:r w:rsidR="001B66F7"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lastRenderedPageBreak/>
        <w:t>місцевого значення, урочистих заходів до пам’ятних дат та історичних подій, професій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них свят та інших знаменних дат.</w:t>
      </w:r>
    </w:p>
    <w:p w:rsidR="0074644B" w:rsidRPr="00827775" w:rsidRDefault="0074644B" w:rsidP="00892CD3">
      <w:pPr>
        <w:suppressAutoHyphens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  <w:r w:rsidR="0049538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B0748E" w:rsidRPr="00892CD3" w:rsidRDefault="00C702A0" w:rsidP="00892CD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1B66F7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1B66F7" w:rsidRPr="001B66F7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розроблений</w:t>
      </w:r>
      <w:r w:rsidR="001B66F7"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на підставі Закону України «Про місцеве самоврядування в Україні», Бюджетного кодексу України, </w:t>
      </w:r>
      <w:r w:rsidR="00A66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</w:t>
      </w:r>
      <w:r w:rsidR="00A66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 «Про публічні закупівлі»</w:t>
      </w:r>
      <w:r w:rsidR="00A666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1B66F7"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Указів Президента України «Про впорядкування відзначення пам'ятних дат і ювілеїв», «Про додаткові заходи щодо впорядкування відзначення пам'ятних дат і ювілеїв», Указів Президента України щодо встановлення професійних свят і пам’ятних дат та інших нормативно-правових актів України.</w:t>
      </w:r>
    </w:p>
    <w:p w:rsidR="0074644B" w:rsidRPr="00495385" w:rsidRDefault="0074644B" w:rsidP="00892CD3">
      <w:pPr>
        <w:suppressAutoHyphens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AB41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</w:t>
      </w:r>
      <w:r w:rsidR="00AB41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AB41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обґрунтування</w:t>
      </w:r>
      <w:r w:rsidR="0049538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B0748E" w:rsidRPr="00892CD3" w:rsidRDefault="001B66F7" w:rsidP="00892CD3">
      <w:pPr>
        <w:spacing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Фінансування заходів Програми в процесі їх реалізації здійснюється за рахунок коштів бюджету Броварської міської територіальної громади (в межах коштів, передбачених на відповідний бюджетний період) та інших джерел фінансування, не заборонених чинним законодавством України.</w:t>
      </w:r>
    </w:p>
    <w:p w:rsidR="0074644B" w:rsidRDefault="005F334B" w:rsidP="00892CD3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C67C4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49538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93459A" w:rsidRPr="00892CD3" w:rsidRDefault="001B66F7" w:rsidP="0093459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Реалізація цієї Програми сприятиме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1B66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удосконаленню нагородної справи на території Броварської міської територіальної громади, забезпеченню її розвитку на засадах демократичності, відкритості, гласності та прозорості, підвищенню соціального значення міських нагород, комплексного розв'язання правових, організаційних та інших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проблем у цій сфері.</w:t>
      </w:r>
    </w:p>
    <w:p w:rsidR="00892CD3" w:rsidRPr="0093459A" w:rsidRDefault="00892CD3" w:rsidP="00C702A0">
      <w:pPr>
        <w:pStyle w:val="a5"/>
        <w:numPr>
          <w:ilvl w:val="0"/>
          <w:numId w:val="8"/>
        </w:numPr>
        <w:spacing w:line="259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345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Суб’єкт подання проєкту рішення</w:t>
      </w:r>
    </w:p>
    <w:p w:rsidR="0093459A" w:rsidRPr="0093459A" w:rsidRDefault="0093459A" w:rsidP="0093459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459A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Виконуюча обов’язки начальника управління забезпечення діяльності виконавчого комітету Броварської міської ради Броварського району Київської області та її виконавчих органів - заступник начальника управління – прес-секретар міського голови – Ірина КУЛІШ.</w:t>
      </w:r>
    </w:p>
    <w:p w:rsidR="00A6662C" w:rsidRDefault="0093459A" w:rsidP="00A6662C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459A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Відповідальна особа за підготовку проекту рішення – начальник відділу персоналу управління забезпечення діяльності виконавчого комітету Броварської міської ради Броварського району Київської області та її виконавчих органів – Віра НАКОНЕЧНА.</w:t>
      </w:r>
    </w:p>
    <w:p w:rsidR="0093459A" w:rsidRPr="00FD1B28" w:rsidRDefault="0093459A" w:rsidP="00FD1B28">
      <w:pPr>
        <w:pStyle w:val="a5"/>
        <w:numPr>
          <w:ilvl w:val="0"/>
          <w:numId w:val="8"/>
        </w:numPr>
        <w:spacing w:line="259" w:lineRule="auto"/>
        <w:ind w:left="1208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345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Порівняльна таблиця:</w:t>
      </w:r>
    </w:p>
    <w:p w:rsidR="0042474A" w:rsidRPr="0042474A" w:rsidRDefault="0093459A" w:rsidP="00FD1B28">
      <w:pPr>
        <w:pStyle w:val="a5"/>
        <w:numPr>
          <w:ilvl w:val="0"/>
          <w:numId w:val="9"/>
        </w:numPr>
        <w:spacing w:after="0" w:line="259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459A">
        <w:rPr>
          <w:rFonts w:ascii="Times New Roman" w:eastAsia="Times New Roman" w:hAnsi="Times New Roman" w:cs="Times New Roman"/>
          <w:sz w:val="28"/>
          <w:szCs w:val="28"/>
          <w:lang w:val="uk-UA"/>
        </w:rPr>
        <w:t>Було: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09"/>
        <w:gridCol w:w="1201"/>
        <w:gridCol w:w="1232"/>
        <w:gridCol w:w="1177"/>
        <w:gridCol w:w="1143"/>
      </w:tblGrid>
      <w:tr w:rsidR="0042474A" w:rsidRPr="0093459A" w:rsidTr="000C0018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Заходи Програми</w:t>
            </w:r>
          </w:p>
        </w:tc>
        <w:tc>
          <w:tcPr>
            <w:tcW w:w="5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Потреби у фінансуванні Програми, </w:t>
            </w:r>
            <w:proofErr w:type="spellStart"/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  <w:tr w:rsidR="0042474A" w:rsidRPr="0093459A" w:rsidTr="000C0018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2026</w:t>
            </w:r>
          </w:p>
        </w:tc>
      </w:tr>
      <w:tr w:rsidR="0042474A" w:rsidRPr="0093459A" w:rsidTr="000C0018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</w:tr>
      <w:tr w:rsidR="0042474A" w:rsidRPr="0093459A" w:rsidTr="000C0018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4A" w:rsidRPr="0093459A" w:rsidRDefault="0042474A" w:rsidP="000C001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1.4.Придбання сувенірної продукції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2474A" w:rsidRPr="0093459A" w:rsidRDefault="0042474A" w:rsidP="000C001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299,700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350,000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350,000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4A" w:rsidRPr="0093459A" w:rsidRDefault="0042474A" w:rsidP="000C00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400,000</w:t>
            </w:r>
          </w:p>
        </w:tc>
      </w:tr>
    </w:tbl>
    <w:p w:rsidR="0042474A" w:rsidRDefault="0042474A" w:rsidP="0042474A">
      <w:pPr>
        <w:suppressAutoHyphens/>
        <w:spacing w:after="0" w:line="240" w:lineRule="auto"/>
        <w:ind w:firstLine="212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</w:pPr>
    </w:p>
    <w:p w:rsidR="0093459A" w:rsidRPr="0042474A" w:rsidRDefault="0042474A" w:rsidP="00FD1B28">
      <w:pPr>
        <w:suppressAutoHyphens/>
        <w:spacing w:after="0" w:line="240" w:lineRule="auto"/>
        <w:ind w:firstLine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</w:pPr>
      <w:r w:rsidRPr="0042474A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Стало: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09"/>
        <w:gridCol w:w="1201"/>
        <w:gridCol w:w="1232"/>
        <w:gridCol w:w="1177"/>
        <w:gridCol w:w="1143"/>
      </w:tblGrid>
      <w:tr w:rsidR="0093459A" w:rsidRPr="0093459A" w:rsidTr="000C0018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Заходи Програми</w:t>
            </w:r>
          </w:p>
        </w:tc>
        <w:tc>
          <w:tcPr>
            <w:tcW w:w="5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Потреби у фінансуванні Програми, </w:t>
            </w:r>
            <w:proofErr w:type="spellStart"/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  <w:tr w:rsidR="0093459A" w:rsidRPr="0093459A" w:rsidTr="000C0018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2026</w:t>
            </w:r>
          </w:p>
        </w:tc>
      </w:tr>
      <w:tr w:rsidR="0093459A" w:rsidRPr="0093459A" w:rsidTr="000C0018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</w:tr>
      <w:tr w:rsidR="0093459A" w:rsidRPr="0093459A" w:rsidTr="000C0018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1.4.Придбання сувенірної продукції, в тому числі:</w:t>
            </w:r>
          </w:p>
          <w:p w:rsidR="0093459A" w:rsidRPr="0093459A" w:rsidRDefault="0093459A" w:rsidP="009345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299,700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350,000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350,000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400,000</w:t>
            </w:r>
          </w:p>
        </w:tc>
      </w:tr>
      <w:tr w:rsidR="0093459A" w:rsidRPr="0093459A" w:rsidTr="000C0018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1.4.1.Повербанк з нанесенням символіки міста Бровари;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459A" w:rsidRPr="0093459A" w:rsidTr="000C0018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1.4.2.Футболка з нанесенням зображення або напису;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459A" w:rsidRPr="0093459A" w:rsidTr="000C0018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1.4.3.Ліхтар;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459A" w:rsidRPr="0093459A" w:rsidTr="000C0018"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1.4.4.Плед.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A" w:rsidRPr="0093459A" w:rsidRDefault="0093459A" w:rsidP="0093459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3459A" w:rsidRDefault="0093459A" w:rsidP="00FD1B28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1B28" w:rsidRPr="0093459A" w:rsidRDefault="00FD1B28" w:rsidP="00FD1B28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7005C" w:rsidRPr="0037005C" w:rsidTr="00AA19E2">
        <w:tc>
          <w:tcPr>
            <w:tcW w:w="4814" w:type="dxa"/>
          </w:tcPr>
          <w:p w:rsidR="0093459A" w:rsidRPr="0093459A" w:rsidRDefault="0093459A" w:rsidP="0093459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Виконуюча обов’язки начальника </w:t>
            </w: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управління забезпечення діяльності виконавчого комітету Броварської міської ради Броварського району Київської області та її виконавчих органів - </w:t>
            </w: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начальника управління – прес-секретар міського голови</w:t>
            </w:r>
          </w:p>
          <w:p w:rsidR="0093459A" w:rsidRPr="0093459A" w:rsidRDefault="0093459A" w:rsidP="0093459A">
            <w:pPr>
              <w:tabs>
                <w:tab w:val="left" w:pos="9639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93459A" w:rsidRPr="0093459A" w:rsidRDefault="0093459A" w:rsidP="0093459A">
            <w:pPr>
              <w:tabs>
                <w:tab w:val="left" w:pos="9639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93459A" w:rsidRPr="0093459A" w:rsidRDefault="0093459A" w:rsidP="0093459A">
            <w:pPr>
              <w:tabs>
                <w:tab w:val="left" w:pos="9639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93459A" w:rsidRPr="0093459A" w:rsidRDefault="0093459A" w:rsidP="0093459A">
            <w:pPr>
              <w:tabs>
                <w:tab w:val="left" w:pos="9639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93459A" w:rsidRPr="0093459A" w:rsidRDefault="0093459A" w:rsidP="0093459A">
            <w:pPr>
              <w:tabs>
                <w:tab w:val="left" w:pos="9639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93459A" w:rsidRPr="0093459A" w:rsidRDefault="0093459A" w:rsidP="0093459A">
            <w:pPr>
              <w:tabs>
                <w:tab w:val="left" w:pos="9639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93459A" w:rsidRPr="0093459A" w:rsidRDefault="0093459A" w:rsidP="0093459A">
            <w:pPr>
              <w:tabs>
                <w:tab w:val="left" w:pos="9639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93459A" w:rsidRDefault="0093459A" w:rsidP="0093459A">
            <w:pPr>
              <w:tabs>
                <w:tab w:val="left" w:pos="9639"/>
              </w:tabs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93459A" w:rsidRDefault="0093459A" w:rsidP="0093459A">
            <w:pPr>
              <w:tabs>
                <w:tab w:val="left" w:pos="9639"/>
              </w:tabs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93459A" w:rsidRDefault="0093459A" w:rsidP="0093459A">
            <w:pPr>
              <w:tabs>
                <w:tab w:val="left" w:pos="9639"/>
              </w:tabs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93459A" w:rsidRDefault="0093459A" w:rsidP="0093459A">
            <w:pPr>
              <w:tabs>
                <w:tab w:val="left" w:pos="9639"/>
              </w:tabs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93459A" w:rsidRDefault="0093459A" w:rsidP="0093459A">
            <w:pPr>
              <w:tabs>
                <w:tab w:val="left" w:pos="9639"/>
              </w:tabs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93459A" w:rsidRDefault="0093459A" w:rsidP="0093459A">
            <w:pPr>
              <w:tabs>
                <w:tab w:val="left" w:pos="9639"/>
              </w:tabs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93459A" w:rsidRDefault="0093459A" w:rsidP="0093459A">
            <w:pPr>
              <w:tabs>
                <w:tab w:val="left" w:pos="9639"/>
              </w:tabs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93459A" w:rsidRDefault="0093459A" w:rsidP="0093459A">
            <w:pPr>
              <w:tabs>
                <w:tab w:val="left" w:pos="9639"/>
              </w:tabs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7005C" w:rsidRPr="0037005C" w:rsidRDefault="0037005C" w:rsidP="0093459A">
            <w:pPr>
              <w:tabs>
                <w:tab w:val="left" w:pos="9639"/>
              </w:tabs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37005C" w:rsidRPr="0037005C" w:rsidRDefault="0037005C" w:rsidP="00892C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05C" w:rsidRDefault="0037005C" w:rsidP="00892C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59A" w:rsidRDefault="0093459A" w:rsidP="00892C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59A" w:rsidRDefault="0093459A" w:rsidP="00892C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59A" w:rsidRDefault="0093459A" w:rsidP="00892C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59A" w:rsidRPr="0037005C" w:rsidRDefault="0093459A" w:rsidP="00892C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05C" w:rsidRPr="0037005C" w:rsidRDefault="0037005C" w:rsidP="00892C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59A" w:rsidRPr="0093459A" w:rsidRDefault="0093459A" w:rsidP="0093459A">
            <w:pPr>
              <w:tabs>
                <w:tab w:val="left" w:pos="9639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459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Ірина КУЛІШ</w:t>
            </w:r>
          </w:p>
          <w:p w:rsidR="0037005C" w:rsidRPr="0037005C" w:rsidRDefault="0037005C" w:rsidP="00892C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05C" w:rsidRPr="0037005C" w:rsidRDefault="0037005C" w:rsidP="00892CD3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3309" w:rsidRPr="0024700C" w:rsidRDefault="004F3309" w:rsidP="00892CD3">
      <w:pPr>
        <w:tabs>
          <w:tab w:val="left" w:pos="963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F3309" w:rsidRPr="0024700C" w:rsidSect="00BF6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427" w:rsidRDefault="00BF6427" w:rsidP="00BF6427">
      <w:pPr>
        <w:spacing w:after="0" w:line="240" w:lineRule="auto"/>
      </w:pPr>
      <w:r>
        <w:separator/>
      </w:r>
    </w:p>
  </w:endnote>
  <w:endnote w:type="continuationSeparator" w:id="0">
    <w:p w:rsidR="00BF6427" w:rsidRDefault="00BF6427" w:rsidP="00BF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27" w:rsidRDefault="00BF642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27" w:rsidRDefault="00BF642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27" w:rsidRDefault="00BF64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427" w:rsidRDefault="00BF6427" w:rsidP="00BF6427">
      <w:pPr>
        <w:spacing w:after="0" w:line="240" w:lineRule="auto"/>
      </w:pPr>
      <w:r>
        <w:separator/>
      </w:r>
    </w:p>
  </w:footnote>
  <w:footnote w:type="continuationSeparator" w:id="0">
    <w:p w:rsidR="00BF6427" w:rsidRDefault="00BF6427" w:rsidP="00BF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27" w:rsidRDefault="00BF642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756628"/>
      <w:docPartObj>
        <w:docPartGallery w:val="Page Numbers (Top of Page)"/>
        <w:docPartUnique/>
      </w:docPartObj>
    </w:sdtPr>
    <w:sdtEndPr/>
    <w:sdtContent>
      <w:p w:rsidR="00BF6427" w:rsidRDefault="00BF64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2A0">
          <w:rPr>
            <w:noProof/>
          </w:rPr>
          <w:t>3</w:t>
        </w:r>
        <w:r>
          <w:fldChar w:fldCharType="end"/>
        </w:r>
      </w:p>
    </w:sdtContent>
  </w:sdt>
  <w:p w:rsidR="00BF6427" w:rsidRDefault="00BF642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27" w:rsidRDefault="00BF6427" w:rsidP="00BF642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0E229E"/>
    <w:multiLevelType w:val="hybridMultilevel"/>
    <w:tmpl w:val="A8FE9B14"/>
    <w:lvl w:ilvl="0" w:tplc="B6DA68B0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923A0C"/>
    <w:multiLevelType w:val="multilevel"/>
    <w:tmpl w:val="55E249B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1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7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8" w:hanging="2160"/>
      </w:pPr>
      <w:rPr>
        <w:rFonts w:hint="default"/>
      </w:rPr>
    </w:lvl>
  </w:abstractNum>
  <w:abstractNum w:abstractNumId="3" w15:restartNumberingAfterBreak="0">
    <w:nsid w:val="35B93E6C"/>
    <w:multiLevelType w:val="hybridMultilevel"/>
    <w:tmpl w:val="3ADA2AE0"/>
    <w:lvl w:ilvl="0" w:tplc="2A267C7C">
      <w:start w:val="1"/>
      <w:numFmt w:val="decimal"/>
      <w:lvlText w:val="%1."/>
      <w:lvlJc w:val="left"/>
      <w:pPr>
        <w:ind w:left="2126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159E7"/>
    <w:multiLevelType w:val="multilevel"/>
    <w:tmpl w:val="8D9C4540"/>
    <w:lvl w:ilvl="0">
      <w:start w:val="1"/>
      <w:numFmt w:val="decimal"/>
      <w:lvlText w:val="%1."/>
      <w:lvlJc w:val="left"/>
      <w:pPr>
        <w:ind w:left="1200" w:hanging="120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900" w:hanging="120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600" w:hanging="120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300" w:hanging="120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4000" w:hanging="120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6" w15:restartNumberingAfterBreak="0">
    <w:nsid w:val="421725DC"/>
    <w:multiLevelType w:val="hybridMultilevel"/>
    <w:tmpl w:val="3EB2B924"/>
    <w:lvl w:ilvl="0" w:tplc="44BEB5C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3BD698E"/>
    <w:multiLevelType w:val="multilevel"/>
    <w:tmpl w:val="60C4C33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8" w15:restartNumberingAfterBreak="0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08"/>
    <w:rsid w:val="000041DA"/>
    <w:rsid w:val="00030F39"/>
    <w:rsid w:val="00040FA0"/>
    <w:rsid w:val="00067AB0"/>
    <w:rsid w:val="000B4BB1"/>
    <w:rsid w:val="000C445F"/>
    <w:rsid w:val="000C637E"/>
    <w:rsid w:val="000D260A"/>
    <w:rsid w:val="000D596A"/>
    <w:rsid w:val="001A3FF0"/>
    <w:rsid w:val="001B66F7"/>
    <w:rsid w:val="001B7085"/>
    <w:rsid w:val="001F0D76"/>
    <w:rsid w:val="002139BB"/>
    <w:rsid w:val="00215EC5"/>
    <w:rsid w:val="00223443"/>
    <w:rsid w:val="00233CF6"/>
    <w:rsid w:val="00244FF9"/>
    <w:rsid w:val="0024700C"/>
    <w:rsid w:val="00280036"/>
    <w:rsid w:val="00293B15"/>
    <w:rsid w:val="002C4283"/>
    <w:rsid w:val="0032070E"/>
    <w:rsid w:val="0033680A"/>
    <w:rsid w:val="003613A9"/>
    <w:rsid w:val="00361CD8"/>
    <w:rsid w:val="0037005C"/>
    <w:rsid w:val="003964FB"/>
    <w:rsid w:val="003A1EF1"/>
    <w:rsid w:val="003D629D"/>
    <w:rsid w:val="003E1970"/>
    <w:rsid w:val="00400665"/>
    <w:rsid w:val="004155C0"/>
    <w:rsid w:val="0042474A"/>
    <w:rsid w:val="004413D2"/>
    <w:rsid w:val="00453020"/>
    <w:rsid w:val="00463C26"/>
    <w:rsid w:val="0049321F"/>
    <w:rsid w:val="00495385"/>
    <w:rsid w:val="004B28D3"/>
    <w:rsid w:val="004F3309"/>
    <w:rsid w:val="00510797"/>
    <w:rsid w:val="00512CDB"/>
    <w:rsid w:val="00525C68"/>
    <w:rsid w:val="0053014A"/>
    <w:rsid w:val="0055548A"/>
    <w:rsid w:val="0055775E"/>
    <w:rsid w:val="0056338C"/>
    <w:rsid w:val="005B1C08"/>
    <w:rsid w:val="005B5123"/>
    <w:rsid w:val="005F334B"/>
    <w:rsid w:val="00622A8E"/>
    <w:rsid w:val="00650A0A"/>
    <w:rsid w:val="006901AA"/>
    <w:rsid w:val="00694EB0"/>
    <w:rsid w:val="00696599"/>
    <w:rsid w:val="006A552B"/>
    <w:rsid w:val="006B4B18"/>
    <w:rsid w:val="006C396C"/>
    <w:rsid w:val="006F6685"/>
    <w:rsid w:val="006F679F"/>
    <w:rsid w:val="00717191"/>
    <w:rsid w:val="007278C6"/>
    <w:rsid w:val="0074644B"/>
    <w:rsid w:val="007477A1"/>
    <w:rsid w:val="007E2289"/>
    <w:rsid w:val="007F1E19"/>
    <w:rsid w:val="00814346"/>
    <w:rsid w:val="00821039"/>
    <w:rsid w:val="00826E94"/>
    <w:rsid w:val="00827775"/>
    <w:rsid w:val="00834647"/>
    <w:rsid w:val="00864A43"/>
    <w:rsid w:val="00892CD3"/>
    <w:rsid w:val="008954AD"/>
    <w:rsid w:val="008B3747"/>
    <w:rsid w:val="008D7AF9"/>
    <w:rsid w:val="008E421F"/>
    <w:rsid w:val="008F651D"/>
    <w:rsid w:val="008F69A1"/>
    <w:rsid w:val="009077B3"/>
    <w:rsid w:val="00917F2F"/>
    <w:rsid w:val="00921157"/>
    <w:rsid w:val="009241E2"/>
    <w:rsid w:val="009339F6"/>
    <w:rsid w:val="0093459A"/>
    <w:rsid w:val="00934A23"/>
    <w:rsid w:val="00946428"/>
    <w:rsid w:val="00962905"/>
    <w:rsid w:val="00966F03"/>
    <w:rsid w:val="00980BA0"/>
    <w:rsid w:val="009B111E"/>
    <w:rsid w:val="009C59D2"/>
    <w:rsid w:val="009F435D"/>
    <w:rsid w:val="00A218AE"/>
    <w:rsid w:val="00A235FC"/>
    <w:rsid w:val="00A33508"/>
    <w:rsid w:val="00A33AAD"/>
    <w:rsid w:val="00A444ED"/>
    <w:rsid w:val="00A6662C"/>
    <w:rsid w:val="00AB3798"/>
    <w:rsid w:val="00AB3BE9"/>
    <w:rsid w:val="00AB4196"/>
    <w:rsid w:val="00AE108B"/>
    <w:rsid w:val="00B0748E"/>
    <w:rsid w:val="00B2053C"/>
    <w:rsid w:val="00B35D4C"/>
    <w:rsid w:val="00B3708E"/>
    <w:rsid w:val="00B51A6E"/>
    <w:rsid w:val="00BC15DB"/>
    <w:rsid w:val="00BE3B20"/>
    <w:rsid w:val="00BF6427"/>
    <w:rsid w:val="00C00C80"/>
    <w:rsid w:val="00C16702"/>
    <w:rsid w:val="00C3037C"/>
    <w:rsid w:val="00C32539"/>
    <w:rsid w:val="00C665B6"/>
    <w:rsid w:val="00C67C4E"/>
    <w:rsid w:val="00C702A0"/>
    <w:rsid w:val="00C876B7"/>
    <w:rsid w:val="00CD148B"/>
    <w:rsid w:val="00CE2B15"/>
    <w:rsid w:val="00CF1248"/>
    <w:rsid w:val="00D55592"/>
    <w:rsid w:val="00D92C45"/>
    <w:rsid w:val="00D96FC5"/>
    <w:rsid w:val="00DA0DC4"/>
    <w:rsid w:val="00DA3766"/>
    <w:rsid w:val="00DA6E9B"/>
    <w:rsid w:val="00DF583D"/>
    <w:rsid w:val="00E05C2B"/>
    <w:rsid w:val="00E21CCF"/>
    <w:rsid w:val="00E53CE6"/>
    <w:rsid w:val="00E85055"/>
    <w:rsid w:val="00F07BC9"/>
    <w:rsid w:val="00F2465C"/>
    <w:rsid w:val="00F425A5"/>
    <w:rsid w:val="00F43D38"/>
    <w:rsid w:val="00F85887"/>
    <w:rsid w:val="00FC1D95"/>
    <w:rsid w:val="00FD1B05"/>
    <w:rsid w:val="00FD1B28"/>
    <w:rsid w:val="00FF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CCDF9-3DC7-4046-BBD2-1CD24E6D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95385"/>
    <w:pPr>
      <w:keepNext/>
      <w:widowControl w:val="0"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495385"/>
    <w:rPr>
      <w:rFonts w:ascii="Arial" w:eastAsia="Arial Unicode MS" w:hAnsi="Arial" w:cs="Arial"/>
      <w:b/>
      <w:bCs/>
      <w:color w:val="000000"/>
      <w:kern w:val="32"/>
      <w:sz w:val="32"/>
      <w:szCs w:val="32"/>
      <w:lang w:val="uk-UA" w:eastAsia="uk-UA"/>
    </w:rPr>
  </w:style>
  <w:style w:type="paragraph" w:styleId="a5">
    <w:name w:val="List Paragraph"/>
    <w:basedOn w:val="a"/>
    <w:uiPriority w:val="34"/>
    <w:qFormat/>
    <w:rsid w:val="009C59D2"/>
    <w:pPr>
      <w:ind w:left="720"/>
      <w:contextualSpacing/>
    </w:pPr>
  </w:style>
  <w:style w:type="table" w:styleId="a6">
    <w:name w:val="Table Grid"/>
    <w:basedOn w:val="a1"/>
    <w:uiPriority w:val="59"/>
    <w:rsid w:val="0021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15EC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14346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rsid w:val="00814346"/>
    <w:rPr>
      <w:rFonts w:ascii="Times New Roman" w:hAnsi="Times New Roman" w:cs="Times New Roman"/>
      <w:b/>
      <w:bCs/>
      <w:sz w:val="26"/>
      <w:szCs w:val="26"/>
    </w:rPr>
  </w:style>
  <w:style w:type="paragraph" w:customStyle="1" w:styleId="docdata">
    <w:name w:val="docdata"/>
    <w:aliases w:val="docy,v5,8153,baiaagaaboqcaaadnbkaaawqgqaaaaaaaaaaaaaaaaaaaaaaaaaaaaaaaaaaaaaaaaaaaaaaaaaaaaaaaaaaaaaaaaaaaaaaaaaaaaaaaaaaaaaaaaaaaaaaaaaaaaaaaaaaaaaaaaaaaaaaaaaaaaaaaaaaaaaaaaaaaaaaaaaaaaaaaaaaaaaaaaaaaaaaaaaaaaaaaaaaaaaaaaaaaaaaaaaaaaaaaaaaaaaa"/>
    <w:basedOn w:val="a"/>
    <w:rsid w:val="0093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0DC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F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F6427"/>
  </w:style>
  <w:style w:type="paragraph" w:styleId="ab">
    <w:name w:val="footer"/>
    <w:basedOn w:val="a"/>
    <w:link w:val="ac"/>
    <w:uiPriority w:val="99"/>
    <w:unhideWhenUsed/>
    <w:rsid w:val="00BF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F6427"/>
  </w:style>
  <w:style w:type="table" w:customStyle="1" w:styleId="11">
    <w:name w:val="Сітка таблиці1"/>
    <w:basedOn w:val="a1"/>
    <w:next w:val="a6"/>
    <w:uiPriority w:val="39"/>
    <w:rsid w:val="0037005C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3332</Words>
  <Characters>1900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Vera</cp:lastModifiedBy>
  <cp:revision>41</cp:revision>
  <cp:lastPrinted>2021-11-17T07:03:00Z</cp:lastPrinted>
  <dcterms:created xsi:type="dcterms:W3CDTF">2021-09-03T06:54:00Z</dcterms:created>
  <dcterms:modified xsi:type="dcterms:W3CDTF">2023-03-13T13:49:00Z</dcterms:modified>
</cp:coreProperties>
</file>