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77E" w:rsidRPr="00332009" w:rsidRDefault="00F41BC1" w:rsidP="00F1377E">
      <w:pPr>
        <w:pStyle w:val="1"/>
        <w:rPr>
          <w:color w:val="auto"/>
          <w:spacing w:val="0"/>
          <w:sz w:val="32"/>
          <w:szCs w:val="32"/>
        </w:rPr>
      </w:pPr>
      <w:r>
        <w:rPr>
          <w:noProof/>
          <w:color w:val="auto"/>
          <w:spacing w:val="0"/>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75pt;margin-top:-7.85pt;width:37pt;height:49pt;z-index:251660288" filled="t">
            <v:imagedata r:id="rId5" o:title=""/>
          </v:shape>
          <o:OLEObject Type="Embed" ProgID="Word.Picture.8" ShapeID="_x0000_s1026" DrawAspect="Content" ObjectID="_1612613471" r:id="rId6"/>
        </w:object>
      </w:r>
    </w:p>
    <w:p w:rsidR="00F1377E" w:rsidRPr="00332009" w:rsidRDefault="00F1377E" w:rsidP="00F1377E">
      <w:pPr>
        <w:pStyle w:val="1"/>
        <w:rPr>
          <w:color w:val="auto"/>
          <w:spacing w:val="0"/>
          <w:sz w:val="32"/>
          <w:szCs w:val="32"/>
        </w:rPr>
      </w:pPr>
      <w:r w:rsidRPr="00332009">
        <w:rPr>
          <w:color w:val="auto"/>
          <w:spacing w:val="0"/>
          <w:sz w:val="32"/>
          <w:szCs w:val="32"/>
        </w:rPr>
        <w:t>УКРАЇНА</w:t>
      </w:r>
    </w:p>
    <w:p w:rsidR="00F1377E" w:rsidRPr="00332009" w:rsidRDefault="00F1377E" w:rsidP="00F1377E">
      <w:pPr>
        <w:shd w:val="clear" w:color="auto" w:fill="FFFFFF"/>
        <w:ind w:left="284"/>
        <w:jc w:val="center"/>
        <w:rPr>
          <w:b/>
          <w:bCs/>
          <w:sz w:val="32"/>
          <w:szCs w:val="32"/>
          <w:lang w:val="uk-UA"/>
        </w:rPr>
      </w:pPr>
      <w:r w:rsidRPr="00332009">
        <w:rPr>
          <w:b/>
          <w:bCs/>
          <w:sz w:val="32"/>
          <w:szCs w:val="32"/>
          <w:lang w:val="uk-UA"/>
        </w:rPr>
        <w:t>ЖМЕРИНСЬКА  МІСЬКА  РАДА</w:t>
      </w:r>
    </w:p>
    <w:p w:rsidR="00F1377E" w:rsidRPr="00332009" w:rsidRDefault="00F1377E" w:rsidP="00F1377E">
      <w:pPr>
        <w:shd w:val="clear" w:color="auto" w:fill="FFFFFF"/>
        <w:ind w:left="284"/>
        <w:jc w:val="center"/>
        <w:rPr>
          <w:b/>
          <w:bCs/>
          <w:sz w:val="32"/>
          <w:szCs w:val="32"/>
          <w:lang w:val="uk-UA"/>
        </w:rPr>
      </w:pPr>
      <w:r w:rsidRPr="00332009">
        <w:rPr>
          <w:b/>
          <w:bCs/>
          <w:sz w:val="32"/>
          <w:szCs w:val="32"/>
          <w:lang w:val="uk-UA"/>
        </w:rPr>
        <w:t>ВІННИЦЬКОЇ ОБЛАСТІ</w:t>
      </w:r>
    </w:p>
    <w:p w:rsidR="00F1377E" w:rsidRPr="00332009" w:rsidRDefault="00F41BC1" w:rsidP="00F1377E">
      <w:pPr>
        <w:shd w:val="clear" w:color="auto" w:fill="FFFFFF"/>
        <w:ind w:left="3178"/>
        <w:jc w:val="center"/>
        <w:rPr>
          <w:b/>
          <w:bCs/>
          <w:sz w:val="32"/>
          <w:szCs w:val="32"/>
          <w:lang w:val="uk-UA"/>
        </w:rPr>
      </w:pPr>
      <w:r>
        <w:rPr>
          <w:b/>
          <w:bCs/>
          <w:noProof/>
          <w:sz w:val="32"/>
          <w:szCs w:val="32"/>
          <w:lang w:val="uk-UA"/>
        </w:rPr>
        <w:pict>
          <v:line id="_x0000_s1027" style="position:absolute;left:0;text-align:left;z-index:251661312" from="2.1pt,4.15pt" to="488.1pt,4.15pt" o:allowincell="f" strokeweight="4.5pt">
            <v:stroke linestyle="thickThin"/>
          </v:line>
        </w:pict>
      </w:r>
    </w:p>
    <w:p w:rsidR="00F1377E" w:rsidRPr="00332009" w:rsidRDefault="00F1377E" w:rsidP="00F1377E">
      <w:pPr>
        <w:shd w:val="clear" w:color="auto" w:fill="FFFFFF"/>
        <w:jc w:val="center"/>
        <w:rPr>
          <w:b/>
          <w:bCs/>
          <w:sz w:val="32"/>
          <w:szCs w:val="32"/>
          <w:lang w:val="uk-UA"/>
        </w:rPr>
      </w:pPr>
      <w:r w:rsidRPr="00332009">
        <w:rPr>
          <w:b/>
          <w:bCs/>
          <w:sz w:val="32"/>
          <w:szCs w:val="32"/>
          <w:lang w:val="uk-UA"/>
        </w:rPr>
        <w:t xml:space="preserve">  РІШЕННЯ  № </w:t>
      </w:r>
      <w:r w:rsidR="002E7CAC">
        <w:rPr>
          <w:b/>
          <w:bCs/>
          <w:sz w:val="32"/>
          <w:szCs w:val="32"/>
          <w:lang w:val="uk-UA"/>
        </w:rPr>
        <w:t>715</w:t>
      </w:r>
      <w:r w:rsidRPr="00332009">
        <w:rPr>
          <w:b/>
          <w:bCs/>
          <w:sz w:val="32"/>
          <w:szCs w:val="32"/>
          <w:lang w:val="uk-UA"/>
        </w:rPr>
        <w:t xml:space="preserve"> </w:t>
      </w:r>
    </w:p>
    <w:p w:rsidR="00F1377E" w:rsidRPr="00332009" w:rsidRDefault="00F1377E" w:rsidP="00F1377E">
      <w:pPr>
        <w:ind w:left="-284" w:right="-316" w:firstLine="284"/>
        <w:rPr>
          <w:sz w:val="6"/>
          <w:lang w:val="uk-UA"/>
        </w:rPr>
      </w:pPr>
    </w:p>
    <w:p w:rsidR="00F1377E" w:rsidRPr="00332009" w:rsidRDefault="002E7CAC" w:rsidP="00F1377E">
      <w:pPr>
        <w:ind w:left="-284" w:right="-318" w:firstLine="284"/>
        <w:rPr>
          <w:sz w:val="28"/>
          <w:szCs w:val="28"/>
          <w:lang w:val="uk-UA"/>
        </w:rPr>
      </w:pPr>
      <w:r>
        <w:rPr>
          <w:sz w:val="28"/>
          <w:szCs w:val="28"/>
          <w:lang w:val="uk-UA"/>
        </w:rPr>
        <w:t>від ” 21</w:t>
      </w:r>
      <w:r w:rsidR="00F1377E" w:rsidRPr="00332009">
        <w:rPr>
          <w:sz w:val="28"/>
          <w:szCs w:val="28"/>
          <w:lang w:val="uk-UA"/>
        </w:rPr>
        <w:t xml:space="preserve"> ”</w:t>
      </w:r>
      <w:r>
        <w:rPr>
          <w:sz w:val="28"/>
          <w:szCs w:val="28"/>
          <w:lang w:val="uk-UA"/>
        </w:rPr>
        <w:t>лютого</w:t>
      </w:r>
      <w:r w:rsidR="00F1377E" w:rsidRPr="00332009">
        <w:rPr>
          <w:sz w:val="28"/>
          <w:szCs w:val="28"/>
          <w:lang w:val="uk-UA"/>
        </w:rPr>
        <w:t xml:space="preserve">  201</w:t>
      </w:r>
      <w:r w:rsidR="007B677C">
        <w:rPr>
          <w:sz w:val="28"/>
          <w:szCs w:val="28"/>
          <w:lang w:val="uk-UA"/>
        </w:rPr>
        <w:t>9</w:t>
      </w:r>
      <w:r>
        <w:rPr>
          <w:sz w:val="28"/>
          <w:szCs w:val="28"/>
          <w:lang w:val="uk-UA"/>
        </w:rPr>
        <w:t xml:space="preserve">р.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45 </w:t>
      </w:r>
      <w:r w:rsidR="00F1377E" w:rsidRPr="00332009">
        <w:rPr>
          <w:sz w:val="28"/>
          <w:szCs w:val="28"/>
          <w:lang w:val="uk-UA"/>
        </w:rPr>
        <w:t>сесія 7 скликання</w:t>
      </w:r>
    </w:p>
    <w:p w:rsidR="00F1377E" w:rsidRPr="00332009" w:rsidRDefault="00F1377E" w:rsidP="00F1377E">
      <w:pPr>
        <w:ind w:left="-284" w:right="-318" w:firstLine="284"/>
        <w:rPr>
          <w:sz w:val="28"/>
          <w:szCs w:val="28"/>
          <w:lang w:val="uk-UA"/>
        </w:rPr>
      </w:pPr>
      <w:r w:rsidRPr="00332009">
        <w:rPr>
          <w:sz w:val="28"/>
          <w:szCs w:val="28"/>
          <w:lang w:val="uk-UA"/>
        </w:rPr>
        <w:t>м. Жмеринка</w:t>
      </w:r>
    </w:p>
    <w:p w:rsidR="00F1377E" w:rsidRPr="00332009" w:rsidRDefault="00F1377E" w:rsidP="00F1377E">
      <w:pPr>
        <w:ind w:left="-284" w:right="-318" w:firstLine="284"/>
        <w:rPr>
          <w:sz w:val="28"/>
          <w:szCs w:val="28"/>
          <w:lang w:val="uk-UA"/>
        </w:rPr>
      </w:pPr>
    </w:p>
    <w:p w:rsidR="00F1377E" w:rsidRPr="00332009" w:rsidRDefault="00F1377E" w:rsidP="00C7129D">
      <w:pPr>
        <w:spacing w:after="120"/>
        <w:ind w:right="5174"/>
        <w:jc w:val="both"/>
        <w:rPr>
          <w:sz w:val="28"/>
          <w:szCs w:val="28"/>
          <w:lang w:val="uk-UA"/>
        </w:rPr>
      </w:pPr>
      <w:r w:rsidRPr="00332009">
        <w:rPr>
          <w:sz w:val="28"/>
          <w:szCs w:val="28"/>
          <w:lang w:val="uk-UA"/>
        </w:rPr>
        <w:t>Про внесення змін до Програми залучення інвестицій у місто до 2020 року</w:t>
      </w:r>
    </w:p>
    <w:p w:rsidR="00F1377E" w:rsidRPr="00332009" w:rsidRDefault="00F1377E" w:rsidP="00C7129D">
      <w:pPr>
        <w:spacing w:after="120"/>
        <w:ind w:right="5174"/>
        <w:jc w:val="both"/>
        <w:rPr>
          <w:sz w:val="28"/>
          <w:szCs w:val="28"/>
          <w:lang w:val="uk-UA"/>
        </w:rPr>
      </w:pPr>
    </w:p>
    <w:p w:rsidR="00F1377E" w:rsidRPr="00332009" w:rsidRDefault="00F1377E" w:rsidP="007A6023">
      <w:pPr>
        <w:tabs>
          <w:tab w:val="left" w:pos="5940"/>
        </w:tabs>
        <w:spacing w:after="120"/>
        <w:ind w:firstLine="709"/>
        <w:jc w:val="both"/>
        <w:rPr>
          <w:color w:val="000000" w:themeColor="text1"/>
          <w:sz w:val="28"/>
          <w:szCs w:val="28"/>
          <w:lang w:val="uk-UA"/>
        </w:rPr>
      </w:pPr>
      <w:r w:rsidRPr="00332009">
        <w:rPr>
          <w:color w:val="000000" w:themeColor="text1"/>
          <w:sz w:val="28"/>
          <w:szCs w:val="28"/>
          <w:lang w:val="uk-UA"/>
        </w:rPr>
        <w:t xml:space="preserve">З метою ведення налагоджувальної роботи системи містобудівного кадастру міста Жмеринка та завершення погоджувальної діяльності щодо генерального плану міста Жмеринка та інше, враховуючи  доповідну записку управління містобудування та архітектури Жмеринської міської ради від </w:t>
      </w:r>
      <w:r w:rsidR="00CF413D" w:rsidRPr="00332009">
        <w:rPr>
          <w:color w:val="000000" w:themeColor="text1"/>
          <w:sz w:val="28"/>
          <w:szCs w:val="28"/>
          <w:lang w:val="uk-UA"/>
        </w:rPr>
        <w:t>09.01.2019</w:t>
      </w:r>
      <w:r w:rsidRPr="00332009">
        <w:rPr>
          <w:color w:val="000000" w:themeColor="text1"/>
          <w:sz w:val="28"/>
          <w:szCs w:val="28"/>
          <w:lang w:val="uk-UA"/>
        </w:rPr>
        <w:t xml:space="preserve"> року №</w:t>
      </w:r>
      <w:r w:rsidR="00CF413D" w:rsidRPr="00332009">
        <w:rPr>
          <w:color w:val="000000" w:themeColor="text1"/>
          <w:sz w:val="28"/>
          <w:szCs w:val="28"/>
          <w:lang w:val="uk-UA"/>
        </w:rPr>
        <w:t>5</w:t>
      </w:r>
      <w:r w:rsidRPr="00332009">
        <w:rPr>
          <w:color w:val="000000" w:themeColor="text1"/>
          <w:sz w:val="28"/>
          <w:szCs w:val="28"/>
          <w:lang w:val="uk-UA"/>
        </w:rPr>
        <w:t xml:space="preserve">, керуючись ст.ст.26,59 Закону України “Про місцеве самоврядування в Україні”,  міська рада вирішила:  </w:t>
      </w:r>
    </w:p>
    <w:p w:rsidR="004D77ED" w:rsidRPr="00332009" w:rsidRDefault="00F1377E" w:rsidP="00C7129D">
      <w:pPr>
        <w:spacing w:after="120"/>
        <w:ind w:right="25" w:firstLine="708"/>
        <w:jc w:val="both"/>
        <w:rPr>
          <w:color w:val="000000" w:themeColor="text1"/>
          <w:sz w:val="28"/>
          <w:szCs w:val="28"/>
          <w:lang w:val="uk-UA"/>
        </w:rPr>
      </w:pPr>
      <w:r w:rsidRPr="00332009">
        <w:rPr>
          <w:color w:val="000000" w:themeColor="text1"/>
          <w:sz w:val="28"/>
          <w:szCs w:val="28"/>
          <w:lang w:val="uk-UA"/>
        </w:rPr>
        <w:t>1. Внести зміни до Програми залучення інвестицій у місто до 20</w:t>
      </w:r>
      <w:r w:rsidR="00CF413D" w:rsidRPr="00332009">
        <w:rPr>
          <w:color w:val="000000" w:themeColor="text1"/>
          <w:sz w:val="28"/>
          <w:szCs w:val="28"/>
          <w:lang w:val="uk-UA"/>
        </w:rPr>
        <w:t xml:space="preserve">20 року, затвердженої рішенням </w:t>
      </w:r>
      <w:r w:rsidR="007D0791" w:rsidRPr="00332009">
        <w:rPr>
          <w:color w:val="000000" w:themeColor="text1"/>
          <w:sz w:val="28"/>
          <w:szCs w:val="28"/>
          <w:lang w:val="uk-UA"/>
        </w:rPr>
        <w:t>43</w:t>
      </w:r>
      <w:r w:rsidRPr="00332009">
        <w:rPr>
          <w:color w:val="000000" w:themeColor="text1"/>
          <w:sz w:val="28"/>
          <w:szCs w:val="28"/>
          <w:lang w:val="uk-UA"/>
        </w:rPr>
        <w:t xml:space="preserve"> сесії міської ради</w:t>
      </w:r>
      <w:r w:rsidR="00CF413D" w:rsidRPr="00332009">
        <w:rPr>
          <w:color w:val="000000" w:themeColor="text1"/>
          <w:sz w:val="28"/>
          <w:szCs w:val="28"/>
          <w:lang w:val="uk-UA"/>
        </w:rPr>
        <w:t xml:space="preserve"> 7 скликання №657</w:t>
      </w:r>
      <w:r w:rsidRPr="00332009">
        <w:rPr>
          <w:color w:val="000000" w:themeColor="text1"/>
          <w:sz w:val="28"/>
          <w:szCs w:val="28"/>
          <w:lang w:val="uk-UA"/>
        </w:rPr>
        <w:t xml:space="preserve"> від </w:t>
      </w:r>
      <w:r w:rsidR="00CF413D" w:rsidRPr="00332009">
        <w:rPr>
          <w:color w:val="000000" w:themeColor="text1"/>
          <w:sz w:val="28"/>
          <w:szCs w:val="28"/>
          <w:lang w:val="uk-UA"/>
        </w:rPr>
        <w:t>09 листопада</w:t>
      </w:r>
      <w:r w:rsidRPr="00332009">
        <w:rPr>
          <w:color w:val="000000" w:themeColor="text1"/>
          <w:sz w:val="28"/>
          <w:szCs w:val="28"/>
          <w:lang w:val="uk-UA"/>
        </w:rPr>
        <w:t xml:space="preserve"> 201</w:t>
      </w:r>
      <w:r w:rsidR="00CF413D" w:rsidRPr="00332009">
        <w:rPr>
          <w:color w:val="000000" w:themeColor="text1"/>
          <w:sz w:val="28"/>
          <w:szCs w:val="28"/>
          <w:lang w:val="uk-UA"/>
        </w:rPr>
        <w:t>8</w:t>
      </w:r>
      <w:r w:rsidRPr="00332009">
        <w:rPr>
          <w:color w:val="000000" w:themeColor="text1"/>
          <w:sz w:val="28"/>
          <w:szCs w:val="28"/>
          <w:lang w:val="uk-UA"/>
        </w:rPr>
        <w:t xml:space="preserve"> року, а саме:</w:t>
      </w:r>
    </w:p>
    <w:p w:rsidR="007B677C" w:rsidRDefault="003C70A7" w:rsidP="00C7129D">
      <w:pPr>
        <w:spacing w:after="120"/>
        <w:ind w:right="25" w:firstLine="708"/>
        <w:jc w:val="both"/>
        <w:rPr>
          <w:color w:val="000000" w:themeColor="text1"/>
          <w:sz w:val="28"/>
          <w:szCs w:val="28"/>
          <w:lang w:val="uk-UA"/>
        </w:rPr>
      </w:pPr>
      <w:r w:rsidRPr="00332009">
        <w:rPr>
          <w:color w:val="000000" w:themeColor="text1"/>
          <w:sz w:val="28"/>
          <w:szCs w:val="28"/>
          <w:lang w:val="uk-UA"/>
        </w:rPr>
        <w:t xml:space="preserve">1) У </w:t>
      </w:r>
      <w:r w:rsidR="004B7B16" w:rsidRPr="00332009">
        <w:rPr>
          <w:color w:val="000000" w:themeColor="text1"/>
          <w:sz w:val="28"/>
          <w:szCs w:val="28"/>
          <w:lang w:val="uk-UA"/>
        </w:rPr>
        <w:t>д</w:t>
      </w:r>
      <w:r w:rsidRPr="00332009">
        <w:rPr>
          <w:color w:val="000000" w:themeColor="text1"/>
          <w:sz w:val="28"/>
          <w:szCs w:val="28"/>
          <w:lang w:val="uk-UA"/>
        </w:rPr>
        <w:t xml:space="preserve">одатку </w:t>
      </w:r>
      <w:r w:rsidR="00F1377E" w:rsidRPr="00332009">
        <w:rPr>
          <w:color w:val="000000" w:themeColor="text1"/>
          <w:sz w:val="28"/>
          <w:szCs w:val="28"/>
          <w:lang w:val="uk-UA"/>
        </w:rPr>
        <w:t>2 до програми “Напрями діяльності та заходи Програми залучення інвестицій у місто до 2020 року”</w:t>
      </w:r>
      <w:r w:rsidRPr="00332009">
        <w:rPr>
          <w:color w:val="000000" w:themeColor="text1"/>
          <w:sz w:val="28"/>
          <w:szCs w:val="28"/>
          <w:lang w:val="uk-UA"/>
        </w:rPr>
        <w:t xml:space="preserve"> (нова редакція)</w:t>
      </w:r>
      <w:r w:rsidR="00F1377E" w:rsidRPr="00332009">
        <w:rPr>
          <w:color w:val="000000" w:themeColor="text1"/>
          <w:sz w:val="28"/>
          <w:szCs w:val="28"/>
          <w:lang w:val="uk-UA"/>
        </w:rPr>
        <w:t xml:space="preserve"> </w:t>
      </w:r>
      <w:r w:rsidRPr="00332009">
        <w:rPr>
          <w:color w:val="000000" w:themeColor="text1"/>
          <w:sz w:val="28"/>
          <w:szCs w:val="28"/>
          <w:lang w:val="uk-UA"/>
        </w:rPr>
        <w:t xml:space="preserve">п.п.2.6  </w:t>
      </w:r>
      <w:r w:rsidR="00F1377E" w:rsidRPr="00332009">
        <w:rPr>
          <w:color w:val="000000" w:themeColor="text1"/>
          <w:sz w:val="28"/>
          <w:szCs w:val="28"/>
          <w:lang w:val="uk-UA"/>
        </w:rPr>
        <w:t>пункт</w:t>
      </w:r>
      <w:r w:rsidRPr="00332009">
        <w:rPr>
          <w:color w:val="000000" w:themeColor="text1"/>
          <w:sz w:val="28"/>
          <w:szCs w:val="28"/>
          <w:lang w:val="uk-UA"/>
        </w:rPr>
        <w:t>у</w:t>
      </w:r>
      <w:r w:rsidR="00F1377E" w:rsidRPr="00332009">
        <w:rPr>
          <w:color w:val="000000" w:themeColor="text1"/>
          <w:sz w:val="28"/>
          <w:szCs w:val="28"/>
          <w:lang w:val="uk-UA"/>
        </w:rPr>
        <w:t xml:space="preserve"> 2.7. викласти у новій редакції</w:t>
      </w:r>
    </w:p>
    <w:p w:rsidR="00F1377E" w:rsidRPr="00332009" w:rsidRDefault="003C70A7" w:rsidP="00C7129D">
      <w:pPr>
        <w:spacing w:after="120"/>
        <w:ind w:right="25" w:firstLine="708"/>
        <w:jc w:val="both"/>
        <w:rPr>
          <w:color w:val="000000" w:themeColor="text1"/>
          <w:sz w:val="28"/>
          <w:szCs w:val="28"/>
          <w:lang w:val="uk-UA"/>
        </w:rPr>
      </w:pPr>
      <w:r w:rsidRPr="00332009">
        <w:rPr>
          <w:color w:val="000000" w:themeColor="text1"/>
          <w:sz w:val="28"/>
          <w:szCs w:val="28"/>
          <w:lang w:val="uk-UA"/>
        </w:rPr>
        <w:t xml:space="preserve"> “</w:t>
      </w:r>
      <w:r w:rsidR="00332009" w:rsidRPr="00332009">
        <w:rPr>
          <w:color w:val="000000" w:themeColor="text1"/>
          <w:sz w:val="28"/>
          <w:szCs w:val="28"/>
          <w:lang w:val="uk-UA"/>
        </w:rPr>
        <w:t>Виконання стратегічної екологічної оцінки при розроблен</w:t>
      </w:r>
      <w:r w:rsidR="008906BA">
        <w:rPr>
          <w:color w:val="000000" w:themeColor="text1"/>
          <w:sz w:val="28"/>
          <w:szCs w:val="28"/>
          <w:lang w:val="uk-UA"/>
        </w:rPr>
        <w:t>н</w:t>
      </w:r>
      <w:r w:rsidR="00332009" w:rsidRPr="00332009">
        <w:rPr>
          <w:color w:val="000000" w:themeColor="text1"/>
          <w:sz w:val="28"/>
          <w:szCs w:val="28"/>
          <w:lang w:val="uk-UA"/>
        </w:rPr>
        <w:t>і проекту Генерального плану та плану зонування території міста Жмеринка, Вінницької області</w:t>
      </w:r>
      <w:r w:rsidRPr="00332009">
        <w:rPr>
          <w:color w:val="000000" w:themeColor="text1"/>
          <w:sz w:val="28"/>
          <w:szCs w:val="28"/>
          <w:lang w:val="uk-UA"/>
        </w:rPr>
        <w:t>”</w:t>
      </w:r>
      <w:r w:rsidR="00F1377E" w:rsidRPr="00332009">
        <w:rPr>
          <w:color w:val="000000" w:themeColor="text1"/>
          <w:sz w:val="28"/>
          <w:szCs w:val="28"/>
          <w:lang w:val="uk-UA"/>
        </w:rPr>
        <w:t xml:space="preserve"> </w:t>
      </w:r>
    </w:p>
    <w:p w:rsidR="00F1377E" w:rsidRPr="00332009" w:rsidRDefault="00F1377E" w:rsidP="00C7129D">
      <w:pPr>
        <w:spacing w:after="120"/>
        <w:ind w:right="25" w:firstLine="709"/>
        <w:jc w:val="both"/>
        <w:rPr>
          <w:color w:val="000000"/>
          <w:sz w:val="28"/>
          <w:szCs w:val="28"/>
          <w:lang w:val="uk-UA"/>
        </w:rPr>
      </w:pPr>
      <w:r w:rsidRPr="00332009">
        <w:rPr>
          <w:color w:val="000000"/>
          <w:sz w:val="28"/>
          <w:szCs w:val="28"/>
          <w:lang w:val="uk-UA"/>
        </w:rPr>
        <w:t>2. Контроль за виконанням цього рішення покласти на постійну комісію міської ради з питань планування, фінансів, бюджету та соціально-економічного розвитку (Коновал А.Р.)</w:t>
      </w:r>
    </w:p>
    <w:p w:rsidR="00B74523" w:rsidRPr="00332009" w:rsidRDefault="00B74523" w:rsidP="00C7129D">
      <w:pPr>
        <w:spacing w:after="120"/>
        <w:jc w:val="both"/>
        <w:rPr>
          <w:color w:val="000000"/>
          <w:sz w:val="28"/>
          <w:szCs w:val="28"/>
          <w:lang w:val="uk-UA"/>
        </w:rPr>
      </w:pPr>
    </w:p>
    <w:p w:rsidR="00B74523" w:rsidRPr="00332009" w:rsidRDefault="00B74523" w:rsidP="008906BA">
      <w:pPr>
        <w:spacing w:after="100" w:afterAutospacing="1"/>
        <w:jc w:val="both"/>
        <w:rPr>
          <w:color w:val="000000"/>
          <w:sz w:val="28"/>
          <w:szCs w:val="28"/>
          <w:lang w:val="uk-UA"/>
        </w:rPr>
      </w:pPr>
    </w:p>
    <w:p w:rsidR="00B74523" w:rsidRPr="00332009" w:rsidRDefault="00B74523" w:rsidP="00F1377E">
      <w:pPr>
        <w:jc w:val="both"/>
        <w:rPr>
          <w:color w:val="000000"/>
          <w:sz w:val="28"/>
          <w:szCs w:val="28"/>
          <w:lang w:val="uk-UA"/>
        </w:rPr>
      </w:pPr>
    </w:p>
    <w:p w:rsidR="00F1377E" w:rsidRPr="00332009" w:rsidRDefault="00F1377E" w:rsidP="00F1377E">
      <w:pPr>
        <w:ind w:firstLine="708"/>
        <w:jc w:val="both"/>
        <w:rPr>
          <w:color w:val="000000"/>
          <w:sz w:val="28"/>
          <w:szCs w:val="28"/>
          <w:lang w:val="uk-UA"/>
        </w:rPr>
      </w:pPr>
    </w:p>
    <w:p w:rsidR="00F1377E" w:rsidRPr="00332009" w:rsidRDefault="00F1377E" w:rsidP="00F1377E">
      <w:pPr>
        <w:ind w:firstLine="708"/>
        <w:jc w:val="both"/>
        <w:rPr>
          <w:color w:val="000000"/>
          <w:sz w:val="28"/>
          <w:szCs w:val="28"/>
          <w:lang w:val="uk-UA"/>
        </w:rPr>
      </w:pPr>
      <w:r w:rsidRPr="00332009">
        <w:rPr>
          <w:color w:val="000000"/>
          <w:sz w:val="28"/>
          <w:szCs w:val="28"/>
          <w:lang w:val="uk-UA"/>
        </w:rPr>
        <w:t>Секретар міської ради</w:t>
      </w:r>
      <w:r w:rsidRPr="00332009">
        <w:rPr>
          <w:color w:val="000000"/>
          <w:sz w:val="28"/>
          <w:szCs w:val="28"/>
          <w:lang w:val="uk-UA"/>
        </w:rPr>
        <w:tab/>
      </w:r>
      <w:r w:rsidRPr="00332009">
        <w:rPr>
          <w:color w:val="000000"/>
          <w:sz w:val="28"/>
          <w:szCs w:val="28"/>
          <w:lang w:val="uk-UA"/>
        </w:rPr>
        <w:tab/>
      </w:r>
      <w:r w:rsidRPr="00332009">
        <w:rPr>
          <w:color w:val="000000"/>
          <w:sz w:val="28"/>
          <w:szCs w:val="28"/>
          <w:lang w:val="uk-UA"/>
        </w:rPr>
        <w:tab/>
      </w:r>
      <w:r w:rsidRPr="00332009">
        <w:rPr>
          <w:color w:val="000000"/>
          <w:sz w:val="28"/>
          <w:szCs w:val="28"/>
          <w:lang w:val="uk-UA"/>
        </w:rPr>
        <w:tab/>
      </w:r>
      <w:r w:rsidRPr="00332009">
        <w:rPr>
          <w:color w:val="000000"/>
          <w:sz w:val="28"/>
          <w:szCs w:val="28"/>
          <w:lang w:val="uk-UA"/>
        </w:rPr>
        <w:tab/>
      </w:r>
      <w:r w:rsidRPr="00332009">
        <w:rPr>
          <w:color w:val="000000"/>
          <w:sz w:val="28"/>
          <w:szCs w:val="28"/>
          <w:lang w:val="uk-UA"/>
        </w:rPr>
        <w:tab/>
        <w:t>Ю. Світлак</w:t>
      </w:r>
    </w:p>
    <w:p w:rsidR="00E27007" w:rsidRPr="00332009" w:rsidRDefault="00E27007" w:rsidP="00F1377E">
      <w:pPr>
        <w:rPr>
          <w:lang w:val="uk-UA"/>
        </w:rPr>
      </w:pPr>
    </w:p>
    <w:p w:rsidR="00E27007" w:rsidRPr="00332009" w:rsidRDefault="00E27007" w:rsidP="00F1377E">
      <w:pPr>
        <w:rPr>
          <w:lang w:val="uk-UA"/>
        </w:rPr>
      </w:pPr>
    </w:p>
    <w:p w:rsidR="00E27007" w:rsidRPr="00332009" w:rsidRDefault="00E27007" w:rsidP="00F1377E">
      <w:pPr>
        <w:rPr>
          <w:lang w:val="uk-UA"/>
        </w:rPr>
      </w:pPr>
    </w:p>
    <w:p w:rsidR="00E27007" w:rsidRPr="00332009" w:rsidRDefault="00E27007" w:rsidP="00F1377E">
      <w:pPr>
        <w:rPr>
          <w:lang w:val="uk-UA"/>
        </w:rPr>
      </w:pPr>
    </w:p>
    <w:p w:rsidR="00E27007" w:rsidRPr="00332009" w:rsidRDefault="00E27007" w:rsidP="00F1377E">
      <w:pPr>
        <w:rPr>
          <w:lang w:val="uk-UA"/>
        </w:rPr>
      </w:pPr>
    </w:p>
    <w:p w:rsidR="00E27007" w:rsidRPr="00332009" w:rsidRDefault="00E27007" w:rsidP="00F1377E">
      <w:pPr>
        <w:rPr>
          <w:lang w:val="uk-UA"/>
        </w:rPr>
      </w:pPr>
    </w:p>
    <w:p w:rsidR="005E75F1" w:rsidRPr="00332009" w:rsidRDefault="00E27007" w:rsidP="005E75F1">
      <w:pPr>
        <w:ind w:left="5664" w:firstLine="6"/>
        <w:rPr>
          <w:sz w:val="24"/>
          <w:szCs w:val="24"/>
          <w:lang w:val="uk-UA"/>
        </w:rPr>
      </w:pPr>
      <w:r w:rsidRPr="00332009">
        <w:rPr>
          <w:sz w:val="24"/>
          <w:szCs w:val="24"/>
          <w:lang w:val="uk-UA"/>
        </w:rPr>
        <w:t>Додаток №1</w:t>
      </w:r>
      <w:r w:rsidR="005E75F1" w:rsidRPr="00332009">
        <w:rPr>
          <w:sz w:val="24"/>
          <w:szCs w:val="24"/>
          <w:lang w:val="uk-UA"/>
        </w:rPr>
        <w:t xml:space="preserve"> </w:t>
      </w:r>
    </w:p>
    <w:p w:rsidR="002E7CAC" w:rsidRDefault="002E7CAC" w:rsidP="005E75F1">
      <w:pPr>
        <w:ind w:left="5664"/>
        <w:rPr>
          <w:sz w:val="24"/>
          <w:szCs w:val="24"/>
          <w:lang w:val="uk-UA"/>
        </w:rPr>
      </w:pPr>
      <w:r>
        <w:rPr>
          <w:sz w:val="24"/>
          <w:szCs w:val="24"/>
          <w:lang w:val="uk-UA"/>
        </w:rPr>
        <w:t>до рішення 45 сесії 7 скликання</w:t>
      </w:r>
    </w:p>
    <w:p w:rsidR="00E27007" w:rsidRPr="00332009" w:rsidRDefault="002E7CAC" w:rsidP="005E75F1">
      <w:pPr>
        <w:ind w:left="5664"/>
        <w:rPr>
          <w:sz w:val="24"/>
          <w:szCs w:val="24"/>
          <w:lang w:val="uk-UA"/>
        </w:rPr>
      </w:pPr>
      <w:r>
        <w:rPr>
          <w:sz w:val="24"/>
          <w:szCs w:val="24"/>
          <w:lang w:val="uk-UA"/>
        </w:rPr>
        <w:t xml:space="preserve"> № 715</w:t>
      </w:r>
      <w:r w:rsidR="005E75F1" w:rsidRPr="00332009">
        <w:rPr>
          <w:sz w:val="24"/>
          <w:szCs w:val="24"/>
          <w:lang w:val="uk-UA"/>
        </w:rPr>
        <w:t xml:space="preserve"> від </w:t>
      </w:r>
      <w:r>
        <w:rPr>
          <w:sz w:val="24"/>
          <w:szCs w:val="24"/>
          <w:lang w:val="uk-UA"/>
        </w:rPr>
        <w:t>21 лютого</w:t>
      </w:r>
      <w:r w:rsidR="005E75F1" w:rsidRPr="00332009">
        <w:rPr>
          <w:sz w:val="24"/>
          <w:szCs w:val="24"/>
          <w:lang w:val="uk-UA"/>
        </w:rPr>
        <w:t xml:space="preserve"> 201</w:t>
      </w:r>
      <w:r w:rsidR="00A05206">
        <w:rPr>
          <w:sz w:val="24"/>
          <w:szCs w:val="24"/>
          <w:lang w:val="uk-UA"/>
        </w:rPr>
        <w:t>9</w:t>
      </w:r>
      <w:r w:rsidR="005E75F1" w:rsidRPr="00332009">
        <w:rPr>
          <w:sz w:val="24"/>
          <w:szCs w:val="24"/>
          <w:lang w:val="uk-UA"/>
        </w:rPr>
        <w:t xml:space="preserve"> року</w:t>
      </w:r>
    </w:p>
    <w:p w:rsidR="00E27007" w:rsidRPr="00332009" w:rsidRDefault="005E75F1" w:rsidP="005E75F1">
      <w:pPr>
        <w:tabs>
          <w:tab w:val="left" w:pos="6813"/>
        </w:tabs>
        <w:ind w:left="6096" w:firstLine="6"/>
        <w:rPr>
          <w:sz w:val="24"/>
          <w:szCs w:val="24"/>
          <w:lang w:val="uk-UA"/>
        </w:rPr>
      </w:pPr>
      <w:r w:rsidRPr="00332009">
        <w:rPr>
          <w:sz w:val="24"/>
          <w:szCs w:val="24"/>
          <w:lang w:val="uk-UA"/>
        </w:rPr>
        <w:tab/>
      </w:r>
    </w:p>
    <w:p w:rsidR="00E27007" w:rsidRPr="00332009" w:rsidRDefault="00E27007" w:rsidP="00E27007">
      <w:pPr>
        <w:jc w:val="right"/>
        <w:rPr>
          <w:b/>
          <w:lang w:val="uk-UA"/>
        </w:rPr>
      </w:pPr>
    </w:p>
    <w:p w:rsidR="00E27007" w:rsidRPr="00332009" w:rsidRDefault="00E27007" w:rsidP="00E27007">
      <w:pPr>
        <w:jc w:val="center"/>
        <w:rPr>
          <w:b/>
          <w:sz w:val="22"/>
          <w:szCs w:val="22"/>
          <w:lang w:val="uk-UA"/>
        </w:rPr>
      </w:pPr>
      <w:r w:rsidRPr="00332009">
        <w:rPr>
          <w:b/>
          <w:sz w:val="22"/>
          <w:szCs w:val="22"/>
          <w:lang w:val="uk-UA"/>
        </w:rPr>
        <w:t xml:space="preserve">Ресурсне забезпечення міської  </w:t>
      </w:r>
    </w:p>
    <w:p w:rsidR="00E27007" w:rsidRPr="00332009" w:rsidRDefault="00E27007" w:rsidP="00E27007">
      <w:pPr>
        <w:jc w:val="center"/>
        <w:rPr>
          <w:sz w:val="22"/>
          <w:szCs w:val="22"/>
          <w:lang w:val="uk-UA"/>
        </w:rPr>
      </w:pPr>
      <w:r w:rsidRPr="00332009">
        <w:rPr>
          <w:b/>
          <w:sz w:val="22"/>
          <w:szCs w:val="22"/>
          <w:lang w:val="uk-UA"/>
        </w:rPr>
        <w:t>Програм</w:t>
      </w:r>
      <w:r w:rsidR="00501E36" w:rsidRPr="00332009">
        <w:rPr>
          <w:b/>
          <w:sz w:val="22"/>
          <w:szCs w:val="22"/>
          <w:lang w:val="uk-UA"/>
        </w:rPr>
        <w:t>и</w:t>
      </w:r>
      <w:r w:rsidRPr="00332009">
        <w:rPr>
          <w:b/>
          <w:bCs/>
          <w:sz w:val="22"/>
          <w:szCs w:val="22"/>
          <w:lang w:val="uk-UA"/>
        </w:rPr>
        <w:t xml:space="preserve"> залучення інвестицій у місто до 2020 року</w:t>
      </w:r>
    </w:p>
    <w:p w:rsidR="00E27007" w:rsidRPr="00332009" w:rsidRDefault="00E27007" w:rsidP="00E27007">
      <w:pPr>
        <w:jc w:val="right"/>
        <w:rPr>
          <w:b/>
          <w:lang w:val="uk-UA"/>
        </w:rPr>
      </w:pPr>
      <w:r w:rsidRPr="00332009">
        <w:rPr>
          <w:lang w:val="uk-UA"/>
        </w:rPr>
        <w:t xml:space="preserve">                                                                                                                           </w:t>
      </w:r>
    </w:p>
    <w:p w:rsidR="00E27007" w:rsidRPr="00332009" w:rsidRDefault="00E27007" w:rsidP="00E27007">
      <w:pPr>
        <w:jc w:val="right"/>
        <w:rPr>
          <w:b/>
          <w:lang w:val="uk-UA"/>
        </w:rPr>
      </w:pPr>
      <w:r w:rsidRPr="00332009">
        <w:rPr>
          <w:b/>
          <w:lang w:val="uk-UA"/>
        </w:rPr>
        <w:t>тис.грн.</w:t>
      </w:r>
    </w:p>
    <w:p w:rsidR="00E27007" w:rsidRPr="00332009" w:rsidRDefault="00E27007" w:rsidP="00E27007">
      <w:pPr>
        <w:jc w:val="right"/>
        <w:rPr>
          <w:b/>
          <w:sz w:val="16"/>
          <w:szCs w:val="16"/>
          <w:lang w:val="uk-UA"/>
        </w:rPr>
      </w:pPr>
    </w:p>
    <w:tbl>
      <w:tblPr>
        <w:tblW w:w="10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715"/>
        <w:gridCol w:w="1559"/>
        <w:gridCol w:w="1104"/>
        <w:gridCol w:w="1306"/>
        <w:gridCol w:w="1306"/>
        <w:gridCol w:w="1238"/>
      </w:tblGrid>
      <w:tr w:rsidR="00E27007" w:rsidRPr="00332009" w:rsidTr="00694B7A">
        <w:trPr>
          <w:trHeight w:val="454"/>
        </w:trPr>
        <w:tc>
          <w:tcPr>
            <w:tcW w:w="2113" w:type="dxa"/>
            <w:vMerge w:val="restart"/>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Обсяг коштів, які пропонується залучити на виконання програми</w:t>
            </w:r>
          </w:p>
        </w:tc>
        <w:tc>
          <w:tcPr>
            <w:tcW w:w="6990" w:type="dxa"/>
            <w:gridSpan w:val="5"/>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І етап виконання програми</w:t>
            </w:r>
          </w:p>
        </w:tc>
        <w:tc>
          <w:tcPr>
            <w:tcW w:w="1238" w:type="dxa"/>
            <w:vMerge w:val="restart"/>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Всього витрат на виконання програми</w:t>
            </w:r>
          </w:p>
        </w:tc>
      </w:tr>
      <w:tr w:rsidR="00E27007" w:rsidRPr="00332009" w:rsidTr="00694B7A">
        <w:trPr>
          <w:trHeight w:val="1032"/>
        </w:trPr>
        <w:tc>
          <w:tcPr>
            <w:tcW w:w="2113" w:type="dxa"/>
            <w:vMerge/>
          </w:tcPr>
          <w:p w:rsidR="00E27007" w:rsidRPr="00332009" w:rsidRDefault="00E27007" w:rsidP="00694B7A">
            <w:pPr>
              <w:pStyle w:val="HTML"/>
              <w:jc w:val="center"/>
              <w:rPr>
                <w:rFonts w:ascii="Times New Roman" w:hAnsi="Times New Roman" w:cs="Times New Roman"/>
                <w:b/>
              </w:rPr>
            </w:pPr>
          </w:p>
        </w:tc>
        <w:tc>
          <w:tcPr>
            <w:tcW w:w="1715" w:type="dxa"/>
          </w:tcPr>
          <w:p w:rsidR="00E27007" w:rsidRPr="00332009" w:rsidRDefault="00E27007" w:rsidP="00694B7A">
            <w:pPr>
              <w:pStyle w:val="HTML"/>
              <w:tabs>
                <w:tab w:val="clear" w:pos="2748"/>
                <w:tab w:val="left" w:pos="3024"/>
              </w:tabs>
              <w:rPr>
                <w:rFonts w:ascii="Times New Roman" w:hAnsi="Times New Roman" w:cs="Times New Roman"/>
                <w:b/>
              </w:rPr>
            </w:pPr>
            <w:r w:rsidRPr="00332009">
              <w:rPr>
                <w:rFonts w:ascii="Times New Roman" w:hAnsi="Times New Roman" w:cs="Times New Roman"/>
                <w:b/>
              </w:rPr>
              <w:t>2016 рік</w:t>
            </w:r>
          </w:p>
        </w:tc>
        <w:tc>
          <w:tcPr>
            <w:tcW w:w="1559" w:type="dxa"/>
          </w:tcPr>
          <w:p w:rsidR="00E27007" w:rsidRPr="00332009" w:rsidRDefault="00E27007" w:rsidP="00694B7A">
            <w:pPr>
              <w:pStyle w:val="HTML"/>
              <w:rPr>
                <w:rFonts w:ascii="Times New Roman" w:hAnsi="Times New Roman" w:cs="Times New Roman"/>
                <w:b/>
              </w:rPr>
            </w:pPr>
            <w:r w:rsidRPr="00332009">
              <w:rPr>
                <w:rFonts w:ascii="Times New Roman" w:hAnsi="Times New Roman" w:cs="Times New Roman"/>
                <w:b/>
              </w:rPr>
              <w:t>2017 рік</w:t>
            </w:r>
          </w:p>
        </w:tc>
        <w:tc>
          <w:tcPr>
            <w:tcW w:w="1104" w:type="dxa"/>
          </w:tcPr>
          <w:p w:rsidR="002D61CA" w:rsidRPr="00332009" w:rsidRDefault="00E27007" w:rsidP="00694B7A">
            <w:pPr>
              <w:pStyle w:val="HTML"/>
              <w:rPr>
                <w:rFonts w:ascii="Times New Roman" w:hAnsi="Times New Roman" w:cs="Times New Roman"/>
                <w:b/>
              </w:rPr>
            </w:pPr>
            <w:r w:rsidRPr="00332009">
              <w:rPr>
                <w:rFonts w:ascii="Times New Roman" w:hAnsi="Times New Roman" w:cs="Times New Roman"/>
                <w:b/>
              </w:rPr>
              <w:t xml:space="preserve">2018 </w:t>
            </w:r>
          </w:p>
          <w:p w:rsidR="00E27007" w:rsidRPr="00332009" w:rsidRDefault="00E27007" w:rsidP="00694B7A">
            <w:pPr>
              <w:pStyle w:val="HTML"/>
              <w:rPr>
                <w:rFonts w:ascii="Times New Roman" w:hAnsi="Times New Roman" w:cs="Times New Roman"/>
                <w:b/>
              </w:rPr>
            </w:pPr>
            <w:r w:rsidRPr="00332009">
              <w:rPr>
                <w:rFonts w:ascii="Times New Roman" w:hAnsi="Times New Roman" w:cs="Times New Roman"/>
                <w:b/>
              </w:rPr>
              <w:t>рік</w:t>
            </w:r>
          </w:p>
        </w:tc>
        <w:tc>
          <w:tcPr>
            <w:tcW w:w="1306" w:type="dxa"/>
          </w:tcPr>
          <w:p w:rsidR="00E27007" w:rsidRPr="00332009" w:rsidRDefault="00E27007" w:rsidP="00694B7A">
            <w:pPr>
              <w:pStyle w:val="HTML"/>
              <w:tabs>
                <w:tab w:val="clear" w:pos="4580"/>
                <w:tab w:val="left" w:pos="4957"/>
              </w:tabs>
              <w:rPr>
                <w:rFonts w:ascii="Times New Roman" w:hAnsi="Times New Roman" w:cs="Times New Roman"/>
                <w:b/>
              </w:rPr>
            </w:pPr>
            <w:r w:rsidRPr="00332009">
              <w:rPr>
                <w:rFonts w:ascii="Times New Roman" w:hAnsi="Times New Roman" w:cs="Times New Roman"/>
                <w:b/>
              </w:rPr>
              <w:t>2019 рік</w:t>
            </w:r>
          </w:p>
        </w:tc>
        <w:tc>
          <w:tcPr>
            <w:tcW w:w="1306" w:type="dxa"/>
          </w:tcPr>
          <w:p w:rsidR="00E27007" w:rsidRPr="00332009" w:rsidRDefault="00E27007" w:rsidP="00694B7A">
            <w:pPr>
              <w:pStyle w:val="HTML"/>
              <w:rPr>
                <w:rFonts w:ascii="Times New Roman" w:hAnsi="Times New Roman" w:cs="Times New Roman"/>
                <w:b/>
              </w:rPr>
            </w:pPr>
            <w:r w:rsidRPr="00332009">
              <w:rPr>
                <w:rFonts w:ascii="Times New Roman" w:hAnsi="Times New Roman" w:cs="Times New Roman"/>
                <w:b/>
              </w:rPr>
              <w:t>2020 рік</w:t>
            </w:r>
          </w:p>
        </w:tc>
        <w:tc>
          <w:tcPr>
            <w:tcW w:w="1238" w:type="dxa"/>
            <w:vMerge/>
          </w:tcPr>
          <w:p w:rsidR="00E27007" w:rsidRPr="00332009" w:rsidRDefault="00E27007" w:rsidP="00694B7A">
            <w:pPr>
              <w:pStyle w:val="HTML"/>
              <w:jc w:val="center"/>
              <w:rPr>
                <w:rFonts w:ascii="Times New Roman" w:hAnsi="Times New Roman" w:cs="Times New Roman"/>
                <w:b/>
              </w:rPr>
            </w:pPr>
          </w:p>
        </w:tc>
      </w:tr>
      <w:tr w:rsidR="00E27007" w:rsidRPr="00332009" w:rsidTr="00694B7A">
        <w:trPr>
          <w:trHeight w:val="380"/>
        </w:trPr>
        <w:tc>
          <w:tcPr>
            <w:tcW w:w="2113" w:type="dxa"/>
          </w:tcPr>
          <w:p w:rsidR="00E27007" w:rsidRPr="00332009" w:rsidRDefault="00E27007" w:rsidP="00694B7A">
            <w:pPr>
              <w:pStyle w:val="HTML"/>
              <w:jc w:val="center"/>
              <w:rPr>
                <w:rFonts w:ascii="Times New Roman" w:hAnsi="Times New Roman" w:cs="Times New Roman"/>
                <w:b/>
                <w:i/>
              </w:rPr>
            </w:pPr>
            <w:r w:rsidRPr="00332009">
              <w:rPr>
                <w:rFonts w:ascii="Times New Roman" w:hAnsi="Times New Roman" w:cs="Times New Roman"/>
                <w:b/>
                <w:i/>
              </w:rPr>
              <w:t>1</w:t>
            </w:r>
          </w:p>
        </w:tc>
        <w:tc>
          <w:tcPr>
            <w:tcW w:w="1715" w:type="dxa"/>
          </w:tcPr>
          <w:p w:rsidR="00E27007" w:rsidRPr="00332009" w:rsidRDefault="00E27007" w:rsidP="00694B7A">
            <w:pPr>
              <w:pStyle w:val="HTML"/>
              <w:jc w:val="center"/>
              <w:rPr>
                <w:rFonts w:ascii="Times New Roman" w:hAnsi="Times New Roman" w:cs="Times New Roman"/>
                <w:b/>
                <w:i/>
              </w:rPr>
            </w:pPr>
            <w:r w:rsidRPr="00332009">
              <w:rPr>
                <w:rFonts w:ascii="Times New Roman" w:hAnsi="Times New Roman" w:cs="Times New Roman"/>
                <w:b/>
                <w:i/>
              </w:rPr>
              <w:t>2</w:t>
            </w:r>
          </w:p>
        </w:tc>
        <w:tc>
          <w:tcPr>
            <w:tcW w:w="1559" w:type="dxa"/>
          </w:tcPr>
          <w:p w:rsidR="00E27007" w:rsidRPr="00332009" w:rsidRDefault="00E27007" w:rsidP="00694B7A">
            <w:pPr>
              <w:pStyle w:val="HTML"/>
              <w:jc w:val="center"/>
              <w:rPr>
                <w:rFonts w:ascii="Times New Roman" w:hAnsi="Times New Roman" w:cs="Times New Roman"/>
                <w:b/>
                <w:i/>
              </w:rPr>
            </w:pPr>
            <w:r w:rsidRPr="00332009">
              <w:rPr>
                <w:rFonts w:ascii="Times New Roman" w:hAnsi="Times New Roman" w:cs="Times New Roman"/>
                <w:b/>
                <w:i/>
              </w:rPr>
              <w:t>3</w:t>
            </w:r>
          </w:p>
        </w:tc>
        <w:tc>
          <w:tcPr>
            <w:tcW w:w="1104" w:type="dxa"/>
          </w:tcPr>
          <w:p w:rsidR="00E27007" w:rsidRPr="00332009" w:rsidRDefault="00E27007" w:rsidP="00694B7A">
            <w:pPr>
              <w:pStyle w:val="HTML"/>
              <w:jc w:val="center"/>
              <w:rPr>
                <w:rFonts w:ascii="Times New Roman" w:hAnsi="Times New Roman" w:cs="Times New Roman"/>
                <w:b/>
                <w:i/>
              </w:rPr>
            </w:pPr>
            <w:r w:rsidRPr="00332009">
              <w:rPr>
                <w:rFonts w:ascii="Times New Roman" w:hAnsi="Times New Roman" w:cs="Times New Roman"/>
                <w:b/>
                <w:i/>
              </w:rPr>
              <w:t>4</w:t>
            </w:r>
          </w:p>
        </w:tc>
        <w:tc>
          <w:tcPr>
            <w:tcW w:w="1306" w:type="dxa"/>
          </w:tcPr>
          <w:p w:rsidR="00E27007" w:rsidRPr="00332009" w:rsidRDefault="00E27007" w:rsidP="00694B7A">
            <w:pPr>
              <w:pStyle w:val="HTML"/>
              <w:jc w:val="center"/>
              <w:rPr>
                <w:rFonts w:ascii="Times New Roman" w:hAnsi="Times New Roman" w:cs="Times New Roman"/>
                <w:b/>
                <w:i/>
              </w:rPr>
            </w:pPr>
          </w:p>
        </w:tc>
        <w:tc>
          <w:tcPr>
            <w:tcW w:w="1306" w:type="dxa"/>
          </w:tcPr>
          <w:p w:rsidR="00E27007" w:rsidRPr="00332009" w:rsidRDefault="00E27007" w:rsidP="00694B7A">
            <w:pPr>
              <w:pStyle w:val="HTML"/>
              <w:jc w:val="center"/>
              <w:rPr>
                <w:rFonts w:ascii="Times New Roman" w:hAnsi="Times New Roman" w:cs="Times New Roman"/>
                <w:b/>
                <w:i/>
              </w:rPr>
            </w:pPr>
          </w:p>
        </w:tc>
        <w:tc>
          <w:tcPr>
            <w:tcW w:w="1238" w:type="dxa"/>
          </w:tcPr>
          <w:p w:rsidR="00E27007" w:rsidRPr="00332009" w:rsidRDefault="00E27007" w:rsidP="00694B7A">
            <w:pPr>
              <w:pStyle w:val="HTML"/>
              <w:jc w:val="center"/>
              <w:rPr>
                <w:rFonts w:ascii="Times New Roman" w:hAnsi="Times New Roman" w:cs="Times New Roman"/>
                <w:b/>
                <w:i/>
              </w:rPr>
            </w:pPr>
            <w:r w:rsidRPr="00332009">
              <w:rPr>
                <w:rFonts w:ascii="Times New Roman" w:hAnsi="Times New Roman" w:cs="Times New Roman"/>
                <w:b/>
                <w:i/>
              </w:rPr>
              <w:t>7</w:t>
            </w:r>
          </w:p>
        </w:tc>
      </w:tr>
      <w:tr w:rsidR="00E27007" w:rsidRPr="00332009" w:rsidTr="00694B7A">
        <w:trPr>
          <w:trHeight w:val="681"/>
        </w:trPr>
        <w:tc>
          <w:tcPr>
            <w:tcW w:w="2113" w:type="dxa"/>
          </w:tcPr>
          <w:p w:rsidR="00E27007" w:rsidRPr="00332009" w:rsidRDefault="00E27007" w:rsidP="00694B7A">
            <w:pPr>
              <w:pStyle w:val="HTML"/>
              <w:jc w:val="center"/>
              <w:rPr>
                <w:rFonts w:ascii="Times New Roman" w:hAnsi="Times New Roman" w:cs="Times New Roman"/>
              </w:rPr>
            </w:pPr>
            <w:r w:rsidRPr="00332009">
              <w:rPr>
                <w:rFonts w:ascii="Times New Roman" w:hAnsi="Times New Roman" w:cs="Times New Roman"/>
              </w:rPr>
              <w:t>Обсяг ресурсів всього, в тому числі:</w:t>
            </w:r>
          </w:p>
        </w:tc>
        <w:tc>
          <w:tcPr>
            <w:tcW w:w="1715" w:type="dxa"/>
          </w:tcPr>
          <w:p w:rsidR="00E27007" w:rsidRPr="00332009" w:rsidRDefault="005E75F1" w:rsidP="00694B7A">
            <w:pPr>
              <w:pStyle w:val="HTML"/>
              <w:jc w:val="center"/>
              <w:rPr>
                <w:rFonts w:ascii="Times New Roman" w:hAnsi="Times New Roman" w:cs="Times New Roman"/>
                <w:b/>
                <w:i/>
              </w:rPr>
            </w:pPr>
            <w:r w:rsidRPr="00332009">
              <w:rPr>
                <w:rFonts w:ascii="Times New Roman" w:hAnsi="Times New Roman" w:cs="Times New Roman"/>
                <w:b/>
                <w:i/>
              </w:rPr>
              <w:t>768,2</w:t>
            </w:r>
          </w:p>
        </w:tc>
        <w:tc>
          <w:tcPr>
            <w:tcW w:w="1559" w:type="dxa"/>
          </w:tcPr>
          <w:p w:rsidR="00E27007" w:rsidRPr="00332009" w:rsidRDefault="00CF7DB0" w:rsidP="00694B7A">
            <w:pPr>
              <w:pStyle w:val="HTML"/>
              <w:jc w:val="center"/>
              <w:rPr>
                <w:rFonts w:ascii="Times New Roman" w:hAnsi="Times New Roman" w:cs="Times New Roman"/>
                <w:b/>
                <w:i/>
              </w:rPr>
            </w:pPr>
            <w:r w:rsidRPr="00332009">
              <w:rPr>
                <w:rFonts w:ascii="Times New Roman" w:hAnsi="Times New Roman" w:cs="Times New Roman"/>
                <w:b/>
                <w:i/>
              </w:rPr>
              <w:t>187,0</w:t>
            </w:r>
          </w:p>
        </w:tc>
        <w:tc>
          <w:tcPr>
            <w:tcW w:w="1104" w:type="dxa"/>
          </w:tcPr>
          <w:p w:rsidR="00E27007" w:rsidRPr="00332009" w:rsidRDefault="00CF7DB0" w:rsidP="00694B7A">
            <w:pPr>
              <w:pStyle w:val="HTML"/>
              <w:jc w:val="center"/>
              <w:rPr>
                <w:rFonts w:ascii="Times New Roman" w:hAnsi="Times New Roman" w:cs="Times New Roman"/>
                <w:b/>
                <w:i/>
              </w:rPr>
            </w:pPr>
            <w:r w:rsidRPr="00332009">
              <w:rPr>
                <w:rFonts w:ascii="Times New Roman" w:hAnsi="Times New Roman" w:cs="Times New Roman"/>
                <w:b/>
                <w:i/>
              </w:rPr>
              <w:t>645,0</w:t>
            </w:r>
          </w:p>
        </w:tc>
        <w:tc>
          <w:tcPr>
            <w:tcW w:w="1306" w:type="dxa"/>
          </w:tcPr>
          <w:p w:rsidR="00E27007" w:rsidRPr="00332009" w:rsidRDefault="00CF7DB0" w:rsidP="00694B7A">
            <w:pPr>
              <w:pStyle w:val="HTML"/>
              <w:jc w:val="center"/>
              <w:rPr>
                <w:rFonts w:ascii="Times New Roman" w:hAnsi="Times New Roman" w:cs="Times New Roman"/>
                <w:b/>
                <w:i/>
              </w:rPr>
            </w:pPr>
            <w:r w:rsidRPr="00332009">
              <w:rPr>
                <w:rFonts w:ascii="Times New Roman" w:hAnsi="Times New Roman" w:cs="Times New Roman"/>
                <w:b/>
                <w:i/>
              </w:rPr>
              <w:t>1412,0</w:t>
            </w:r>
          </w:p>
        </w:tc>
        <w:tc>
          <w:tcPr>
            <w:tcW w:w="1306" w:type="dxa"/>
          </w:tcPr>
          <w:p w:rsidR="00E27007" w:rsidRPr="00332009" w:rsidRDefault="00CF7DB0" w:rsidP="00694B7A">
            <w:pPr>
              <w:pStyle w:val="HTML"/>
              <w:jc w:val="center"/>
              <w:rPr>
                <w:rFonts w:ascii="Times New Roman" w:hAnsi="Times New Roman" w:cs="Times New Roman"/>
                <w:b/>
                <w:i/>
              </w:rPr>
            </w:pPr>
            <w:r w:rsidRPr="00332009">
              <w:rPr>
                <w:rFonts w:ascii="Times New Roman" w:hAnsi="Times New Roman" w:cs="Times New Roman"/>
                <w:b/>
                <w:i/>
              </w:rPr>
              <w:t>167,0</w:t>
            </w:r>
          </w:p>
        </w:tc>
        <w:tc>
          <w:tcPr>
            <w:tcW w:w="1238" w:type="dxa"/>
          </w:tcPr>
          <w:p w:rsidR="00E27007" w:rsidRPr="00332009" w:rsidRDefault="005E75F1" w:rsidP="00CF7DB0">
            <w:pPr>
              <w:pStyle w:val="HTML"/>
              <w:jc w:val="center"/>
              <w:rPr>
                <w:rFonts w:ascii="Times New Roman" w:hAnsi="Times New Roman" w:cs="Times New Roman"/>
                <w:b/>
                <w:i/>
              </w:rPr>
            </w:pPr>
            <w:r w:rsidRPr="00332009">
              <w:rPr>
                <w:rFonts w:ascii="Times New Roman" w:hAnsi="Times New Roman" w:cs="Times New Roman"/>
                <w:b/>
                <w:i/>
              </w:rPr>
              <w:t>31</w:t>
            </w:r>
            <w:r w:rsidR="00CF7DB0" w:rsidRPr="00332009">
              <w:rPr>
                <w:rFonts w:ascii="Times New Roman" w:hAnsi="Times New Roman" w:cs="Times New Roman"/>
                <w:b/>
                <w:i/>
              </w:rPr>
              <w:t>79,2</w:t>
            </w:r>
          </w:p>
        </w:tc>
      </w:tr>
      <w:tr w:rsidR="00E27007" w:rsidRPr="00332009" w:rsidTr="00694B7A">
        <w:trPr>
          <w:trHeight w:val="454"/>
        </w:trPr>
        <w:tc>
          <w:tcPr>
            <w:tcW w:w="2113" w:type="dxa"/>
          </w:tcPr>
          <w:p w:rsidR="00E27007" w:rsidRPr="00332009" w:rsidRDefault="00E27007" w:rsidP="00694B7A">
            <w:pPr>
              <w:pStyle w:val="HTML"/>
              <w:jc w:val="center"/>
              <w:rPr>
                <w:rFonts w:ascii="Times New Roman" w:hAnsi="Times New Roman" w:cs="Times New Roman"/>
              </w:rPr>
            </w:pPr>
            <w:r w:rsidRPr="00332009">
              <w:rPr>
                <w:rFonts w:ascii="Times New Roman" w:hAnsi="Times New Roman" w:cs="Times New Roman"/>
              </w:rPr>
              <w:t>державний бюджет</w:t>
            </w:r>
          </w:p>
        </w:tc>
        <w:tc>
          <w:tcPr>
            <w:tcW w:w="1715"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559"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104"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306"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306"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238"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r>
      <w:tr w:rsidR="00E27007" w:rsidRPr="00332009" w:rsidTr="00694B7A">
        <w:trPr>
          <w:trHeight w:val="454"/>
        </w:trPr>
        <w:tc>
          <w:tcPr>
            <w:tcW w:w="2113" w:type="dxa"/>
          </w:tcPr>
          <w:p w:rsidR="00E27007" w:rsidRPr="00332009" w:rsidRDefault="00E27007" w:rsidP="00694B7A">
            <w:pPr>
              <w:pStyle w:val="HTML"/>
              <w:jc w:val="center"/>
              <w:rPr>
                <w:rFonts w:ascii="Times New Roman" w:hAnsi="Times New Roman" w:cs="Times New Roman"/>
              </w:rPr>
            </w:pPr>
            <w:r w:rsidRPr="00332009">
              <w:rPr>
                <w:rFonts w:ascii="Times New Roman" w:hAnsi="Times New Roman" w:cs="Times New Roman"/>
              </w:rPr>
              <w:t>обласний бюджет</w:t>
            </w:r>
          </w:p>
        </w:tc>
        <w:tc>
          <w:tcPr>
            <w:tcW w:w="1715"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559"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104"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306"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306"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238"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r>
      <w:tr w:rsidR="00E27007" w:rsidRPr="00332009" w:rsidTr="00694B7A">
        <w:trPr>
          <w:trHeight w:val="454"/>
        </w:trPr>
        <w:tc>
          <w:tcPr>
            <w:tcW w:w="2113" w:type="dxa"/>
          </w:tcPr>
          <w:p w:rsidR="00E27007" w:rsidRPr="00332009" w:rsidRDefault="00E27007" w:rsidP="00694B7A">
            <w:pPr>
              <w:pStyle w:val="HTML"/>
              <w:jc w:val="center"/>
              <w:rPr>
                <w:rFonts w:ascii="Times New Roman" w:hAnsi="Times New Roman" w:cs="Times New Roman"/>
              </w:rPr>
            </w:pPr>
            <w:r w:rsidRPr="00332009">
              <w:rPr>
                <w:rFonts w:ascii="Times New Roman" w:hAnsi="Times New Roman" w:cs="Times New Roman"/>
              </w:rPr>
              <w:t>міський бюджет</w:t>
            </w:r>
          </w:p>
        </w:tc>
        <w:tc>
          <w:tcPr>
            <w:tcW w:w="1715" w:type="dxa"/>
          </w:tcPr>
          <w:p w:rsidR="00E27007" w:rsidRPr="00332009" w:rsidRDefault="005E75F1" w:rsidP="00694B7A">
            <w:pPr>
              <w:pStyle w:val="HTML"/>
              <w:jc w:val="center"/>
              <w:rPr>
                <w:rFonts w:ascii="Times New Roman" w:hAnsi="Times New Roman" w:cs="Times New Roman"/>
                <w:b/>
              </w:rPr>
            </w:pPr>
            <w:r w:rsidRPr="00332009">
              <w:rPr>
                <w:rFonts w:ascii="Times New Roman" w:hAnsi="Times New Roman" w:cs="Times New Roman"/>
                <w:b/>
              </w:rPr>
              <w:t>768,2</w:t>
            </w:r>
          </w:p>
        </w:tc>
        <w:tc>
          <w:tcPr>
            <w:tcW w:w="1559" w:type="dxa"/>
          </w:tcPr>
          <w:p w:rsidR="00E27007" w:rsidRPr="00332009" w:rsidRDefault="00CF7DB0" w:rsidP="00694B7A">
            <w:pPr>
              <w:pStyle w:val="HTML"/>
              <w:jc w:val="center"/>
              <w:rPr>
                <w:rFonts w:ascii="Times New Roman" w:hAnsi="Times New Roman" w:cs="Times New Roman"/>
                <w:b/>
              </w:rPr>
            </w:pPr>
            <w:r w:rsidRPr="00332009">
              <w:rPr>
                <w:rFonts w:ascii="Times New Roman" w:hAnsi="Times New Roman" w:cs="Times New Roman"/>
                <w:b/>
              </w:rPr>
              <w:t>187,0</w:t>
            </w:r>
          </w:p>
        </w:tc>
        <w:tc>
          <w:tcPr>
            <w:tcW w:w="1104" w:type="dxa"/>
          </w:tcPr>
          <w:p w:rsidR="00E27007" w:rsidRPr="00332009" w:rsidRDefault="00CF7DB0" w:rsidP="00694B7A">
            <w:pPr>
              <w:pStyle w:val="HTML"/>
              <w:jc w:val="center"/>
              <w:rPr>
                <w:rFonts w:ascii="Times New Roman" w:hAnsi="Times New Roman" w:cs="Times New Roman"/>
                <w:b/>
              </w:rPr>
            </w:pPr>
            <w:r w:rsidRPr="00332009">
              <w:rPr>
                <w:rFonts w:ascii="Times New Roman" w:hAnsi="Times New Roman" w:cs="Times New Roman"/>
                <w:b/>
              </w:rPr>
              <w:t>645,0</w:t>
            </w:r>
          </w:p>
        </w:tc>
        <w:tc>
          <w:tcPr>
            <w:tcW w:w="1306" w:type="dxa"/>
          </w:tcPr>
          <w:p w:rsidR="00E27007" w:rsidRPr="00332009" w:rsidRDefault="00CF7DB0" w:rsidP="00694B7A">
            <w:pPr>
              <w:pStyle w:val="HTML"/>
              <w:jc w:val="center"/>
              <w:rPr>
                <w:rFonts w:ascii="Times New Roman" w:hAnsi="Times New Roman" w:cs="Times New Roman"/>
                <w:b/>
              </w:rPr>
            </w:pPr>
            <w:r w:rsidRPr="00332009">
              <w:rPr>
                <w:rFonts w:ascii="Times New Roman" w:hAnsi="Times New Roman" w:cs="Times New Roman"/>
                <w:b/>
              </w:rPr>
              <w:t>1412,0</w:t>
            </w:r>
          </w:p>
        </w:tc>
        <w:tc>
          <w:tcPr>
            <w:tcW w:w="1306" w:type="dxa"/>
          </w:tcPr>
          <w:p w:rsidR="00E27007" w:rsidRPr="00332009" w:rsidRDefault="00CF7DB0" w:rsidP="00694B7A">
            <w:pPr>
              <w:pStyle w:val="HTML"/>
              <w:jc w:val="center"/>
              <w:rPr>
                <w:rFonts w:ascii="Times New Roman" w:hAnsi="Times New Roman" w:cs="Times New Roman"/>
                <w:b/>
              </w:rPr>
            </w:pPr>
            <w:r w:rsidRPr="00332009">
              <w:rPr>
                <w:rFonts w:ascii="Times New Roman" w:hAnsi="Times New Roman" w:cs="Times New Roman"/>
                <w:b/>
              </w:rPr>
              <w:t>167,0</w:t>
            </w:r>
          </w:p>
        </w:tc>
        <w:tc>
          <w:tcPr>
            <w:tcW w:w="1238" w:type="dxa"/>
          </w:tcPr>
          <w:p w:rsidR="00E27007" w:rsidRPr="00332009" w:rsidRDefault="005E75F1" w:rsidP="00CF7DB0">
            <w:pPr>
              <w:pStyle w:val="HTML"/>
              <w:jc w:val="center"/>
              <w:rPr>
                <w:rFonts w:ascii="Times New Roman" w:hAnsi="Times New Roman" w:cs="Times New Roman"/>
                <w:b/>
              </w:rPr>
            </w:pPr>
            <w:r w:rsidRPr="00332009">
              <w:rPr>
                <w:rFonts w:ascii="Times New Roman" w:hAnsi="Times New Roman" w:cs="Times New Roman"/>
                <w:b/>
              </w:rPr>
              <w:t>31</w:t>
            </w:r>
            <w:r w:rsidR="00CF7DB0" w:rsidRPr="00332009">
              <w:rPr>
                <w:rFonts w:ascii="Times New Roman" w:hAnsi="Times New Roman" w:cs="Times New Roman"/>
                <w:b/>
              </w:rPr>
              <w:t>79,2</w:t>
            </w:r>
          </w:p>
        </w:tc>
      </w:tr>
      <w:tr w:rsidR="00E27007" w:rsidRPr="00332009" w:rsidTr="00694B7A">
        <w:trPr>
          <w:trHeight w:val="454"/>
        </w:trPr>
        <w:tc>
          <w:tcPr>
            <w:tcW w:w="2113" w:type="dxa"/>
          </w:tcPr>
          <w:p w:rsidR="00E27007" w:rsidRPr="00332009" w:rsidRDefault="00E27007" w:rsidP="00694B7A">
            <w:pPr>
              <w:pStyle w:val="HTML"/>
              <w:jc w:val="center"/>
              <w:rPr>
                <w:rFonts w:ascii="Times New Roman" w:hAnsi="Times New Roman" w:cs="Times New Roman"/>
              </w:rPr>
            </w:pPr>
            <w:r w:rsidRPr="00332009">
              <w:rPr>
                <w:rFonts w:ascii="Times New Roman" w:hAnsi="Times New Roman" w:cs="Times New Roman"/>
              </w:rPr>
              <w:t>кошти не бюджетних джерел</w:t>
            </w:r>
          </w:p>
        </w:tc>
        <w:tc>
          <w:tcPr>
            <w:tcW w:w="1715"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559"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104"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306"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306"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c>
          <w:tcPr>
            <w:tcW w:w="1238" w:type="dxa"/>
          </w:tcPr>
          <w:p w:rsidR="00E27007" w:rsidRPr="00332009" w:rsidRDefault="00E27007" w:rsidP="00694B7A">
            <w:pPr>
              <w:pStyle w:val="HTML"/>
              <w:jc w:val="center"/>
              <w:rPr>
                <w:rFonts w:ascii="Times New Roman" w:hAnsi="Times New Roman" w:cs="Times New Roman"/>
                <w:b/>
              </w:rPr>
            </w:pPr>
            <w:r w:rsidRPr="00332009">
              <w:rPr>
                <w:rFonts w:ascii="Times New Roman" w:hAnsi="Times New Roman" w:cs="Times New Roman"/>
                <w:b/>
              </w:rPr>
              <w:t>-</w:t>
            </w:r>
          </w:p>
        </w:tc>
      </w:tr>
    </w:tbl>
    <w:p w:rsidR="00E27007" w:rsidRPr="00332009" w:rsidRDefault="00E27007" w:rsidP="00E27007">
      <w:pPr>
        <w:jc w:val="both"/>
        <w:rPr>
          <w:lang w:val="uk-UA"/>
        </w:rPr>
      </w:pPr>
    </w:p>
    <w:p w:rsidR="00E27007" w:rsidRPr="00332009" w:rsidRDefault="00E27007" w:rsidP="00F1377E">
      <w:pPr>
        <w:rPr>
          <w:lang w:val="uk-UA"/>
        </w:rPr>
      </w:pPr>
    </w:p>
    <w:p w:rsidR="005E75F1" w:rsidRPr="00332009" w:rsidRDefault="005E75F1" w:rsidP="005E75F1">
      <w:pPr>
        <w:jc w:val="both"/>
        <w:rPr>
          <w:b/>
          <w:sz w:val="28"/>
          <w:szCs w:val="28"/>
          <w:lang w:val="uk-UA"/>
        </w:rPr>
      </w:pPr>
    </w:p>
    <w:p w:rsidR="005E75F1" w:rsidRPr="00332009" w:rsidRDefault="005E75F1" w:rsidP="005E75F1">
      <w:pPr>
        <w:jc w:val="both"/>
        <w:rPr>
          <w:b/>
          <w:sz w:val="28"/>
          <w:szCs w:val="28"/>
          <w:lang w:val="uk-UA"/>
        </w:rPr>
      </w:pPr>
      <w:r w:rsidRPr="00332009">
        <w:rPr>
          <w:b/>
          <w:sz w:val="28"/>
          <w:szCs w:val="28"/>
          <w:lang w:val="uk-UA"/>
        </w:rPr>
        <w:t xml:space="preserve">Секретар міської ради </w:t>
      </w:r>
      <w:r w:rsidRPr="00332009">
        <w:rPr>
          <w:b/>
          <w:sz w:val="28"/>
          <w:szCs w:val="28"/>
          <w:lang w:val="uk-UA"/>
        </w:rPr>
        <w:tab/>
      </w:r>
      <w:r w:rsidRPr="00332009">
        <w:rPr>
          <w:b/>
          <w:sz w:val="28"/>
          <w:szCs w:val="28"/>
          <w:lang w:val="uk-UA"/>
        </w:rPr>
        <w:tab/>
      </w:r>
      <w:r w:rsidRPr="00332009">
        <w:rPr>
          <w:b/>
          <w:sz w:val="28"/>
          <w:szCs w:val="28"/>
          <w:lang w:val="uk-UA"/>
        </w:rPr>
        <w:tab/>
      </w:r>
      <w:r w:rsidRPr="00332009">
        <w:rPr>
          <w:b/>
          <w:sz w:val="28"/>
          <w:szCs w:val="28"/>
          <w:lang w:val="uk-UA"/>
        </w:rPr>
        <w:tab/>
      </w:r>
      <w:r w:rsidRPr="00332009">
        <w:rPr>
          <w:b/>
          <w:sz w:val="28"/>
          <w:szCs w:val="28"/>
          <w:lang w:val="uk-UA"/>
        </w:rPr>
        <w:tab/>
        <w:t>Ю. Світлак</w:t>
      </w:r>
    </w:p>
    <w:p w:rsidR="00F1377E" w:rsidRPr="00332009" w:rsidRDefault="00F1377E" w:rsidP="00F1377E">
      <w:pPr>
        <w:widowControl/>
        <w:autoSpaceDE/>
        <w:autoSpaceDN/>
        <w:adjustRightInd/>
        <w:spacing w:after="200" w:line="276" w:lineRule="auto"/>
        <w:rPr>
          <w:b/>
          <w:sz w:val="28"/>
          <w:szCs w:val="28"/>
          <w:lang w:val="uk-UA"/>
        </w:rPr>
      </w:pPr>
    </w:p>
    <w:p w:rsidR="00F1377E" w:rsidRPr="00332009" w:rsidRDefault="00F1377E" w:rsidP="00F1377E">
      <w:pPr>
        <w:ind w:left="5664" w:firstLine="708"/>
        <w:jc w:val="center"/>
        <w:rPr>
          <w:b/>
          <w:sz w:val="28"/>
          <w:szCs w:val="28"/>
          <w:lang w:val="uk-UA"/>
        </w:rPr>
        <w:sectPr w:rsidR="00F1377E" w:rsidRPr="00332009" w:rsidSect="005E75F1">
          <w:pgSz w:w="11906" w:h="16838"/>
          <w:pgMar w:top="709" w:right="849" w:bottom="1134" w:left="1701" w:header="708" w:footer="708" w:gutter="0"/>
          <w:cols w:space="708"/>
          <w:docGrid w:linePitch="360"/>
        </w:sectPr>
      </w:pPr>
    </w:p>
    <w:p w:rsidR="00F1377E" w:rsidRPr="00332009" w:rsidRDefault="00F1377E" w:rsidP="00F1377E">
      <w:pPr>
        <w:ind w:left="9639" w:firstLine="11"/>
        <w:jc w:val="center"/>
        <w:rPr>
          <w:sz w:val="24"/>
          <w:szCs w:val="24"/>
          <w:lang w:val="uk-UA"/>
        </w:rPr>
      </w:pPr>
      <w:r w:rsidRPr="00332009">
        <w:rPr>
          <w:sz w:val="24"/>
          <w:szCs w:val="24"/>
          <w:lang w:val="uk-UA"/>
        </w:rPr>
        <w:lastRenderedPageBreak/>
        <w:t xml:space="preserve">Додаток </w:t>
      </w:r>
      <w:r w:rsidR="00501E36" w:rsidRPr="00332009">
        <w:rPr>
          <w:sz w:val="24"/>
          <w:szCs w:val="24"/>
          <w:lang w:val="uk-UA"/>
        </w:rPr>
        <w:t>2</w:t>
      </w:r>
    </w:p>
    <w:p w:rsidR="00F1377E" w:rsidRPr="00332009" w:rsidRDefault="002E7CAC" w:rsidP="00F1377E">
      <w:pPr>
        <w:ind w:left="9639" w:firstLine="11"/>
        <w:rPr>
          <w:sz w:val="24"/>
          <w:szCs w:val="24"/>
          <w:lang w:val="uk-UA"/>
        </w:rPr>
      </w:pPr>
      <w:r>
        <w:rPr>
          <w:sz w:val="24"/>
          <w:szCs w:val="24"/>
          <w:lang w:val="uk-UA"/>
        </w:rPr>
        <w:t>до рішення 45</w:t>
      </w:r>
      <w:r w:rsidR="00F1377E" w:rsidRPr="00332009">
        <w:rPr>
          <w:sz w:val="24"/>
          <w:szCs w:val="24"/>
          <w:lang w:val="uk-UA"/>
        </w:rPr>
        <w:t xml:space="preserve"> сесії 7 скликання №</w:t>
      </w:r>
      <w:r>
        <w:rPr>
          <w:sz w:val="24"/>
          <w:szCs w:val="24"/>
          <w:lang w:val="uk-UA"/>
        </w:rPr>
        <w:t>715</w:t>
      </w:r>
      <w:r w:rsidR="00F1377E" w:rsidRPr="00332009">
        <w:rPr>
          <w:sz w:val="24"/>
          <w:szCs w:val="24"/>
          <w:lang w:val="uk-UA"/>
        </w:rPr>
        <w:t xml:space="preserve">  </w:t>
      </w:r>
    </w:p>
    <w:p w:rsidR="00F1377E" w:rsidRPr="00332009" w:rsidRDefault="00F1377E" w:rsidP="00F1377E">
      <w:pPr>
        <w:ind w:left="9639" w:firstLine="11"/>
        <w:rPr>
          <w:sz w:val="24"/>
          <w:szCs w:val="24"/>
          <w:lang w:val="uk-UA"/>
        </w:rPr>
      </w:pPr>
      <w:r w:rsidRPr="00332009">
        <w:rPr>
          <w:sz w:val="24"/>
          <w:szCs w:val="24"/>
          <w:lang w:val="uk-UA"/>
        </w:rPr>
        <w:t>від</w:t>
      </w:r>
      <w:r w:rsidR="002E7CAC">
        <w:rPr>
          <w:sz w:val="24"/>
          <w:szCs w:val="24"/>
          <w:lang w:val="uk-UA"/>
        </w:rPr>
        <w:t xml:space="preserve"> 21 лютого </w:t>
      </w:r>
      <w:bookmarkStart w:id="0" w:name="_GoBack"/>
      <w:bookmarkEnd w:id="0"/>
      <w:r w:rsidRPr="00332009">
        <w:rPr>
          <w:sz w:val="24"/>
          <w:szCs w:val="24"/>
          <w:lang w:val="uk-UA"/>
        </w:rPr>
        <w:t>201</w:t>
      </w:r>
      <w:r w:rsidR="00854098">
        <w:rPr>
          <w:sz w:val="24"/>
          <w:szCs w:val="24"/>
          <w:lang w:val="uk-UA"/>
        </w:rPr>
        <w:t>9</w:t>
      </w:r>
      <w:r w:rsidRPr="00332009">
        <w:rPr>
          <w:sz w:val="24"/>
          <w:szCs w:val="24"/>
          <w:lang w:val="uk-UA"/>
        </w:rPr>
        <w:t xml:space="preserve"> року</w:t>
      </w:r>
    </w:p>
    <w:p w:rsidR="001444AD" w:rsidRPr="00332009" w:rsidRDefault="001444AD" w:rsidP="00F1377E">
      <w:pPr>
        <w:jc w:val="center"/>
        <w:rPr>
          <w:b/>
          <w:sz w:val="28"/>
          <w:szCs w:val="28"/>
          <w:lang w:val="uk-UA"/>
        </w:rPr>
      </w:pPr>
    </w:p>
    <w:p w:rsidR="001444AD" w:rsidRPr="00332009" w:rsidRDefault="00F1377E" w:rsidP="00F1377E">
      <w:pPr>
        <w:jc w:val="center"/>
        <w:rPr>
          <w:b/>
          <w:sz w:val="28"/>
          <w:szCs w:val="28"/>
          <w:lang w:val="uk-UA"/>
        </w:rPr>
      </w:pPr>
      <w:r w:rsidRPr="00332009">
        <w:rPr>
          <w:b/>
          <w:sz w:val="28"/>
          <w:szCs w:val="28"/>
          <w:lang w:val="uk-UA"/>
        </w:rPr>
        <w:t xml:space="preserve"> </w:t>
      </w:r>
      <w:r w:rsidR="00D07D69" w:rsidRPr="00332009">
        <w:rPr>
          <w:b/>
          <w:sz w:val="28"/>
          <w:szCs w:val="28"/>
          <w:lang w:val="uk-UA"/>
        </w:rPr>
        <w:t>Д</w:t>
      </w:r>
      <w:r w:rsidRPr="00332009">
        <w:rPr>
          <w:b/>
          <w:sz w:val="28"/>
          <w:szCs w:val="28"/>
          <w:lang w:val="uk-UA"/>
        </w:rPr>
        <w:t>одат</w:t>
      </w:r>
      <w:r w:rsidR="00D07D69" w:rsidRPr="00332009">
        <w:rPr>
          <w:b/>
          <w:sz w:val="28"/>
          <w:szCs w:val="28"/>
          <w:lang w:val="uk-UA"/>
        </w:rPr>
        <w:t>ок</w:t>
      </w:r>
      <w:r w:rsidRPr="00332009">
        <w:rPr>
          <w:b/>
          <w:sz w:val="28"/>
          <w:szCs w:val="28"/>
          <w:lang w:val="uk-UA"/>
        </w:rPr>
        <w:t xml:space="preserve"> </w:t>
      </w:r>
      <w:r w:rsidR="001444AD" w:rsidRPr="00332009">
        <w:rPr>
          <w:b/>
          <w:sz w:val="28"/>
          <w:szCs w:val="28"/>
          <w:lang w:val="uk-UA"/>
        </w:rPr>
        <w:t xml:space="preserve">2 Програми </w:t>
      </w:r>
      <w:r w:rsidR="004B7B16" w:rsidRPr="00332009">
        <w:rPr>
          <w:b/>
          <w:sz w:val="28"/>
          <w:szCs w:val="28"/>
          <w:lang w:val="uk-UA"/>
        </w:rPr>
        <w:t>“Напрями</w:t>
      </w:r>
      <w:r w:rsidRPr="00332009">
        <w:rPr>
          <w:b/>
          <w:sz w:val="28"/>
          <w:szCs w:val="28"/>
          <w:lang w:val="uk-UA"/>
        </w:rPr>
        <w:t xml:space="preserve"> діяльності та заходи Програми залучення інвестицій </w:t>
      </w:r>
    </w:p>
    <w:p w:rsidR="00F1377E" w:rsidRPr="00332009" w:rsidRDefault="00F1377E" w:rsidP="00F1377E">
      <w:pPr>
        <w:jc w:val="center"/>
        <w:rPr>
          <w:b/>
          <w:sz w:val="28"/>
          <w:szCs w:val="28"/>
          <w:lang w:val="uk-UA"/>
        </w:rPr>
      </w:pPr>
      <w:r w:rsidRPr="00332009">
        <w:rPr>
          <w:b/>
          <w:sz w:val="28"/>
          <w:szCs w:val="28"/>
          <w:lang w:val="uk-UA"/>
        </w:rPr>
        <w:t>у місто</w:t>
      </w:r>
      <w:r w:rsidR="001444AD" w:rsidRPr="00332009">
        <w:rPr>
          <w:b/>
          <w:sz w:val="28"/>
          <w:szCs w:val="28"/>
          <w:lang w:val="uk-UA"/>
        </w:rPr>
        <w:t xml:space="preserve"> </w:t>
      </w:r>
      <w:r w:rsidRPr="00332009">
        <w:rPr>
          <w:b/>
          <w:sz w:val="28"/>
          <w:szCs w:val="28"/>
          <w:lang w:val="uk-UA"/>
        </w:rPr>
        <w:t>до 2020 року”</w:t>
      </w:r>
      <w:r w:rsidR="00D07D69" w:rsidRPr="00332009">
        <w:rPr>
          <w:b/>
          <w:sz w:val="28"/>
          <w:szCs w:val="28"/>
          <w:lang w:val="uk-UA"/>
        </w:rPr>
        <w:t xml:space="preserve"> (нова редакція) </w:t>
      </w:r>
    </w:p>
    <w:tbl>
      <w:tblPr>
        <w:tblpPr w:leftFromText="180" w:rightFromText="180" w:vertAnchor="page" w:horzAnchor="margin" w:tblpY="2559"/>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641"/>
        <w:gridCol w:w="864"/>
        <w:gridCol w:w="5955"/>
        <w:gridCol w:w="777"/>
        <w:gridCol w:w="1859"/>
        <w:gridCol w:w="1241"/>
        <w:gridCol w:w="2143"/>
      </w:tblGrid>
      <w:tr w:rsidR="00F1377E" w:rsidRPr="002E7CAC" w:rsidTr="00F1377E">
        <w:trPr>
          <w:trHeight w:val="971"/>
        </w:trPr>
        <w:tc>
          <w:tcPr>
            <w:tcW w:w="100" w:type="pct"/>
            <w:vMerge w:val="restart"/>
            <w:vAlign w:val="center"/>
          </w:tcPr>
          <w:p w:rsidR="00F1377E" w:rsidRPr="00332009" w:rsidRDefault="00F1377E" w:rsidP="00F1377E">
            <w:pPr>
              <w:ind w:left="-149"/>
              <w:jc w:val="center"/>
              <w:rPr>
                <w:b/>
                <w:lang w:val="uk-UA"/>
              </w:rPr>
            </w:pPr>
            <w:r w:rsidRPr="00332009">
              <w:rPr>
                <w:b/>
                <w:lang w:val="uk-UA"/>
              </w:rPr>
              <w:t>№</w:t>
            </w:r>
          </w:p>
        </w:tc>
        <w:tc>
          <w:tcPr>
            <w:tcW w:w="555" w:type="pct"/>
            <w:vMerge w:val="restart"/>
            <w:vAlign w:val="center"/>
          </w:tcPr>
          <w:p w:rsidR="00F1377E" w:rsidRPr="00332009" w:rsidRDefault="00F1377E" w:rsidP="00F1377E">
            <w:pPr>
              <w:jc w:val="center"/>
              <w:rPr>
                <w:b/>
                <w:lang w:val="uk-UA"/>
              </w:rPr>
            </w:pPr>
            <w:r w:rsidRPr="00332009">
              <w:rPr>
                <w:b/>
                <w:lang w:val="uk-UA"/>
              </w:rPr>
              <w:t>Назва напряму діяльності (пріоритетні завдання)</w:t>
            </w:r>
          </w:p>
        </w:tc>
        <w:tc>
          <w:tcPr>
            <w:tcW w:w="292" w:type="pct"/>
            <w:vMerge w:val="restart"/>
            <w:vAlign w:val="center"/>
          </w:tcPr>
          <w:p w:rsidR="00F1377E" w:rsidRPr="00332009" w:rsidRDefault="00F1377E" w:rsidP="00F1377E">
            <w:pPr>
              <w:jc w:val="center"/>
              <w:rPr>
                <w:b/>
                <w:lang w:val="uk-UA"/>
              </w:rPr>
            </w:pPr>
            <w:r w:rsidRPr="00332009">
              <w:rPr>
                <w:b/>
                <w:lang w:val="uk-UA"/>
              </w:rPr>
              <w:t>№ заходу</w:t>
            </w:r>
          </w:p>
        </w:tc>
        <w:tc>
          <w:tcPr>
            <w:tcW w:w="2015" w:type="pct"/>
            <w:vMerge w:val="restart"/>
            <w:vAlign w:val="center"/>
          </w:tcPr>
          <w:p w:rsidR="00F1377E" w:rsidRPr="00332009" w:rsidRDefault="00F1377E" w:rsidP="00F1377E">
            <w:pPr>
              <w:jc w:val="center"/>
              <w:rPr>
                <w:b/>
                <w:lang w:val="uk-UA"/>
              </w:rPr>
            </w:pPr>
            <w:r w:rsidRPr="00332009">
              <w:rPr>
                <w:b/>
                <w:lang w:val="uk-UA"/>
              </w:rPr>
              <w:t>Перелік заходів програми</w:t>
            </w:r>
          </w:p>
        </w:tc>
        <w:tc>
          <w:tcPr>
            <w:tcW w:w="263" w:type="pct"/>
            <w:vMerge w:val="restart"/>
            <w:vAlign w:val="center"/>
          </w:tcPr>
          <w:p w:rsidR="00F1377E" w:rsidRPr="00332009" w:rsidRDefault="00F1377E" w:rsidP="00F1377E">
            <w:pPr>
              <w:jc w:val="center"/>
              <w:rPr>
                <w:b/>
                <w:lang w:val="uk-UA"/>
              </w:rPr>
            </w:pPr>
            <w:r w:rsidRPr="00332009">
              <w:rPr>
                <w:b/>
                <w:lang w:val="uk-UA"/>
              </w:rPr>
              <w:t>Термін виконання заходу</w:t>
            </w:r>
          </w:p>
        </w:tc>
        <w:tc>
          <w:tcPr>
            <w:tcW w:w="629" w:type="pct"/>
            <w:vMerge w:val="restart"/>
            <w:vAlign w:val="center"/>
          </w:tcPr>
          <w:p w:rsidR="00F1377E" w:rsidRPr="00332009" w:rsidRDefault="00F1377E" w:rsidP="00F1377E">
            <w:pPr>
              <w:jc w:val="center"/>
              <w:rPr>
                <w:b/>
                <w:lang w:val="uk-UA"/>
              </w:rPr>
            </w:pPr>
            <w:r w:rsidRPr="00332009">
              <w:rPr>
                <w:b/>
                <w:lang w:val="uk-UA"/>
              </w:rPr>
              <w:t>Виконавці</w:t>
            </w:r>
          </w:p>
        </w:tc>
        <w:tc>
          <w:tcPr>
            <w:tcW w:w="420" w:type="pct"/>
            <w:vMerge w:val="restart"/>
            <w:vAlign w:val="center"/>
          </w:tcPr>
          <w:p w:rsidR="00F1377E" w:rsidRPr="00332009" w:rsidRDefault="00F1377E" w:rsidP="00F1377E">
            <w:pPr>
              <w:jc w:val="center"/>
              <w:rPr>
                <w:b/>
                <w:lang w:val="uk-UA"/>
              </w:rPr>
            </w:pPr>
            <w:r w:rsidRPr="00332009">
              <w:rPr>
                <w:b/>
                <w:lang w:val="uk-UA"/>
              </w:rPr>
              <w:t>Джерела фінансування</w:t>
            </w:r>
          </w:p>
        </w:tc>
        <w:tc>
          <w:tcPr>
            <w:tcW w:w="725" w:type="pct"/>
            <w:vAlign w:val="center"/>
          </w:tcPr>
          <w:p w:rsidR="00F1377E" w:rsidRPr="00332009" w:rsidRDefault="00F1377E" w:rsidP="00F1377E">
            <w:pPr>
              <w:jc w:val="center"/>
              <w:rPr>
                <w:b/>
                <w:lang w:val="uk-UA"/>
              </w:rPr>
            </w:pPr>
            <w:r w:rsidRPr="00332009">
              <w:rPr>
                <w:b/>
                <w:lang w:val="uk-UA"/>
              </w:rPr>
              <w:t>Орієнтовані обсяги фінансування (вартість),</w:t>
            </w:r>
          </w:p>
          <w:p w:rsidR="00F1377E" w:rsidRPr="00332009" w:rsidRDefault="00F1377E" w:rsidP="00F1377E">
            <w:pPr>
              <w:jc w:val="center"/>
              <w:rPr>
                <w:lang w:val="uk-UA"/>
              </w:rPr>
            </w:pPr>
            <w:r w:rsidRPr="00332009">
              <w:rPr>
                <w:b/>
                <w:lang w:val="uk-UA"/>
              </w:rPr>
              <w:t>тис.грн</w:t>
            </w:r>
          </w:p>
        </w:tc>
      </w:tr>
      <w:tr w:rsidR="00F1377E" w:rsidRPr="00332009" w:rsidTr="00F1377E">
        <w:trPr>
          <w:trHeight w:val="971"/>
        </w:trPr>
        <w:tc>
          <w:tcPr>
            <w:tcW w:w="100" w:type="pct"/>
            <w:vMerge/>
            <w:vAlign w:val="center"/>
          </w:tcPr>
          <w:p w:rsidR="00F1377E" w:rsidRPr="00332009" w:rsidRDefault="00F1377E" w:rsidP="00F1377E">
            <w:pPr>
              <w:jc w:val="center"/>
              <w:rPr>
                <w:b/>
                <w:i/>
                <w:lang w:val="uk-UA"/>
              </w:rPr>
            </w:pPr>
          </w:p>
        </w:tc>
        <w:tc>
          <w:tcPr>
            <w:tcW w:w="555" w:type="pct"/>
            <w:vMerge/>
            <w:vAlign w:val="center"/>
          </w:tcPr>
          <w:p w:rsidR="00F1377E" w:rsidRPr="00332009" w:rsidRDefault="00F1377E" w:rsidP="00F1377E">
            <w:pPr>
              <w:jc w:val="center"/>
              <w:rPr>
                <w:b/>
                <w:i/>
                <w:lang w:val="uk-UA"/>
              </w:rPr>
            </w:pPr>
          </w:p>
        </w:tc>
        <w:tc>
          <w:tcPr>
            <w:tcW w:w="292" w:type="pct"/>
            <w:vMerge/>
            <w:vAlign w:val="center"/>
          </w:tcPr>
          <w:p w:rsidR="00F1377E" w:rsidRPr="00332009" w:rsidRDefault="00F1377E" w:rsidP="00F1377E">
            <w:pPr>
              <w:jc w:val="center"/>
              <w:rPr>
                <w:b/>
                <w:i/>
                <w:lang w:val="uk-UA"/>
              </w:rPr>
            </w:pPr>
          </w:p>
        </w:tc>
        <w:tc>
          <w:tcPr>
            <w:tcW w:w="2015" w:type="pct"/>
            <w:vMerge/>
            <w:vAlign w:val="center"/>
          </w:tcPr>
          <w:p w:rsidR="00F1377E" w:rsidRPr="00332009" w:rsidRDefault="00F1377E" w:rsidP="00F1377E">
            <w:pPr>
              <w:jc w:val="center"/>
              <w:rPr>
                <w:b/>
                <w:i/>
                <w:lang w:val="uk-UA"/>
              </w:rPr>
            </w:pPr>
          </w:p>
        </w:tc>
        <w:tc>
          <w:tcPr>
            <w:tcW w:w="263" w:type="pct"/>
            <w:vMerge/>
            <w:vAlign w:val="center"/>
          </w:tcPr>
          <w:p w:rsidR="00F1377E" w:rsidRPr="00332009" w:rsidRDefault="00F1377E" w:rsidP="00F1377E">
            <w:pPr>
              <w:jc w:val="center"/>
              <w:rPr>
                <w:b/>
                <w:i/>
                <w:lang w:val="uk-UA"/>
              </w:rPr>
            </w:pPr>
          </w:p>
        </w:tc>
        <w:tc>
          <w:tcPr>
            <w:tcW w:w="629" w:type="pct"/>
            <w:vMerge/>
            <w:vAlign w:val="center"/>
          </w:tcPr>
          <w:p w:rsidR="00F1377E" w:rsidRPr="00332009" w:rsidRDefault="00F1377E" w:rsidP="00F1377E">
            <w:pPr>
              <w:jc w:val="center"/>
              <w:rPr>
                <w:b/>
                <w:i/>
                <w:lang w:val="uk-UA"/>
              </w:rPr>
            </w:pPr>
          </w:p>
        </w:tc>
        <w:tc>
          <w:tcPr>
            <w:tcW w:w="420" w:type="pct"/>
            <w:vMerge/>
            <w:vAlign w:val="center"/>
          </w:tcPr>
          <w:p w:rsidR="00F1377E" w:rsidRPr="00332009" w:rsidRDefault="00F1377E" w:rsidP="00F1377E">
            <w:pPr>
              <w:jc w:val="center"/>
              <w:rPr>
                <w:b/>
                <w:i/>
                <w:lang w:val="uk-UA"/>
              </w:rPr>
            </w:pPr>
          </w:p>
        </w:tc>
        <w:tc>
          <w:tcPr>
            <w:tcW w:w="725" w:type="pct"/>
            <w:vAlign w:val="center"/>
          </w:tcPr>
          <w:p w:rsidR="00F1377E" w:rsidRPr="00332009" w:rsidRDefault="00F1377E" w:rsidP="00F1377E">
            <w:pPr>
              <w:jc w:val="center"/>
              <w:rPr>
                <w:b/>
                <w:lang w:val="uk-UA"/>
              </w:rPr>
            </w:pPr>
            <w:r w:rsidRPr="00332009">
              <w:rPr>
                <w:b/>
                <w:lang w:val="uk-UA"/>
              </w:rPr>
              <w:t>2019 рік</w:t>
            </w:r>
          </w:p>
        </w:tc>
      </w:tr>
      <w:tr w:rsidR="00F1377E" w:rsidRPr="00332009" w:rsidTr="00F1377E">
        <w:trPr>
          <w:trHeight w:val="971"/>
        </w:trPr>
        <w:tc>
          <w:tcPr>
            <w:tcW w:w="100" w:type="pct"/>
            <w:vMerge w:val="restart"/>
            <w:vAlign w:val="center"/>
          </w:tcPr>
          <w:p w:rsidR="00F1377E" w:rsidRPr="00332009" w:rsidRDefault="00F1377E" w:rsidP="00F1377E">
            <w:pPr>
              <w:jc w:val="center"/>
              <w:rPr>
                <w:sz w:val="24"/>
                <w:szCs w:val="24"/>
                <w:lang w:val="uk-UA"/>
              </w:rPr>
            </w:pPr>
            <w:r w:rsidRPr="00332009">
              <w:rPr>
                <w:sz w:val="24"/>
                <w:szCs w:val="24"/>
                <w:lang w:val="uk-UA"/>
              </w:rPr>
              <w:t>2</w:t>
            </w:r>
          </w:p>
        </w:tc>
        <w:tc>
          <w:tcPr>
            <w:tcW w:w="555" w:type="pct"/>
            <w:vMerge w:val="restart"/>
            <w:vAlign w:val="center"/>
          </w:tcPr>
          <w:p w:rsidR="00F1377E" w:rsidRPr="00332009" w:rsidRDefault="00F1377E" w:rsidP="00F1377E">
            <w:pPr>
              <w:jc w:val="center"/>
              <w:rPr>
                <w:sz w:val="24"/>
                <w:szCs w:val="24"/>
                <w:lang w:val="uk-UA"/>
              </w:rPr>
            </w:pPr>
            <w:r w:rsidRPr="00332009">
              <w:rPr>
                <w:sz w:val="24"/>
                <w:szCs w:val="24"/>
                <w:lang w:val="uk-UA"/>
              </w:rPr>
              <w:t>Сприяння створенню інвестиційних продуктів</w:t>
            </w:r>
          </w:p>
        </w:tc>
        <w:tc>
          <w:tcPr>
            <w:tcW w:w="292" w:type="pct"/>
            <w:vMerge w:val="restart"/>
            <w:vAlign w:val="center"/>
          </w:tcPr>
          <w:p w:rsidR="00F1377E" w:rsidRPr="00332009" w:rsidRDefault="00F1377E" w:rsidP="00F1377E">
            <w:pPr>
              <w:ind w:right="-109"/>
              <w:jc w:val="center"/>
              <w:rPr>
                <w:sz w:val="24"/>
                <w:szCs w:val="24"/>
                <w:lang w:val="uk-UA"/>
              </w:rPr>
            </w:pPr>
            <w:r w:rsidRPr="00332009">
              <w:rPr>
                <w:sz w:val="24"/>
                <w:szCs w:val="24"/>
                <w:lang w:val="uk-UA"/>
              </w:rPr>
              <w:t>2.7</w:t>
            </w:r>
          </w:p>
        </w:tc>
        <w:tc>
          <w:tcPr>
            <w:tcW w:w="2015" w:type="pct"/>
            <w:vAlign w:val="center"/>
          </w:tcPr>
          <w:p w:rsidR="00F1377E" w:rsidRPr="00332009" w:rsidRDefault="00F1377E" w:rsidP="00F1377E">
            <w:pPr>
              <w:ind w:right="-109"/>
              <w:rPr>
                <w:sz w:val="24"/>
                <w:szCs w:val="24"/>
                <w:lang w:val="uk-UA"/>
              </w:rPr>
            </w:pPr>
            <w:r w:rsidRPr="00332009">
              <w:rPr>
                <w:color w:val="000000" w:themeColor="text1"/>
                <w:sz w:val="24"/>
                <w:szCs w:val="24"/>
                <w:lang w:val="uk-UA"/>
              </w:rPr>
              <w:t>2.1. Річна технічна підтримка в частині оновлення програмного забезпечення для ведення містобудівного кадастру</w:t>
            </w:r>
          </w:p>
        </w:tc>
        <w:tc>
          <w:tcPr>
            <w:tcW w:w="263" w:type="pct"/>
            <w:vMerge w:val="restart"/>
            <w:vAlign w:val="center"/>
          </w:tcPr>
          <w:p w:rsidR="00F1377E" w:rsidRPr="00332009" w:rsidRDefault="00F1377E" w:rsidP="00F1377E">
            <w:pPr>
              <w:jc w:val="center"/>
              <w:rPr>
                <w:sz w:val="24"/>
                <w:szCs w:val="24"/>
                <w:lang w:val="uk-UA"/>
              </w:rPr>
            </w:pPr>
            <w:r w:rsidRPr="00332009">
              <w:rPr>
                <w:sz w:val="24"/>
                <w:szCs w:val="24"/>
                <w:lang w:val="uk-UA"/>
              </w:rPr>
              <w:t>2019 рік</w:t>
            </w:r>
          </w:p>
        </w:tc>
        <w:tc>
          <w:tcPr>
            <w:tcW w:w="629" w:type="pct"/>
            <w:vMerge w:val="restart"/>
            <w:vAlign w:val="center"/>
          </w:tcPr>
          <w:p w:rsidR="00F1377E" w:rsidRPr="00332009" w:rsidRDefault="00F1377E" w:rsidP="00F1377E">
            <w:pPr>
              <w:jc w:val="center"/>
              <w:rPr>
                <w:sz w:val="24"/>
                <w:szCs w:val="24"/>
                <w:lang w:val="uk-UA"/>
              </w:rPr>
            </w:pPr>
            <w:r w:rsidRPr="00332009">
              <w:rPr>
                <w:sz w:val="24"/>
                <w:szCs w:val="24"/>
                <w:lang w:val="uk-UA"/>
              </w:rPr>
              <w:t>Управління містобудування та архітектури.</w:t>
            </w:r>
          </w:p>
          <w:p w:rsidR="00F1377E" w:rsidRPr="00332009" w:rsidRDefault="00F1377E" w:rsidP="00F1377E">
            <w:pPr>
              <w:jc w:val="center"/>
              <w:rPr>
                <w:sz w:val="24"/>
                <w:szCs w:val="24"/>
                <w:lang w:val="uk-UA"/>
              </w:rPr>
            </w:pPr>
          </w:p>
          <w:p w:rsidR="00F1377E" w:rsidRPr="00332009" w:rsidRDefault="00F1377E" w:rsidP="00F1377E">
            <w:pPr>
              <w:jc w:val="center"/>
              <w:rPr>
                <w:sz w:val="24"/>
                <w:szCs w:val="24"/>
                <w:lang w:val="uk-UA"/>
              </w:rPr>
            </w:pPr>
            <w:r w:rsidRPr="00332009">
              <w:rPr>
                <w:sz w:val="24"/>
                <w:szCs w:val="24"/>
                <w:lang w:val="uk-UA"/>
              </w:rPr>
              <w:t>Відділ земельних ресурсів.</w:t>
            </w:r>
          </w:p>
          <w:p w:rsidR="00F1377E" w:rsidRPr="00332009" w:rsidRDefault="00F1377E" w:rsidP="00F1377E">
            <w:pPr>
              <w:jc w:val="center"/>
              <w:rPr>
                <w:sz w:val="24"/>
                <w:szCs w:val="24"/>
                <w:lang w:val="uk-UA"/>
              </w:rPr>
            </w:pPr>
          </w:p>
          <w:p w:rsidR="00F1377E" w:rsidRPr="00332009" w:rsidRDefault="00F1377E" w:rsidP="00F1377E">
            <w:pPr>
              <w:jc w:val="center"/>
              <w:rPr>
                <w:sz w:val="24"/>
                <w:szCs w:val="24"/>
                <w:lang w:val="uk-UA"/>
              </w:rPr>
            </w:pPr>
          </w:p>
        </w:tc>
        <w:tc>
          <w:tcPr>
            <w:tcW w:w="420" w:type="pct"/>
            <w:vMerge w:val="restart"/>
            <w:vAlign w:val="center"/>
          </w:tcPr>
          <w:p w:rsidR="00F1377E" w:rsidRPr="00332009" w:rsidRDefault="00F1377E" w:rsidP="00F1377E">
            <w:pPr>
              <w:jc w:val="center"/>
              <w:rPr>
                <w:sz w:val="24"/>
                <w:szCs w:val="24"/>
                <w:lang w:val="uk-UA"/>
              </w:rPr>
            </w:pPr>
            <w:r w:rsidRPr="00332009">
              <w:rPr>
                <w:sz w:val="24"/>
                <w:szCs w:val="24"/>
                <w:lang w:val="uk-UA"/>
              </w:rPr>
              <w:t>Місцевий бюджет</w:t>
            </w:r>
          </w:p>
        </w:tc>
        <w:tc>
          <w:tcPr>
            <w:tcW w:w="725" w:type="pct"/>
            <w:vAlign w:val="center"/>
          </w:tcPr>
          <w:p w:rsidR="00F1377E" w:rsidRPr="00332009" w:rsidRDefault="00AA6C6F" w:rsidP="00F1377E">
            <w:pPr>
              <w:jc w:val="center"/>
              <w:rPr>
                <w:sz w:val="24"/>
                <w:szCs w:val="24"/>
                <w:lang w:val="uk-UA"/>
              </w:rPr>
            </w:pPr>
            <w:r>
              <w:rPr>
                <w:sz w:val="24"/>
                <w:szCs w:val="24"/>
                <w:lang w:val="uk-UA"/>
              </w:rPr>
              <w:t>34</w:t>
            </w:r>
            <w:r w:rsidR="00F1377E" w:rsidRPr="00332009">
              <w:rPr>
                <w:sz w:val="24"/>
                <w:szCs w:val="24"/>
                <w:lang w:val="uk-UA"/>
              </w:rPr>
              <w:t>,0</w:t>
            </w:r>
          </w:p>
        </w:tc>
      </w:tr>
      <w:tr w:rsidR="00F1377E" w:rsidRPr="00332009" w:rsidTr="00F1377E">
        <w:trPr>
          <w:trHeight w:val="573"/>
        </w:trPr>
        <w:tc>
          <w:tcPr>
            <w:tcW w:w="100" w:type="pct"/>
            <w:vMerge/>
            <w:vAlign w:val="center"/>
          </w:tcPr>
          <w:p w:rsidR="00F1377E" w:rsidRPr="00332009" w:rsidRDefault="00F1377E" w:rsidP="00F1377E">
            <w:pPr>
              <w:jc w:val="center"/>
              <w:rPr>
                <w:sz w:val="24"/>
                <w:szCs w:val="24"/>
                <w:lang w:val="uk-UA"/>
              </w:rPr>
            </w:pPr>
          </w:p>
        </w:tc>
        <w:tc>
          <w:tcPr>
            <w:tcW w:w="555" w:type="pct"/>
            <w:vMerge/>
            <w:vAlign w:val="center"/>
          </w:tcPr>
          <w:p w:rsidR="00F1377E" w:rsidRPr="00332009" w:rsidRDefault="00F1377E" w:rsidP="00F1377E">
            <w:pPr>
              <w:jc w:val="center"/>
              <w:rPr>
                <w:sz w:val="24"/>
                <w:szCs w:val="24"/>
                <w:lang w:val="uk-UA"/>
              </w:rPr>
            </w:pPr>
          </w:p>
        </w:tc>
        <w:tc>
          <w:tcPr>
            <w:tcW w:w="292" w:type="pct"/>
            <w:vMerge/>
            <w:vAlign w:val="center"/>
          </w:tcPr>
          <w:p w:rsidR="00F1377E" w:rsidRPr="00332009" w:rsidRDefault="00F1377E" w:rsidP="00F1377E">
            <w:pPr>
              <w:ind w:right="-109"/>
              <w:jc w:val="center"/>
              <w:rPr>
                <w:sz w:val="24"/>
                <w:szCs w:val="24"/>
                <w:lang w:val="uk-UA"/>
              </w:rPr>
            </w:pPr>
          </w:p>
        </w:tc>
        <w:tc>
          <w:tcPr>
            <w:tcW w:w="2015" w:type="pct"/>
            <w:vAlign w:val="center"/>
          </w:tcPr>
          <w:p w:rsidR="00F1377E" w:rsidRPr="00332009" w:rsidRDefault="00F1377E" w:rsidP="00F1377E">
            <w:pPr>
              <w:ind w:right="25"/>
              <w:rPr>
                <w:sz w:val="24"/>
                <w:szCs w:val="24"/>
                <w:lang w:val="uk-UA"/>
              </w:rPr>
            </w:pPr>
            <w:r w:rsidRPr="00332009">
              <w:rPr>
                <w:color w:val="000000" w:themeColor="text1"/>
                <w:sz w:val="24"/>
                <w:szCs w:val="24"/>
                <w:lang w:val="uk-UA"/>
              </w:rPr>
              <w:t>2.2. Конвертування карти генерального плану міста Жмеринка</w:t>
            </w:r>
          </w:p>
        </w:tc>
        <w:tc>
          <w:tcPr>
            <w:tcW w:w="263" w:type="pct"/>
            <w:vMerge/>
            <w:vAlign w:val="center"/>
          </w:tcPr>
          <w:p w:rsidR="00F1377E" w:rsidRPr="00332009" w:rsidRDefault="00F1377E" w:rsidP="00F1377E">
            <w:pPr>
              <w:jc w:val="center"/>
              <w:rPr>
                <w:sz w:val="24"/>
                <w:szCs w:val="24"/>
                <w:lang w:val="uk-UA"/>
              </w:rPr>
            </w:pPr>
          </w:p>
        </w:tc>
        <w:tc>
          <w:tcPr>
            <w:tcW w:w="629" w:type="pct"/>
            <w:vMerge/>
            <w:vAlign w:val="center"/>
          </w:tcPr>
          <w:p w:rsidR="00F1377E" w:rsidRPr="00332009" w:rsidRDefault="00F1377E" w:rsidP="00F1377E">
            <w:pPr>
              <w:jc w:val="both"/>
              <w:rPr>
                <w:sz w:val="24"/>
                <w:szCs w:val="24"/>
                <w:lang w:val="uk-UA"/>
              </w:rPr>
            </w:pPr>
          </w:p>
        </w:tc>
        <w:tc>
          <w:tcPr>
            <w:tcW w:w="420" w:type="pct"/>
            <w:vMerge/>
            <w:vAlign w:val="center"/>
          </w:tcPr>
          <w:p w:rsidR="00F1377E" w:rsidRPr="00332009" w:rsidRDefault="00F1377E" w:rsidP="00F1377E">
            <w:pPr>
              <w:jc w:val="center"/>
              <w:rPr>
                <w:sz w:val="24"/>
                <w:szCs w:val="24"/>
                <w:lang w:val="uk-UA"/>
              </w:rPr>
            </w:pPr>
          </w:p>
        </w:tc>
        <w:tc>
          <w:tcPr>
            <w:tcW w:w="725" w:type="pct"/>
            <w:vAlign w:val="center"/>
          </w:tcPr>
          <w:p w:rsidR="00F1377E" w:rsidRPr="00332009" w:rsidRDefault="00F1377E" w:rsidP="00F1377E">
            <w:pPr>
              <w:jc w:val="center"/>
              <w:rPr>
                <w:sz w:val="24"/>
                <w:szCs w:val="24"/>
                <w:lang w:val="uk-UA"/>
              </w:rPr>
            </w:pPr>
            <w:r w:rsidRPr="00332009">
              <w:rPr>
                <w:sz w:val="24"/>
                <w:szCs w:val="24"/>
                <w:lang w:val="uk-UA"/>
              </w:rPr>
              <w:t>20,0</w:t>
            </w:r>
          </w:p>
        </w:tc>
      </w:tr>
      <w:tr w:rsidR="00F1377E" w:rsidRPr="00332009" w:rsidTr="00F1377E">
        <w:trPr>
          <w:trHeight w:val="443"/>
        </w:trPr>
        <w:tc>
          <w:tcPr>
            <w:tcW w:w="100" w:type="pct"/>
            <w:vMerge/>
            <w:vAlign w:val="center"/>
          </w:tcPr>
          <w:p w:rsidR="00F1377E" w:rsidRPr="00332009" w:rsidRDefault="00F1377E" w:rsidP="00F1377E">
            <w:pPr>
              <w:jc w:val="center"/>
              <w:rPr>
                <w:sz w:val="24"/>
                <w:szCs w:val="24"/>
                <w:lang w:val="uk-UA"/>
              </w:rPr>
            </w:pPr>
          </w:p>
        </w:tc>
        <w:tc>
          <w:tcPr>
            <w:tcW w:w="555" w:type="pct"/>
            <w:vMerge/>
            <w:vAlign w:val="center"/>
          </w:tcPr>
          <w:p w:rsidR="00F1377E" w:rsidRPr="00332009" w:rsidRDefault="00F1377E" w:rsidP="00F1377E">
            <w:pPr>
              <w:jc w:val="center"/>
              <w:rPr>
                <w:sz w:val="24"/>
                <w:szCs w:val="24"/>
                <w:lang w:val="uk-UA"/>
              </w:rPr>
            </w:pPr>
          </w:p>
        </w:tc>
        <w:tc>
          <w:tcPr>
            <w:tcW w:w="292" w:type="pct"/>
            <w:vMerge/>
            <w:vAlign w:val="center"/>
          </w:tcPr>
          <w:p w:rsidR="00F1377E" w:rsidRPr="00332009" w:rsidRDefault="00F1377E" w:rsidP="00F1377E">
            <w:pPr>
              <w:ind w:right="-109"/>
              <w:jc w:val="center"/>
              <w:rPr>
                <w:sz w:val="24"/>
                <w:szCs w:val="24"/>
                <w:lang w:val="uk-UA"/>
              </w:rPr>
            </w:pPr>
          </w:p>
        </w:tc>
        <w:tc>
          <w:tcPr>
            <w:tcW w:w="2015" w:type="pct"/>
            <w:vAlign w:val="center"/>
          </w:tcPr>
          <w:p w:rsidR="00F1377E" w:rsidRPr="00332009" w:rsidRDefault="00F1377E" w:rsidP="00F1377E">
            <w:pPr>
              <w:ind w:right="25"/>
              <w:rPr>
                <w:sz w:val="24"/>
                <w:szCs w:val="24"/>
                <w:lang w:val="uk-UA"/>
              </w:rPr>
            </w:pPr>
            <w:r w:rsidRPr="00332009">
              <w:rPr>
                <w:color w:val="000000" w:themeColor="text1"/>
                <w:sz w:val="24"/>
                <w:szCs w:val="24"/>
                <w:lang w:val="uk-UA"/>
              </w:rPr>
              <w:t xml:space="preserve">2.3. </w:t>
            </w:r>
            <w:proofErr w:type="spellStart"/>
            <w:r w:rsidRPr="00332009">
              <w:rPr>
                <w:color w:val="000000" w:themeColor="text1"/>
                <w:sz w:val="24"/>
                <w:szCs w:val="24"/>
                <w:lang w:val="uk-UA"/>
              </w:rPr>
              <w:t>Cтворення</w:t>
            </w:r>
            <w:proofErr w:type="spellEnd"/>
            <w:r w:rsidRPr="00332009">
              <w:rPr>
                <w:color w:val="000000" w:themeColor="text1"/>
                <w:sz w:val="24"/>
                <w:szCs w:val="24"/>
                <w:lang w:val="uk-UA"/>
              </w:rPr>
              <w:t xml:space="preserve"> адресного плану міста Жмеринка</w:t>
            </w:r>
          </w:p>
        </w:tc>
        <w:tc>
          <w:tcPr>
            <w:tcW w:w="263" w:type="pct"/>
            <w:vMerge/>
            <w:vAlign w:val="center"/>
          </w:tcPr>
          <w:p w:rsidR="00F1377E" w:rsidRPr="00332009" w:rsidRDefault="00F1377E" w:rsidP="00F1377E">
            <w:pPr>
              <w:jc w:val="center"/>
              <w:rPr>
                <w:sz w:val="24"/>
                <w:szCs w:val="24"/>
                <w:lang w:val="uk-UA"/>
              </w:rPr>
            </w:pPr>
          </w:p>
        </w:tc>
        <w:tc>
          <w:tcPr>
            <w:tcW w:w="629" w:type="pct"/>
            <w:vMerge/>
            <w:vAlign w:val="center"/>
          </w:tcPr>
          <w:p w:rsidR="00F1377E" w:rsidRPr="00332009" w:rsidRDefault="00F1377E" w:rsidP="00F1377E">
            <w:pPr>
              <w:jc w:val="both"/>
              <w:rPr>
                <w:sz w:val="24"/>
                <w:szCs w:val="24"/>
                <w:lang w:val="uk-UA"/>
              </w:rPr>
            </w:pPr>
          </w:p>
        </w:tc>
        <w:tc>
          <w:tcPr>
            <w:tcW w:w="420" w:type="pct"/>
            <w:vMerge/>
            <w:vAlign w:val="center"/>
          </w:tcPr>
          <w:p w:rsidR="00F1377E" w:rsidRPr="00332009" w:rsidRDefault="00F1377E" w:rsidP="00F1377E">
            <w:pPr>
              <w:jc w:val="center"/>
              <w:rPr>
                <w:sz w:val="24"/>
                <w:szCs w:val="24"/>
                <w:lang w:val="uk-UA"/>
              </w:rPr>
            </w:pPr>
          </w:p>
        </w:tc>
        <w:tc>
          <w:tcPr>
            <w:tcW w:w="725" w:type="pct"/>
            <w:vAlign w:val="center"/>
          </w:tcPr>
          <w:p w:rsidR="00F1377E" w:rsidRPr="00332009" w:rsidRDefault="00AA6C6F" w:rsidP="00F1377E">
            <w:pPr>
              <w:jc w:val="center"/>
              <w:rPr>
                <w:sz w:val="24"/>
                <w:szCs w:val="24"/>
                <w:lang w:val="uk-UA"/>
              </w:rPr>
            </w:pPr>
            <w:r>
              <w:rPr>
                <w:sz w:val="24"/>
                <w:szCs w:val="24"/>
                <w:lang w:val="uk-UA"/>
              </w:rPr>
              <w:t>6</w:t>
            </w:r>
            <w:r w:rsidR="00F1377E" w:rsidRPr="00332009">
              <w:rPr>
                <w:sz w:val="24"/>
                <w:szCs w:val="24"/>
                <w:lang w:val="uk-UA"/>
              </w:rPr>
              <w:t>,0</w:t>
            </w:r>
          </w:p>
        </w:tc>
      </w:tr>
      <w:tr w:rsidR="00F1377E" w:rsidRPr="00332009" w:rsidTr="00F1377E">
        <w:trPr>
          <w:trHeight w:val="424"/>
        </w:trPr>
        <w:tc>
          <w:tcPr>
            <w:tcW w:w="100" w:type="pct"/>
            <w:vMerge/>
            <w:vAlign w:val="center"/>
          </w:tcPr>
          <w:p w:rsidR="00F1377E" w:rsidRPr="00332009" w:rsidRDefault="00F1377E" w:rsidP="00F1377E">
            <w:pPr>
              <w:jc w:val="center"/>
              <w:rPr>
                <w:sz w:val="24"/>
                <w:szCs w:val="24"/>
                <w:lang w:val="uk-UA"/>
              </w:rPr>
            </w:pPr>
          </w:p>
        </w:tc>
        <w:tc>
          <w:tcPr>
            <w:tcW w:w="555" w:type="pct"/>
            <w:vMerge/>
            <w:vAlign w:val="center"/>
          </w:tcPr>
          <w:p w:rsidR="00F1377E" w:rsidRPr="00332009" w:rsidRDefault="00F1377E" w:rsidP="00F1377E">
            <w:pPr>
              <w:jc w:val="center"/>
              <w:rPr>
                <w:sz w:val="24"/>
                <w:szCs w:val="24"/>
                <w:lang w:val="uk-UA"/>
              </w:rPr>
            </w:pPr>
          </w:p>
        </w:tc>
        <w:tc>
          <w:tcPr>
            <w:tcW w:w="292" w:type="pct"/>
            <w:vMerge/>
            <w:vAlign w:val="center"/>
          </w:tcPr>
          <w:p w:rsidR="00F1377E" w:rsidRPr="00332009" w:rsidRDefault="00F1377E" w:rsidP="00F1377E">
            <w:pPr>
              <w:ind w:right="-109"/>
              <w:jc w:val="center"/>
              <w:rPr>
                <w:sz w:val="24"/>
                <w:szCs w:val="24"/>
                <w:lang w:val="uk-UA"/>
              </w:rPr>
            </w:pPr>
          </w:p>
        </w:tc>
        <w:tc>
          <w:tcPr>
            <w:tcW w:w="2015" w:type="pct"/>
            <w:vAlign w:val="center"/>
          </w:tcPr>
          <w:p w:rsidR="00F1377E" w:rsidRPr="00332009" w:rsidRDefault="00F1377E" w:rsidP="00F1377E">
            <w:pPr>
              <w:ind w:right="25"/>
              <w:rPr>
                <w:sz w:val="24"/>
                <w:szCs w:val="24"/>
                <w:lang w:val="uk-UA"/>
              </w:rPr>
            </w:pPr>
            <w:r w:rsidRPr="00332009">
              <w:rPr>
                <w:color w:val="000000" w:themeColor="text1"/>
                <w:sz w:val="24"/>
                <w:szCs w:val="24"/>
                <w:lang w:val="uk-UA"/>
              </w:rPr>
              <w:t xml:space="preserve">2.4. </w:t>
            </w:r>
            <w:proofErr w:type="spellStart"/>
            <w:r w:rsidRPr="00332009">
              <w:rPr>
                <w:color w:val="000000" w:themeColor="text1"/>
                <w:sz w:val="24"/>
                <w:szCs w:val="24"/>
                <w:lang w:val="uk-UA"/>
              </w:rPr>
              <w:t>Eкспертиза</w:t>
            </w:r>
            <w:proofErr w:type="spellEnd"/>
            <w:r w:rsidRPr="00332009">
              <w:rPr>
                <w:color w:val="000000" w:themeColor="text1"/>
                <w:sz w:val="24"/>
                <w:szCs w:val="24"/>
                <w:lang w:val="uk-UA"/>
              </w:rPr>
              <w:t xml:space="preserve"> генерального плану міста Жмеринка </w:t>
            </w:r>
          </w:p>
        </w:tc>
        <w:tc>
          <w:tcPr>
            <w:tcW w:w="263" w:type="pct"/>
            <w:vMerge/>
            <w:vAlign w:val="center"/>
          </w:tcPr>
          <w:p w:rsidR="00F1377E" w:rsidRPr="00332009" w:rsidRDefault="00F1377E" w:rsidP="00F1377E">
            <w:pPr>
              <w:jc w:val="center"/>
              <w:rPr>
                <w:sz w:val="24"/>
                <w:szCs w:val="24"/>
                <w:lang w:val="uk-UA"/>
              </w:rPr>
            </w:pPr>
          </w:p>
        </w:tc>
        <w:tc>
          <w:tcPr>
            <w:tcW w:w="629" w:type="pct"/>
            <w:vMerge/>
            <w:vAlign w:val="center"/>
          </w:tcPr>
          <w:p w:rsidR="00F1377E" w:rsidRPr="00332009" w:rsidRDefault="00F1377E" w:rsidP="00F1377E">
            <w:pPr>
              <w:jc w:val="both"/>
              <w:rPr>
                <w:sz w:val="24"/>
                <w:szCs w:val="24"/>
                <w:lang w:val="uk-UA"/>
              </w:rPr>
            </w:pPr>
          </w:p>
        </w:tc>
        <w:tc>
          <w:tcPr>
            <w:tcW w:w="420" w:type="pct"/>
            <w:vMerge/>
            <w:vAlign w:val="center"/>
          </w:tcPr>
          <w:p w:rsidR="00F1377E" w:rsidRPr="00332009" w:rsidRDefault="00F1377E" w:rsidP="00F1377E">
            <w:pPr>
              <w:jc w:val="center"/>
              <w:rPr>
                <w:sz w:val="24"/>
                <w:szCs w:val="24"/>
                <w:lang w:val="uk-UA"/>
              </w:rPr>
            </w:pPr>
          </w:p>
        </w:tc>
        <w:tc>
          <w:tcPr>
            <w:tcW w:w="725" w:type="pct"/>
            <w:vAlign w:val="center"/>
          </w:tcPr>
          <w:p w:rsidR="00F1377E" w:rsidRPr="00332009" w:rsidRDefault="00F1377E" w:rsidP="00F1377E">
            <w:pPr>
              <w:jc w:val="center"/>
              <w:rPr>
                <w:sz w:val="24"/>
                <w:szCs w:val="24"/>
                <w:lang w:val="uk-UA"/>
              </w:rPr>
            </w:pPr>
            <w:r w:rsidRPr="00332009">
              <w:rPr>
                <w:sz w:val="24"/>
                <w:szCs w:val="24"/>
                <w:lang w:val="uk-UA"/>
              </w:rPr>
              <w:t>150,0</w:t>
            </w:r>
          </w:p>
        </w:tc>
      </w:tr>
      <w:tr w:rsidR="00F1377E" w:rsidRPr="00332009" w:rsidTr="00F1377E">
        <w:trPr>
          <w:trHeight w:val="415"/>
        </w:trPr>
        <w:tc>
          <w:tcPr>
            <w:tcW w:w="100" w:type="pct"/>
            <w:vMerge/>
            <w:vAlign w:val="center"/>
          </w:tcPr>
          <w:p w:rsidR="00F1377E" w:rsidRPr="00332009" w:rsidRDefault="00F1377E" w:rsidP="00F1377E">
            <w:pPr>
              <w:jc w:val="center"/>
              <w:rPr>
                <w:sz w:val="24"/>
                <w:szCs w:val="24"/>
                <w:lang w:val="uk-UA"/>
              </w:rPr>
            </w:pPr>
          </w:p>
        </w:tc>
        <w:tc>
          <w:tcPr>
            <w:tcW w:w="555" w:type="pct"/>
            <w:vMerge/>
            <w:vAlign w:val="center"/>
          </w:tcPr>
          <w:p w:rsidR="00F1377E" w:rsidRPr="00332009" w:rsidRDefault="00F1377E" w:rsidP="00F1377E">
            <w:pPr>
              <w:jc w:val="center"/>
              <w:rPr>
                <w:sz w:val="24"/>
                <w:szCs w:val="24"/>
                <w:lang w:val="uk-UA"/>
              </w:rPr>
            </w:pPr>
          </w:p>
        </w:tc>
        <w:tc>
          <w:tcPr>
            <w:tcW w:w="292" w:type="pct"/>
            <w:vMerge/>
            <w:vAlign w:val="center"/>
          </w:tcPr>
          <w:p w:rsidR="00F1377E" w:rsidRPr="00332009" w:rsidRDefault="00F1377E" w:rsidP="00F1377E">
            <w:pPr>
              <w:ind w:right="-109"/>
              <w:jc w:val="center"/>
              <w:rPr>
                <w:sz w:val="24"/>
                <w:szCs w:val="24"/>
                <w:lang w:val="uk-UA"/>
              </w:rPr>
            </w:pPr>
          </w:p>
        </w:tc>
        <w:tc>
          <w:tcPr>
            <w:tcW w:w="2015" w:type="pct"/>
            <w:vAlign w:val="center"/>
          </w:tcPr>
          <w:p w:rsidR="00F1377E" w:rsidRPr="00332009" w:rsidRDefault="00F1377E" w:rsidP="00F1377E">
            <w:pPr>
              <w:ind w:right="25"/>
              <w:rPr>
                <w:sz w:val="24"/>
                <w:szCs w:val="24"/>
                <w:lang w:val="uk-UA"/>
              </w:rPr>
            </w:pPr>
            <w:r w:rsidRPr="00332009">
              <w:rPr>
                <w:color w:val="000000" w:themeColor="text1"/>
                <w:sz w:val="24"/>
                <w:szCs w:val="24"/>
                <w:lang w:val="uk-UA"/>
              </w:rPr>
              <w:t>2.5. Повторна експертиза генерального плану міста</w:t>
            </w:r>
          </w:p>
        </w:tc>
        <w:tc>
          <w:tcPr>
            <w:tcW w:w="263" w:type="pct"/>
            <w:vMerge/>
            <w:vAlign w:val="center"/>
          </w:tcPr>
          <w:p w:rsidR="00F1377E" w:rsidRPr="00332009" w:rsidRDefault="00F1377E" w:rsidP="00F1377E">
            <w:pPr>
              <w:jc w:val="center"/>
              <w:rPr>
                <w:sz w:val="24"/>
                <w:szCs w:val="24"/>
                <w:lang w:val="uk-UA"/>
              </w:rPr>
            </w:pPr>
          </w:p>
        </w:tc>
        <w:tc>
          <w:tcPr>
            <w:tcW w:w="629" w:type="pct"/>
            <w:vMerge/>
            <w:vAlign w:val="center"/>
          </w:tcPr>
          <w:p w:rsidR="00F1377E" w:rsidRPr="00332009" w:rsidRDefault="00F1377E" w:rsidP="00F1377E">
            <w:pPr>
              <w:jc w:val="both"/>
              <w:rPr>
                <w:sz w:val="24"/>
                <w:szCs w:val="24"/>
                <w:lang w:val="uk-UA"/>
              </w:rPr>
            </w:pPr>
          </w:p>
        </w:tc>
        <w:tc>
          <w:tcPr>
            <w:tcW w:w="420" w:type="pct"/>
            <w:vMerge/>
            <w:vAlign w:val="center"/>
          </w:tcPr>
          <w:p w:rsidR="00F1377E" w:rsidRPr="00332009" w:rsidRDefault="00F1377E" w:rsidP="00F1377E">
            <w:pPr>
              <w:jc w:val="center"/>
              <w:rPr>
                <w:sz w:val="24"/>
                <w:szCs w:val="24"/>
                <w:lang w:val="uk-UA"/>
              </w:rPr>
            </w:pPr>
          </w:p>
        </w:tc>
        <w:tc>
          <w:tcPr>
            <w:tcW w:w="725" w:type="pct"/>
            <w:vAlign w:val="center"/>
          </w:tcPr>
          <w:p w:rsidR="00F1377E" w:rsidRPr="00332009" w:rsidRDefault="00F1377E" w:rsidP="00F1377E">
            <w:pPr>
              <w:jc w:val="center"/>
              <w:rPr>
                <w:sz w:val="24"/>
                <w:szCs w:val="24"/>
                <w:lang w:val="uk-UA"/>
              </w:rPr>
            </w:pPr>
            <w:r w:rsidRPr="00332009">
              <w:rPr>
                <w:sz w:val="24"/>
                <w:szCs w:val="24"/>
                <w:lang w:val="uk-UA"/>
              </w:rPr>
              <w:t>60,0</w:t>
            </w:r>
          </w:p>
        </w:tc>
      </w:tr>
      <w:tr w:rsidR="00F1377E" w:rsidRPr="00332009" w:rsidTr="00F1377E">
        <w:trPr>
          <w:trHeight w:val="406"/>
        </w:trPr>
        <w:tc>
          <w:tcPr>
            <w:tcW w:w="100" w:type="pct"/>
            <w:vMerge/>
            <w:vAlign w:val="center"/>
          </w:tcPr>
          <w:p w:rsidR="00F1377E" w:rsidRPr="00332009" w:rsidRDefault="00F1377E" w:rsidP="00F1377E">
            <w:pPr>
              <w:jc w:val="center"/>
              <w:rPr>
                <w:sz w:val="24"/>
                <w:szCs w:val="24"/>
                <w:lang w:val="uk-UA"/>
              </w:rPr>
            </w:pPr>
          </w:p>
        </w:tc>
        <w:tc>
          <w:tcPr>
            <w:tcW w:w="555" w:type="pct"/>
            <w:vMerge/>
            <w:vAlign w:val="center"/>
          </w:tcPr>
          <w:p w:rsidR="00F1377E" w:rsidRPr="00332009" w:rsidRDefault="00F1377E" w:rsidP="00F1377E">
            <w:pPr>
              <w:jc w:val="center"/>
              <w:rPr>
                <w:sz w:val="24"/>
                <w:szCs w:val="24"/>
                <w:lang w:val="uk-UA"/>
              </w:rPr>
            </w:pPr>
          </w:p>
        </w:tc>
        <w:tc>
          <w:tcPr>
            <w:tcW w:w="292" w:type="pct"/>
            <w:vMerge/>
            <w:vAlign w:val="center"/>
          </w:tcPr>
          <w:p w:rsidR="00F1377E" w:rsidRPr="00332009" w:rsidRDefault="00F1377E" w:rsidP="00F1377E">
            <w:pPr>
              <w:ind w:right="-109"/>
              <w:jc w:val="center"/>
              <w:rPr>
                <w:sz w:val="24"/>
                <w:szCs w:val="24"/>
                <w:lang w:val="uk-UA"/>
              </w:rPr>
            </w:pPr>
          </w:p>
        </w:tc>
        <w:tc>
          <w:tcPr>
            <w:tcW w:w="2015" w:type="pct"/>
            <w:vAlign w:val="center"/>
          </w:tcPr>
          <w:p w:rsidR="00F1377E" w:rsidRPr="00332009" w:rsidRDefault="00F1377E" w:rsidP="00EC6F67">
            <w:pPr>
              <w:ind w:right="25"/>
              <w:rPr>
                <w:sz w:val="24"/>
                <w:szCs w:val="24"/>
                <w:lang w:val="uk-UA"/>
              </w:rPr>
            </w:pPr>
            <w:r w:rsidRPr="00332009">
              <w:rPr>
                <w:color w:val="000000" w:themeColor="text1"/>
                <w:sz w:val="24"/>
                <w:szCs w:val="24"/>
                <w:lang w:val="uk-UA"/>
              </w:rPr>
              <w:t>2.6. Розробка детальн</w:t>
            </w:r>
            <w:r w:rsidR="00EC6F67" w:rsidRPr="00332009">
              <w:rPr>
                <w:color w:val="000000" w:themeColor="text1"/>
                <w:sz w:val="24"/>
                <w:szCs w:val="24"/>
                <w:lang w:val="uk-UA"/>
              </w:rPr>
              <w:t xml:space="preserve">их </w:t>
            </w:r>
            <w:r w:rsidRPr="00332009">
              <w:rPr>
                <w:color w:val="000000" w:themeColor="text1"/>
                <w:sz w:val="24"/>
                <w:szCs w:val="24"/>
                <w:lang w:val="uk-UA"/>
              </w:rPr>
              <w:t>план</w:t>
            </w:r>
            <w:r w:rsidR="00EC6F67" w:rsidRPr="00332009">
              <w:rPr>
                <w:color w:val="000000" w:themeColor="text1"/>
                <w:sz w:val="24"/>
                <w:szCs w:val="24"/>
                <w:lang w:val="uk-UA"/>
              </w:rPr>
              <w:t>ів</w:t>
            </w:r>
            <w:r w:rsidRPr="00332009">
              <w:rPr>
                <w:color w:val="000000" w:themeColor="text1"/>
                <w:sz w:val="24"/>
                <w:szCs w:val="24"/>
                <w:lang w:val="uk-UA"/>
              </w:rPr>
              <w:t xml:space="preserve"> територі</w:t>
            </w:r>
            <w:r w:rsidR="00EC6F67" w:rsidRPr="00332009">
              <w:rPr>
                <w:color w:val="000000" w:themeColor="text1"/>
                <w:sz w:val="24"/>
                <w:szCs w:val="24"/>
                <w:lang w:val="uk-UA"/>
              </w:rPr>
              <w:t>ї</w:t>
            </w:r>
          </w:p>
        </w:tc>
        <w:tc>
          <w:tcPr>
            <w:tcW w:w="263" w:type="pct"/>
            <w:vMerge/>
            <w:vAlign w:val="center"/>
          </w:tcPr>
          <w:p w:rsidR="00F1377E" w:rsidRPr="00332009" w:rsidRDefault="00F1377E" w:rsidP="00F1377E">
            <w:pPr>
              <w:jc w:val="center"/>
              <w:rPr>
                <w:sz w:val="24"/>
                <w:szCs w:val="24"/>
                <w:lang w:val="uk-UA"/>
              </w:rPr>
            </w:pPr>
          </w:p>
        </w:tc>
        <w:tc>
          <w:tcPr>
            <w:tcW w:w="629" w:type="pct"/>
            <w:vMerge/>
            <w:vAlign w:val="center"/>
          </w:tcPr>
          <w:p w:rsidR="00F1377E" w:rsidRPr="00332009" w:rsidRDefault="00F1377E" w:rsidP="00F1377E">
            <w:pPr>
              <w:jc w:val="both"/>
              <w:rPr>
                <w:sz w:val="24"/>
                <w:szCs w:val="24"/>
                <w:lang w:val="uk-UA"/>
              </w:rPr>
            </w:pPr>
          </w:p>
        </w:tc>
        <w:tc>
          <w:tcPr>
            <w:tcW w:w="420" w:type="pct"/>
            <w:vMerge/>
            <w:vAlign w:val="center"/>
          </w:tcPr>
          <w:p w:rsidR="00F1377E" w:rsidRPr="00332009" w:rsidRDefault="00F1377E" w:rsidP="00F1377E">
            <w:pPr>
              <w:jc w:val="center"/>
              <w:rPr>
                <w:sz w:val="24"/>
                <w:szCs w:val="24"/>
                <w:lang w:val="uk-UA"/>
              </w:rPr>
            </w:pPr>
          </w:p>
        </w:tc>
        <w:tc>
          <w:tcPr>
            <w:tcW w:w="725" w:type="pct"/>
            <w:vAlign w:val="center"/>
          </w:tcPr>
          <w:p w:rsidR="00F1377E" w:rsidRPr="00332009" w:rsidRDefault="00F1377E" w:rsidP="00F1377E">
            <w:pPr>
              <w:jc w:val="center"/>
              <w:rPr>
                <w:sz w:val="24"/>
                <w:szCs w:val="24"/>
                <w:lang w:val="uk-UA"/>
              </w:rPr>
            </w:pPr>
            <w:r w:rsidRPr="00332009">
              <w:rPr>
                <w:sz w:val="24"/>
                <w:szCs w:val="24"/>
                <w:lang w:val="uk-UA"/>
              </w:rPr>
              <w:t>200,0</w:t>
            </w:r>
          </w:p>
        </w:tc>
      </w:tr>
      <w:tr w:rsidR="00F1377E" w:rsidRPr="00332009" w:rsidTr="00F1377E">
        <w:trPr>
          <w:trHeight w:val="425"/>
        </w:trPr>
        <w:tc>
          <w:tcPr>
            <w:tcW w:w="100" w:type="pct"/>
            <w:vMerge/>
            <w:vAlign w:val="center"/>
          </w:tcPr>
          <w:p w:rsidR="00F1377E" w:rsidRPr="00332009" w:rsidRDefault="00F1377E" w:rsidP="00F1377E">
            <w:pPr>
              <w:jc w:val="center"/>
              <w:rPr>
                <w:sz w:val="24"/>
                <w:szCs w:val="24"/>
                <w:lang w:val="uk-UA"/>
              </w:rPr>
            </w:pPr>
          </w:p>
        </w:tc>
        <w:tc>
          <w:tcPr>
            <w:tcW w:w="555" w:type="pct"/>
            <w:vMerge/>
            <w:vAlign w:val="center"/>
          </w:tcPr>
          <w:p w:rsidR="00F1377E" w:rsidRPr="00332009" w:rsidRDefault="00F1377E" w:rsidP="00F1377E">
            <w:pPr>
              <w:jc w:val="center"/>
              <w:rPr>
                <w:sz w:val="24"/>
                <w:szCs w:val="24"/>
                <w:lang w:val="uk-UA"/>
              </w:rPr>
            </w:pPr>
          </w:p>
        </w:tc>
        <w:tc>
          <w:tcPr>
            <w:tcW w:w="292" w:type="pct"/>
            <w:vMerge/>
            <w:vAlign w:val="center"/>
          </w:tcPr>
          <w:p w:rsidR="00F1377E" w:rsidRPr="00332009" w:rsidRDefault="00F1377E" w:rsidP="00F1377E">
            <w:pPr>
              <w:ind w:right="-109"/>
              <w:jc w:val="center"/>
              <w:rPr>
                <w:sz w:val="24"/>
                <w:szCs w:val="24"/>
                <w:lang w:val="uk-UA"/>
              </w:rPr>
            </w:pPr>
          </w:p>
        </w:tc>
        <w:tc>
          <w:tcPr>
            <w:tcW w:w="2015" w:type="pct"/>
            <w:vAlign w:val="center"/>
          </w:tcPr>
          <w:p w:rsidR="00F1377E" w:rsidRPr="00332009" w:rsidRDefault="00F1377E" w:rsidP="00F1377E">
            <w:pPr>
              <w:ind w:right="25"/>
              <w:rPr>
                <w:sz w:val="24"/>
                <w:szCs w:val="24"/>
                <w:lang w:val="uk-UA"/>
              </w:rPr>
            </w:pPr>
            <w:r w:rsidRPr="00332009">
              <w:rPr>
                <w:color w:val="000000" w:themeColor="text1"/>
                <w:sz w:val="24"/>
                <w:szCs w:val="24"/>
                <w:lang w:val="uk-UA"/>
              </w:rPr>
              <w:t xml:space="preserve">2.7. Створення </w:t>
            </w:r>
            <w:proofErr w:type="spellStart"/>
            <w:r w:rsidRPr="00332009">
              <w:rPr>
                <w:color w:val="000000" w:themeColor="text1"/>
                <w:sz w:val="24"/>
                <w:szCs w:val="24"/>
                <w:lang w:val="uk-UA"/>
              </w:rPr>
              <w:t>геопорталу</w:t>
            </w:r>
            <w:proofErr w:type="spellEnd"/>
            <w:r w:rsidRPr="00332009">
              <w:rPr>
                <w:color w:val="000000" w:themeColor="text1"/>
                <w:sz w:val="24"/>
                <w:szCs w:val="24"/>
                <w:lang w:val="uk-UA"/>
              </w:rPr>
              <w:t xml:space="preserve"> містобудівного кадастру </w:t>
            </w:r>
          </w:p>
        </w:tc>
        <w:tc>
          <w:tcPr>
            <w:tcW w:w="263" w:type="pct"/>
            <w:vMerge/>
            <w:vAlign w:val="center"/>
          </w:tcPr>
          <w:p w:rsidR="00F1377E" w:rsidRPr="00332009" w:rsidRDefault="00F1377E" w:rsidP="00F1377E">
            <w:pPr>
              <w:jc w:val="center"/>
              <w:rPr>
                <w:sz w:val="24"/>
                <w:szCs w:val="24"/>
                <w:lang w:val="uk-UA"/>
              </w:rPr>
            </w:pPr>
          </w:p>
        </w:tc>
        <w:tc>
          <w:tcPr>
            <w:tcW w:w="629" w:type="pct"/>
            <w:vMerge/>
            <w:vAlign w:val="center"/>
          </w:tcPr>
          <w:p w:rsidR="00F1377E" w:rsidRPr="00332009" w:rsidRDefault="00F1377E" w:rsidP="00F1377E">
            <w:pPr>
              <w:jc w:val="both"/>
              <w:rPr>
                <w:sz w:val="24"/>
                <w:szCs w:val="24"/>
                <w:lang w:val="uk-UA"/>
              </w:rPr>
            </w:pPr>
          </w:p>
        </w:tc>
        <w:tc>
          <w:tcPr>
            <w:tcW w:w="420" w:type="pct"/>
            <w:vMerge/>
            <w:vAlign w:val="center"/>
          </w:tcPr>
          <w:p w:rsidR="00F1377E" w:rsidRPr="00332009" w:rsidRDefault="00F1377E" w:rsidP="00F1377E">
            <w:pPr>
              <w:jc w:val="center"/>
              <w:rPr>
                <w:sz w:val="24"/>
                <w:szCs w:val="24"/>
                <w:lang w:val="uk-UA"/>
              </w:rPr>
            </w:pPr>
          </w:p>
        </w:tc>
        <w:tc>
          <w:tcPr>
            <w:tcW w:w="725" w:type="pct"/>
            <w:vAlign w:val="center"/>
          </w:tcPr>
          <w:p w:rsidR="00F1377E" w:rsidRPr="00332009" w:rsidRDefault="00F1377E" w:rsidP="00F1377E">
            <w:pPr>
              <w:jc w:val="center"/>
              <w:rPr>
                <w:sz w:val="24"/>
                <w:szCs w:val="24"/>
                <w:lang w:val="uk-UA"/>
              </w:rPr>
            </w:pPr>
            <w:r w:rsidRPr="00332009">
              <w:rPr>
                <w:sz w:val="24"/>
                <w:szCs w:val="24"/>
                <w:lang w:val="uk-UA"/>
              </w:rPr>
              <w:t>130,0</w:t>
            </w:r>
          </w:p>
        </w:tc>
      </w:tr>
      <w:tr w:rsidR="00F1377E" w:rsidRPr="00332009" w:rsidTr="00F1377E">
        <w:trPr>
          <w:trHeight w:val="545"/>
        </w:trPr>
        <w:tc>
          <w:tcPr>
            <w:tcW w:w="100" w:type="pct"/>
            <w:vMerge/>
            <w:vAlign w:val="center"/>
          </w:tcPr>
          <w:p w:rsidR="00F1377E" w:rsidRPr="00332009" w:rsidRDefault="00F1377E" w:rsidP="00F1377E">
            <w:pPr>
              <w:jc w:val="center"/>
              <w:rPr>
                <w:sz w:val="24"/>
                <w:szCs w:val="24"/>
                <w:lang w:val="uk-UA"/>
              </w:rPr>
            </w:pPr>
          </w:p>
        </w:tc>
        <w:tc>
          <w:tcPr>
            <w:tcW w:w="555" w:type="pct"/>
            <w:vMerge/>
            <w:vAlign w:val="center"/>
          </w:tcPr>
          <w:p w:rsidR="00F1377E" w:rsidRPr="00332009" w:rsidRDefault="00F1377E" w:rsidP="00F1377E">
            <w:pPr>
              <w:jc w:val="center"/>
              <w:rPr>
                <w:sz w:val="24"/>
                <w:szCs w:val="24"/>
                <w:lang w:val="uk-UA"/>
              </w:rPr>
            </w:pPr>
          </w:p>
        </w:tc>
        <w:tc>
          <w:tcPr>
            <w:tcW w:w="292" w:type="pct"/>
            <w:vMerge/>
            <w:vAlign w:val="center"/>
          </w:tcPr>
          <w:p w:rsidR="00F1377E" w:rsidRPr="00332009" w:rsidRDefault="00F1377E" w:rsidP="00F1377E">
            <w:pPr>
              <w:ind w:right="-109"/>
              <w:jc w:val="center"/>
              <w:rPr>
                <w:sz w:val="24"/>
                <w:szCs w:val="24"/>
                <w:lang w:val="uk-UA"/>
              </w:rPr>
            </w:pPr>
          </w:p>
        </w:tc>
        <w:tc>
          <w:tcPr>
            <w:tcW w:w="2015" w:type="pct"/>
            <w:vAlign w:val="center"/>
          </w:tcPr>
          <w:p w:rsidR="00F1377E" w:rsidRPr="00332009" w:rsidRDefault="00F1377E" w:rsidP="00F1377E">
            <w:pPr>
              <w:ind w:right="25"/>
              <w:rPr>
                <w:sz w:val="24"/>
                <w:szCs w:val="24"/>
                <w:lang w:val="uk-UA"/>
              </w:rPr>
            </w:pPr>
            <w:r w:rsidRPr="00332009">
              <w:rPr>
                <w:color w:val="000000" w:themeColor="text1"/>
                <w:sz w:val="24"/>
                <w:szCs w:val="24"/>
                <w:lang w:val="uk-UA"/>
              </w:rPr>
              <w:t>2.8. Корегування проекту генерального плану та плану зонування території міста Жмеринка</w:t>
            </w:r>
          </w:p>
        </w:tc>
        <w:tc>
          <w:tcPr>
            <w:tcW w:w="263" w:type="pct"/>
            <w:vMerge/>
            <w:vAlign w:val="center"/>
          </w:tcPr>
          <w:p w:rsidR="00F1377E" w:rsidRPr="00332009" w:rsidRDefault="00F1377E" w:rsidP="00F1377E">
            <w:pPr>
              <w:jc w:val="center"/>
              <w:rPr>
                <w:sz w:val="24"/>
                <w:szCs w:val="24"/>
                <w:lang w:val="uk-UA"/>
              </w:rPr>
            </w:pPr>
          </w:p>
        </w:tc>
        <w:tc>
          <w:tcPr>
            <w:tcW w:w="629" w:type="pct"/>
            <w:vMerge/>
            <w:vAlign w:val="center"/>
          </w:tcPr>
          <w:p w:rsidR="00F1377E" w:rsidRPr="00332009" w:rsidRDefault="00F1377E" w:rsidP="00F1377E">
            <w:pPr>
              <w:jc w:val="both"/>
              <w:rPr>
                <w:sz w:val="24"/>
                <w:szCs w:val="24"/>
                <w:lang w:val="uk-UA"/>
              </w:rPr>
            </w:pPr>
          </w:p>
        </w:tc>
        <w:tc>
          <w:tcPr>
            <w:tcW w:w="420" w:type="pct"/>
            <w:vMerge/>
            <w:vAlign w:val="center"/>
          </w:tcPr>
          <w:p w:rsidR="00F1377E" w:rsidRPr="00332009" w:rsidRDefault="00F1377E" w:rsidP="00F1377E">
            <w:pPr>
              <w:jc w:val="center"/>
              <w:rPr>
                <w:sz w:val="24"/>
                <w:szCs w:val="24"/>
                <w:lang w:val="uk-UA"/>
              </w:rPr>
            </w:pPr>
          </w:p>
        </w:tc>
        <w:tc>
          <w:tcPr>
            <w:tcW w:w="725" w:type="pct"/>
            <w:vAlign w:val="center"/>
          </w:tcPr>
          <w:p w:rsidR="00F1377E" w:rsidRPr="00332009" w:rsidRDefault="00F1377E" w:rsidP="00F1377E">
            <w:pPr>
              <w:jc w:val="center"/>
              <w:rPr>
                <w:sz w:val="24"/>
                <w:szCs w:val="24"/>
                <w:lang w:val="uk-UA"/>
              </w:rPr>
            </w:pPr>
            <w:r w:rsidRPr="00332009">
              <w:rPr>
                <w:sz w:val="24"/>
                <w:szCs w:val="24"/>
                <w:lang w:val="uk-UA"/>
              </w:rPr>
              <w:t>400,0</w:t>
            </w:r>
          </w:p>
        </w:tc>
      </w:tr>
      <w:tr w:rsidR="00F1377E" w:rsidRPr="00332009" w:rsidTr="00F1377E">
        <w:trPr>
          <w:trHeight w:val="543"/>
        </w:trPr>
        <w:tc>
          <w:tcPr>
            <w:tcW w:w="100" w:type="pct"/>
            <w:vAlign w:val="center"/>
          </w:tcPr>
          <w:p w:rsidR="00F1377E" w:rsidRPr="00332009" w:rsidRDefault="00F1377E" w:rsidP="00F1377E">
            <w:pPr>
              <w:jc w:val="center"/>
              <w:rPr>
                <w:sz w:val="24"/>
                <w:szCs w:val="24"/>
                <w:lang w:val="uk-UA"/>
              </w:rPr>
            </w:pPr>
          </w:p>
        </w:tc>
        <w:tc>
          <w:tcPr>
            <w:tcW w:w="3125" w:type="pct"/>
            <w:gridSpan w:val="4"/>
            <w:vAlign w:val="center"/>
          </w:tcPr>
          <w:p w:rsidR="00F1377E" w:rsidRPr="00332009" w:rsidRDefault="008C6046" w:rsidP="008C6046">
            <w:pPr>
              <w:rPr>
                <w:b/>
                <w:sz w:val="24"/>
                <w:szCs w:val="24"/>
                <w:lang w:val="uk-UA"/>
              </w:rPr>
            </w:pPr>
            <w:r w:rsidRPr="00332009">
              <w:rPr>
                <w:b/>
                <w:sz w:val="24"/>
                <w:szCs w:val="24"/>
                <w:lang w:val="uk-UA"/>
              </w:rPr>
              <w:t>Разом по напрямках  Програми у 2019 році</w:t>
            </w:r>
          </w:p>
        </w:tc>
        <w:tc>
          <w:tcPr>
            <w:tcW w:w="629" w:type="pct"/>
            <w:vAlign w:val="center"/>
          </w:tcPr>
          <w:p w:rsidR="00F1377E" w:rsidRPr="00332009" w:rsidRDefault="00F1377E" w:rsidP="00F1377E">
            <w:pPr>
              <w:jc w:val="both"/>
              <w:rPr>
                <w:sz w:val="24"/>
                <w:szCs w:val="24"/>
                <w:lang w:val="uk-UA"/>
              </w:rPr>
            </w:pPr>
          </w:p>
        </w:tc>
        <w:tc>
          <w:tcPr>
            <w:tcW w:w="420" w:type="pct"/>
            <w:vAlign w:val="center"/>
          </w:tcPr>
          <w:p w:rsidR="00F1377E" w:rsidRPr="00332009" w:rsidRDefault="00F1377E" w:rsidP="00F1377E">
            <w:pPr>
              <w:jc w:val="center"/>
              <w:rPr>
                <w:sz w:val="24"/>
                <w:szCs w:val="24"/>
                <w:lang w:val="uk-UA"/>
              </w:rPr>
            </w:pPr>
          </w:p>
        </w:tc>
        <w:tc>
          <w:tcPr>
            <w:tcW w:w="725" w:type="pct"/>
            <w:vAlign w:val="center"/>
          </w:tcPr>
          <w:p w:rsidR="00F1377E" w:rsidRPr="00332009" w:rsidRDefault="00F1377E" w:rsidP="00F1377E">
            <w:pPr>
              <w:jc w:val="center"/>
              <w:rPr>
                <w:b/>
                <w:sz w:val="24"/>
                <w:szCs w:val="24"/>
                <w:lang w:val="uk-UA"/>
              </w:rPr>
            </w:pPr>
            <w:r w:rsidRPr="00332009">
              <w:rPr>
                <w:b/>
                <w:sz w:val="24"/>
                <w:szCs w:val="24"/>
                <w:lang w:val="uk-UA"/>
              </w:rPr>
              <w:t>1412,0</w:t>
            </w:r>
          </w:p>
        </w:tc>
      </w:tr>
    </w:tbl>
    <w:p w:rsidR="00FB7EAE" w:rsidRPr="00332009" w:rsidRDefault="00FB7EAE">
      <w:pPr>
        <w:rPr>
          <w:b/>
          <w:sz w:val="28"/>
          <w:szCs w:val="28"/>
          <w:lang w:val="uk-UA"/>
        </w:rPr>
      </w:pPr>
    </w:p>
    <w:p w:rsidR="00F1377E" w:rsidRPr="00332009" w:rsidRDefault="00F1377E" w:rsidP="00F1377E">
      <w:pPr>
        <w:ind w:left="1416" w:firstLine="708"/>
        <w:rPr>
          <w:b/>
          <w:sz w:val="28"/>
          <w:szCs w:val="28"/>
          <w:lang w:val="uk-UA"/>
        </w:rPr>
      </w:pPr>
      <w:r w:rsidRPr="00332009">
        <w:rPr>
          <w:b/>
          <w:sz w:val="28"/>
          <w:szCs w:val="28"/>
          <w:lang w:val="uk-UA"/>
        </w:rPr>
        <w:t xml:space="preserve">Секретар міської ради </w:t>
      </w:r>
      <w:r w:rsidRPr="00332009">
        <w:rPr>
          <w:b/>
          <w:sz w:val="28"/>
          <w:szCs w:val="28"/>
          <w:lang w:val="uk-UA"/>
        </w:rPr>
        <w:tab/>
      </w:r>
      <w:r w:rsidRPr="00332009">
        <w:rPr>
          <w:b/>
          <w:sz w:val="28"/>
          <w:szCs w:val="28"/>
          <w:lang w:val="uk-UA"/>
        </w:rPr>
        <w:tab/>
      </w:r>
      <w:r w:rsidRPr="00332009">
        <w:rPr>
          <w:b/>
          <w:sz w:val="28"/>
          <w:szCs w:val="28"/>
          <w:lang w:val="uk-UA"/>
        </w:rPr>
        <w:tab/>
      </w:r>
      <w:r w:rsidRPr="00332009">
        <w:rPr>
          <w:b/>
          <w:sz w:val="28"/>
          <w:szCs w:val="28"/>
          <w:lang w:val="uk-UA"/>
        </w:rPr>
        <w:tab/>
      </w:r>
      <w:r w:rsidRPr="00332009">
        <w:rPr>
          <w:b/>
          <w:sz w:val="28"/>
          <w:szCs w:val="28"/>
          <w:lang w:val="uk-UA"/>
        </w:rPr>
        <w:tab/>
      </w:r>
      <w:r w:rsidRPr="00332009">
        <w:rPr>
          <w:b/>
          <w:sz w:val="28"/>
          <w:szCs w:val="28"/>
          <w:lang w:val="uk-UA"/>
        </w:rPr>
        <w:tab/>
      </w:r>
      <w:r w:rsidRPr="00332009">
        <w:rPr>
          <w:b/>
          <w:sz w:val="28"/>
          <w:szCs w:val="28"/>
          <w:lang w:val="uk-UA"/>
        </w:rPr>
        <w:tab/>
      </w:r>
      <w:r w:rsidRPr="00332009">
        <w:rPr>
          <w:b/>
          <w:sz w:val="28"/>
          <w:szCs w:val="28"/>
          <w:lang w:val="uk-UA"/>
        </w:rPr>
        <w:tab/>
        <w:t>Ю. Світлак</w:t>
      </w:r>
    </w:p>
    <w:sectPr w:rsidR="00F1377E" w:rsidRPr="00332009" w:rsidSect="00F1377E">
      <w:pgSz w:w="16838" w:h="11906" w:orient="landscape"/>
      <w:pgMar w:top="568" w:right="1134"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F1377E"/>
    <w:rsid w:val="00015C3A"/>
    <w:rsid w:val="0009086B"/>
    <w:rsid w:val="00126485"/>
    <w:rsid w:val="001444AD"/>
    <w:rsid w:val="002660DF"/>
    <w:rsid w:val="002D61CA"/>
    <w:rsid w:val="002E7CAC"/>
    <w:rsid w:val="00332009"/>
    <w:rsid w:val="003C70A7"/>
    <w:rsid w:val="004263A1"/>
    <w:rsid w:val="004B7B16"/>
    <w:rsid w:val="004D77ED"/>
    <w:rsid w:val="0050086E"/>
    <w:rsid w:val="00501E36"/>
    <w:rsid w:val="00543378"/>
    <w:rsid w:val="005E75F1"/>
    <w:rsid w:val="00675FA9"/>
    <w:rsid w:val="0077481D"/>
    <w:rsid w:val="007A6023"/>
    <w:rsid w:val="007B677C"/>
    <w:rsid w:val="007D0791"/>
    <w:rsid w:val="00854098"/>
    <w:rsid w:val="008906BA"/>
    <w:rsid w:val="008C6046"/>
    <w:rsid w:val="008E1713"/>
    <w:rsid w:val="009119F1"/>
    <w:rsid w:val="00963F2A"/>
    <w:rsid w:val="009D3B8E"/>
    <w:rsid w:val="00A05206"/>
    <w:rsid w:val="00A57D27"/>
    <w:rsid w:val="00AA6C6F"/>
    <w:rsid w:val="00B32E7C"/>
    <w:rsid w:val="00B74523"/>
    <w:rsid w:val="00C7129D"/>
    <w:rsid w:val="00CD17FF"/>
    <w:rsid w:val="00CF413D"/>
    <w:rsid w:val="00CF7DB0"/>
    <w:rsid w:val="00D07D69"/>
    <w:rsid w:val="00D912E8"/>
    <w:rsid w:val="00E27007"/>
    <w:rsid w:val="00E34C56"/>
    <w:rsid w:val="00E75699"/>
    <w:rsid w:val="00EC6F67"/>
    <w:rsid w:val="00F1377E"/>
    <w:rsid w:val="00F41BC1"/>
    <w:rsid w:val="00FB7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B2284A"/>
  <w15:docId w15:val="{99D15AE3-D706-44BF-8246-ECD1DAB1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7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1377E"/>
    <w:pPr>
      <w:keepNext/>
      <w:shd w:val="clear" w:color="auto" w:fill="FFFFFF"/>
      <w:spacing w:before="317" w:line="312" w:lineRule="exact"/>
      <w:ind w:right="77"/>
      <w:jc w:val="center"/>
      <w:outlineLvl w:val="0"/>
    </w:pPr>
    <w:rPr>
      <w:b/>
      <w:bCs/>
      <w:color w:val="000000"/>
      <w:spacing w:val="-7"/>
      <w:sz w:val="29"/>
      <w:szCs w:val="29"/>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377E"/>
    <w:rPr>
      <w:rFonts w:ascii="Times New Roman" w:eastAsia="Times New Roman" w:hAnsi="Times New Roman" w:cs="Times New Roman"/>
      <w:b/>
      <w:bCs/>
      <w:color w:val="000000"/>
      <w:spacing w:val="-7"/>
      <w:sz w:val="29"/>
      <w:szCs w:val="29"/>
      <w:shd w:val="clear" w:color="auto" w:fill="FFFFFF"/>
      <w:lang w:val="uk-UA" w:eastAsia="ru-RU"/>
    </w:rPr>
  </w:style>
  <w:style w:type="paragraph" w:styleId="a3">
    <w:name w:val="Body Text"/>
    <w:basedOn w:val="a"/>
    <w:link w:val="a4"/>
    <w:rsid w:val="00F1377E"/>
    <w:pPr>
      <w:widowControl/>
      <w:autoSpaceDE/>
      <w:autoSpaceDN/>
      <w:adjustRightInd/>
      <w:spacing w:after="120"/>
    </w:pPr>
  </w:style>
  <w:style w:type="character" w:customStyle="1" w:styleId="a4">
    <w:name w:val="Основной текст Знак"/>
    <w:basedOn w:val="a0"/>
    <w:link w:val="a3"/>
    <w:rsid w:val="00F1377E"/>
    <w:rPr>
      <w:rFonts w:ascii="Times New Roman" w:eastAsia="Times New Roman" w:hAnsi="Times New Roman" w:cs="Times New Roman"/>
      <w:sz w:val="20"/>
      <w:szCs w:val="20"/>
      <w:lang w:eastAsia="ru-RU"/>
    </w:rPr>
  </w:style>
  <w:style w:type="paragraph" w:styleId="a5">
    <w:name w:val="List Paragraph"/>
    <w:basedOn w:val="a"/>
    <w:uiPriority w:val="34"/>
    <w:qFormat/>
    <w:rsid w:val="00E27007"/>
    <w:pPr>
      <w:ind w:left="720"/>
      <w:contextualSpacing/>
    </w:pPr>
  </w:style>
  <w:style w:type="paragraph" w:styleId="HTML">
    <w:name w:val="HTML Preformatted"/>
    <w:basedOn w:val="a"/>
    <w:link w:val="HTML0"/>
    <w:uiPriority w:val="99"/>
    <w:rsid w:val="00E270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uk-UA" w:eastAsia="uk-UA"/>
    </w:rPr>
  </w:style>
  <w:style w:type="character" w:customStyle="1" w:styleId="HTML0">
    <w:name w:val="Стандартный HTML Знак"/>
    <w:basedOn w:val="a0"/>
    <w:link w:val="HTML"/>
    <w:uiPriority w:val="99"/>
    <w:rsid w:val="00E27007"/>
    <w:rPr>
      <w:rFonts w:ascii="Courier New" w:eastAsia="Times New Roman" w:hAnsi="Courier New" w:cs="Courier New"/>
      <w:sz w:val="20"/>
      <w:szCs w:val="20"/>
      <w:lang w:val="uk-UA" w:eastAsia="uk-UA"/>
    </w:rPr>
  </w:style>
  <w:style w:type="paragraph" w:styleId="a6">
    <w:name w:val="Body Text Indent"/>
    <w:basedOn w:val="a"/>
    <w:link w:val="a7"/>
    <w:uiPriority w:val="99"/>
    <w:semiHidden/>
    <w:unhideWhenUsed/>
    <w:rsid w:val="00B74523"/>
    <w:pPr>
      <w:spacing w:after="120"/>
      <w:ind w:left="283"/>
    </w:pPr>
  </w:style>
  <w:style w:type="character" w:customStyle="1" w:styleId="a7">
    <w:name w:val="Основной текст с отступом Знак"/>
    <w:basedOn w:val="a0"/>
    <w:link w:val="a6"/>
    <w:uiPriority w:val="99"/>
    <w:semiHidden/>
    <w:rsid w:val="00B7452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41BC1"/>
    <w:rPr>
      <w:rFonts w:ascii="Segoe UI" w:hAnsi="Segoe UI" w:cs="Segoe UI"/>
      <w:sz w:val="18"/>
      <w:szCs w:val="18"/>
    </w:rPr>
  </w:style>
  <w:style w:type="character" w:customStyle="1" w:styleId="a9">
    <w:name w:val="Текст выноски Знак"/>
    <w:basedOn w:val="a0"/>
    <w:link w:val="a8"/>
    <w:uiPriority w:val="99"/>
    <w:semiHidden/>
    <w:rsid w:val="00F41BC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22B57-8C40-48CC-949F-38B88C34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493</Words>
  <Characters>2815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Кузьмина Лариса</dc:creator>
  <cp:lastModifiedBy>Кудіна Світлана</cp:lastModifiedBy>
  <cp:revision>3</cp:revision>
  <cp:lastPrinted>2019-02-25T13:18:00Z</cp:lastPrinted>
  <dcterms:created xsi:type="dcterms:W3CDTF">2019-02-25T13:14:00Z</dcterms:created>
  <dcterms:modified xsi:type="dcterms:W3CDTF">2019-02-25T13:25:00Z</dcterms:modified>
</cp:coreProperties>
</file>