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9CFF" w14:textId="7B34C40C" w:rsidR="001A3375" w:rsidRDefault="001A3375" w:rsidP="001A3375">
      <w:pPr>
        <w:tabs>
          <w:tab w:val="left" w:pos="1276"/>
        </w:tabs>
        <w:ind w:left="1274" w:right="1303"/>
        <w:jc w:val="center"/>
        <w:rPr>
          <w:color w:val="FFFFFF"/>
          <w:lang w:val="uk-UA"/>
        </w:rPr>
      </w:pPr>
      <w:r w:rsidRPr="00FA3239">
        <w:rPr>
          <w:noProof/>
          <w:color w:val="FFFFFF"/>
          <w:lang w:eastAsia="ru-RU"/>
        </w:rPr>
        <w:drawing>
          <wp:inline distT="0" distB="0" distL="0" distR="0" wp14:anchorId="185AFC9C" wp14:editId="0AA51C21">
            <wp:extent cx="4191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30000"/>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solidFill>
                      <a:srgbClr val="0000FF"/>
                    </a:solidFill>
                    <a:ln>
                      <a:noFill/>
                    </a:ln>
                  </pic:spPr>
                </pic:pic>
              </a:graphicData>
            </a:graphic>
          </wp:inline>
        </w:drawing>
      </w:r>
    </w:p>
    <w:p w14:paraId="2128E8E9" w14:textId="77777777" w:rsidR="001A3375" w:rsidRDefault="001A3375" w:rsidP="001A3375">
      <w:pPr>
        <w:shd w:val="clear" w:color="auto" w:fill="FFFFFF"/>
        <w:spacing w:before="205"/>
        <w:jc w:val="center"/>
        <w:rPr>
          <w:b/>
          <w:bCs/>
          <w:lang w:val="uk-UA"/>
        </w:rPr>
      </w:pPr>
      <w:r>
        <w:rPr>
          <w:b/>
          <w:bCs/>
          <w:sz w:val="18"/>
          <w:szCs w:val="18"/>
          <w:lang w:val="uk-UA"/>
        </w:rPr>
        <w:t>УКРАЇНА</w:t>
      </w:r>
    </w:p>
    <w:p w14:paraId="397BF94D" w14:textId="77777777" w:rsidR="001A3375" w:rsidRDefault="001A3375" w:rsidP="001A3375">
      <w:pPr>
        <w:shd w:val="clear" w:color="auto" w:fill="FFFFFF"/>
        <w:spacing w:before="22"/>
        <w:jc w:val="center"/>
        <w:rPr>
          <w:b/>
          <w:bCs/>
          <w:spacing w:val="2"/>
          <w:lang w:val="uk-UA"/>
        </w:rPr>
      </w:pPr>
      <w:r>
        <w:rPr>
          <w:b/>
          <w:bCs/>
          <w:spacing w:val="2"/>
          <w:lang w:val="uk-UA"/>
        </w:rPr>
        <w:t xml:space="preserve">ЧОРНОМОРСЬКА МІСЬКА РАДА </w:t>
      </w:r>
    </w:p>
    <w:p w14:paraId="6417E3D3" w14:textId="77777777" w:rsidR="001A3375" w:rsidRDefault="001A3375" w:rsidP="001A3375">
      <w:pPr>
        <w:shd w:val="clear" w:color="auto" w:fill="FFFFFF"/>
        <w:spacing w:before="22"/>
        <w:jc w:val="center"/>
        <w:rPr>
          <w:spacing w:val="2"/>
          <w:sz w:val="32"/>
          <w:szCs w:val="32"/>
          <w:lang w:val="uk-UA"/>
        </w:rPr>
      </w:pPr>
      <w:r>
        <w:rPr>
          <w:bCs/>
          <w:spacing w:val="2"/>
          <w:sz w:val="32"/>
          <w:szCs w:val="32"/>
          <w:lang w:val="uk-UA"/>
        </w:rPr>
        <w:t>Одеського району Одеської області</w:t>
      </w:r>
    </w:p>
    <w:p w14:paraId="038C023A" w14:textId="77777777" w:rsidR="001A3375" w:rsidRDefault="001A3375" w:rsidP="001A3375">
      <w:pPr>
        <w:shd w:val="clear" w:color="auto" w:fill="FFFFFF"/>
        <w:jc w:val="center"/>
        <w:rPr>
          <w:rFonts w:cs="Arial"/>
          <w:b/>
          <w:caps/>
          <w:spacing w:val="-15"/>
          <w:sz w:val="32"/>
          <w:szCs w:val="32"/>
          <w:lang w:val="uk-UA"/>
        </w:rPr>
      </w:pPr>
      <w:r>
        <w:rPr>
          <w:b/>
          <w:bCs/>
          <w:caps/>
          <w:spacing w:val="-15"/>
          <w:sz w:val="32"/>
          <w:szCs w:val="32"/>
          <w:lang w:val="uk-UA"/>
        </w:rPr>
        <w:t xml:space="preserve"> Р і ш е н н я</w:t>
      </w:r>
    </w:p>
    <w:p w14:paraId="2D3E261E" w14:textId="77777777" w:rsidR="001A3375" w:rsidRDefault="001A3375" w:rsidP="001A3375">
      <w:pPr>
        <w:shd w:val="clear" w:color="auto" w:fill="FFFFFF"/>
        <w:spacing w:before="22"/>
        <w:jc w:val="center"/>
        <w:rPr>
          <w:caps/>
          <w:spacing w:val="-15"/>
          <w:sz w:val="20"/>
          <w:szCs w:val="20"/>
          <w:lang w:val="uk-UA"/>
        </w:rPr>
      </w:pPr>
    </w:p>
    <w:p w14:paraId="44490578" w14:textId="77777777" w:rsidR="001A3375" w:rsidRDefault="001A3375" w:rsidP="001A3375">
      <w:pPr>
        <w:shd w:val="clear" w:color="auto" w:fill="FFFFFF"/>
        <w:spacing w:before="22"/>
        <w:jc w:val="center"/>
        <w:rPr>
          <w:caps/>
          <w:spacing w:val="-15"/>
          <w:sz w:val="20"/>
          <w:szCs w:val="20"/>
          <w:lang w:val="uk-UA"/>
        </w:rPr>
      </w:pPr>
    </w:p>
    <w:p w14:paraId="4063ABC1" w14:textId="77777777" w:rsidR="001A3375" w:rsidRPr="00B56EE7" w:rsidRDefault="001A3375" w:rsidP="001A3375">
      <w:pPr>
        <w:tabs>
          <w:tab w:val="left" w:pos="7695"/>
        </w:tabs>
        <w:rPr>
          <w:b/>
          <w:sz w:val="36"/>
          <w:szCs w:val="36"/>
          <w:lang w:val="uk-UA"/>
        </w:rPr>
      </w:pPr>
      <w:r w:rsidRPr="00B56EE7">
        <w:rPr>
          <w:b/>
          <w:sz w:val="36"/>
          <w:szCs w:val="36"/>
          <w:lang w:val="uk-UA"/>
        </w:rPr>
        <w:t xml:space="preserve">                                                              </w:t>
      </w:r>
    </w:p>
    <w:p w14:paraId="4AC0D8D0" w14:textId="77777777" w:rsidR="001A3375" w:rsidRDefault="003445C1" w:rsidP="001A3375">
      <w:pPr>
        <w:rPr>
          <w:rFonts w:eastAsia="Calibri"/>
          <w:lang w:val="uk-UA"/>
        </w:rPr>
      </w:pPr>
      <w:r>
        <w:rPr>
          <w:noProof/>
        </w:rPr>
        <w:pict w14:anchorId="5A7AA493">
          <v:line id="Пряма сполучна лінія 3" o:spid="_x0000_s1026" style="position:absolute;z-index:251659264;visibility:visible" from="330pt,.9pt" to="45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" strokeweight="1pt"/>
        </w:pict>
      </w:r>
      <w:r>
        <w:rPr>
          <w:noProof/>
        </w:rPr>
        <w:pict w14:anchorId="2E088820">
          <v:line id="Пряма сполучна лінія 2" o:spid="_x0000_s1027" style="position:absolute;z-index:251660288;visibility:visible" from="-6.6pt,.9pt" to="1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" strokeweight="1pt"/>
        </w:pict>
      </w:r>
      <w:r w:rsidR="001A3375">
        <w:rPr>
          <w:lang w:val="uk-UA"/>
        </w:rPr>
        <w:t xml:space="preserve">      </w:t>
      </w:r>
    </w:p>
    <w:tbl>
      <w:tblPr>
        <w:tblStyle w:val="10"/>
        <w:tblW w:w="0" w:type="auto"/>
        <w:tblInd w:w="-142" w:type="dxa"/>
        <w:tblLayout w:type="fixed"/>
        <w:tblLook w:val="04A0" w:firstRow="1" w:lastRow="0" w:firstColumn="1" w:lastColumn="0" w:noHBand="0" w:noVBand="1"/>
      </w:tblPr>
      <w:tblGrid>
        <w:gridCol w:w="5353"/>
      </w:tblGrid>
      <w:tr w:rsidR="00A3385E" w:rsidRPr="003445C1" w14:paraId="6ACDFA3D" w14:textId="77777777" w:rsidTr="0085026C">
        <w:tc>
          <w:tcPr>
            <w:tcW w:w="5353" w:type="dxa"/>
            <w:tcBorders>
              <w:top w:val="nil"/>
              <w:left w:val="nil"/>
              <w:bottom w:val="nil"/>
              <w:right w:val="nil"/>
            </w:tcBorders>
          </w:tcPr>
          <w:p w14:paraId="21A8FBBB" w14:textId="5182C0B7" w:rsidR="00A3385E" w:rsidRDefault="006625F9">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 та доповненнями)</w:t>
            </w:r>
          </w:p>
        </w:tc>
      </w:tr>
    </w:tbl>
    <w:p w14:paraId="7B05F709" w14:textId="77777777" w:rsidR="00A3385E" w:rsidRDefault="00A3385E">
      <w:pPr>
        <w:spacing w:before="88"/>
        <w:ind w:right="5090"/>
        <w:rPr>
          <w:sz w:val="28"/>
          <w:szCs w:val="28"/>
          <w:lang w:val="uk-UA"/>
        </w:rPr>
      </w:pPr>
    </w:p>
    <w:p w14:paraId="2EE2FE4B" w14:textId="5C91597B" w:rsidR="00A3385E" w:rsidRDefault="006625F9">
      <w:pPr>
        <w:ind w:firstLine="567"/>
        <w:jc w:val="both"/>
        <w:rPr>
          <w:sz w:val="24"/>
          <w:szCs w:val="24"/>
          <w:lang w:val="uk-UA" w:eastAsia="uk-UA"/>
        </w:rPr>
      </w:pPr>
      <w:r>
        <w:rPr>
          <w:sz w:val="24"/>
          <w:szCs w:val="24"/>
          <w:lang w:val="uk-UA" w:eastAsia="uk-UA"/>
        </w:rPr>
        <w:t xml:space="preserve">З метою сприяння у створенні належних умов функціонування військових формувань в період воєнного стану та </w:t>
      </w:r>
      <w:r>
        <w:rPr>
          <w:rFonts w:eastAsia="Calibri"/>
          <w:sz w:val="24"/>
          <w:szCs w:val="24"/>
          <w:lang w:val="uk-UA"/>
        </w:rPr>
        <w:t>посилення безпеки громадського порядку</w:t>
      </w:r>
      <w:r>
        <w:rPr>
          <w:sz w:val="24"/>
          <w:szCs w:val="24"/>
          <w:lang w:val="uk-UA" w:eastAsia="uk-UA"/>
        </w:rPr>
        <w:t xml:space="preserve"> на території Чорноморської міської територіальної громади, беручи до уваги </w:t>
      </w:r>
      <w:r w:rsidR="008B6A2C">
        <w:rPr>
          <w:sz w:val="24"/>
          <w:szCs w:val="24"/>
          <w:lang w:val="uk-UA" w:eastAsia="uk-UA"/>
        </w:rPr>
        <w:t xml:space="preserve">лист заступника начальника управління комунальної власності та земельних відносин </w:t>
      </w:r>
      <w:r>
        <w:rPr>
          <w:sz w:val="24"/>
          <w:szCs w:val="24"/>
          <w:lang w:val="uk-UA" w:eastAsia="uk-UA"/>
        </w:rPr>
        <w:t>від 20.0</w:t>
      </w:r>
      <w:r w:rsidR="008B6A2C">
        <w:rPr>
          <w:sz w:val="24"/>
          <w:szCs w:val="24"/>
          <w:lang w:val="uk-UA" w:eastAsia="uk-UA"/>
        </w:rPr>
        <w:t>7</w:t>
      </w:r>
      <w:r>
        <w:rPr>
          <w:sz w:val="24"/>
          <w:szCs w:val="24"/>
          <w:lang w:val="uk-UA" w:eastAsia="uk-UA"/>
        </w:rPr>
        <w:t>.2023 №</w:t>
      </w:r>
      <w:r w:rsidR="0085026C" w:rsidRPr="0085026C">
        <w:rPr>
          <w:sz w:val="24"/>
          <w:szCs w:val="24"/>
          <w:lang w:val="uk-UA" w:eastAsia="uk-UA"/>
        </w:rPr>
        <w:t xml:space="preserve"> </w:t>
      </w:r>
      <w:r w:rsidR="008B6A2C">
        <w:rPr>
          <w:sz w:val="24"/>
          <w:szCs w:val="24"/>
          <w:lang w:val="uk-UA" w:eastAsia="uk-UA"/>
        </w:rPr>
        <w:t>669</w:t>
      </w:r>
      <w:r>
        <w:rPr>
          <w:sz w:val="24"/>
          <w:szCs w:val="24"/>
          <w:lang w:val="uk-UA" w:eastAsia="uk-UA"/>
        </w:rPr>
        <w:t xml:space="preserve"> </w:t>
      </w:r>
      <w:r w:rsidR="0085026C" w:rsidRPr="0085026C">
        <w:rPr>
          <w:sz w:val="24"/>
          <w:szCs w:val="24"/>
          <w:lang w:val="uk-UA" w:eastAsia="uk-UA"/>
        </w:rPr>
        <w:t xml:space="preserve">                                   </w:t>
      </w:r>
      <w:r>
        <w:rPr>
          <w:sz w:val="24"/>
          <w:szCs w:val="24"/>
          <w:lang w:val="uk-UA" w:eastAsia="uk-UA"/>
        </w:rPr>
        <w:t>(№</w:t>
      </w:r>
      <w:r w:rsidR="0085026C" w:rsidRPr="0085026C">
        <w:rPr>
          <w:sz w:val="24"/>
          <w:szCs w:val="24"/>
          <w:lang w:val="uk-UA" w:eastAsia="uk-UA"/>
        </w:rPr>
        <w:t xml:space="preserve"> </w:t>
      </w:r>
      <w:r>
        <w:rPr>
          <w:sz w:val="24"/>
          <w:szCs w:val="24"/>
          <w:lang w:val="uk-UA" w:eastAsia="uk-UA"/>
        </w:rPr>
        <w:t>В</w:t>
      </w:r>
      <w:r w:rsidR="008B6A2C">
        <w:rPr>
          <w:sz w:val="24"/>
          <w:szCs w:val="24"/>
          <w:lang w:val="uk-UA" w:eastAsia="uk-UA"/>
        </w:rPr>
        <w:t>нутр</w:t>
      </w:r>
      <w:r>
        <w:rPr>
          <w:sz w:val="24"/>
          <w:szCs w:val="24"/>
          <w:lang w:val="uk-UA" w:eastAsia="uk-UA"/>
        </w:rPr>
        <w:t>-</w:t>
      </w:r>
      <w:r w:rsidR="008B6A2C">
        <w:rPr>
          <w:sz w:val="24"/>
          <w:szCs w:val="24"/>
          <w:lang w:val="uk-UA" w:eastAsia="uk-UA"/>
        </w:rPr>
        <w:t>6925</w:t>
      </w:r>
      <w:r>
        <w:rPr>
          <w:sz w:val="24"/>
          <w:szCs w:val="24"/>
          <w:lang w:val="uk-UA" w:eastAsia="uk-UA"/>
        </w:rPr>
        <w:t>-2</w:t>
      </w:r>
      <w:r w:rsidR="008B6A2C">
        <w:rPr>
          <w:sz w:val="24"/>
          <w:szCs w:val="24"/>
          <w:lang w:val="uk-UA" w:eastAsia="uk-UA"/>
        </w:rPr>
        <w:t>02</w:t>
      </w:r>
      <w:r>
        <w:rPr>
          <w:sz w:val="24"/>
          <w:szCs w:val="24"/>
          <w:lang w:val="uk-UA" w:eastAsia="uk-UA"/>
        </w:rPr>
        <w:t xml:space="preserve">3 від </w:t>
      </w:r>
      <w:r w:rsidR="008B6A2C">
        <w:rPr>
          <w:sz w:val="24"/>
          <w:szCs w:val="24"/>
          <w:lang w:val="uk-UA" w:eastAsia="uk-UA"/>
        </w:rPr>
        <w:t>20.07</w:t>
      </w:r>
      <w:r>
        <w:rPr>
          <w:sz w:val="24"/>
          <w:szCs w:val="24"/>
          <w:lang w:val="uk-UA" w:eastAsia="uk-UA"/>
        </w:rPr>
        <w:t>.2023)</w:t>
      </w:r>
      <w:r w:rsidR="00E65562">
        <w:rPr>
          <w:sz w:val="24"/>
          <w:szCs w:val="24"/>
          <w:lang w:val="uk-UA" w:eastAsia="uk-UA"/>
        </w:rPr>
        <w:t>,</w:t>
      </w:r>
      <w:r w:rsidR="00A2225C">
        <w:rPr>
          <w:sz w:val="24"/>
          <w:szCs w:val="24"/>
          <w:lang w:val="uk-UA" w:eastAsia="uk-UA"/>
        </w:rPr>
        <w:t xml:space="preserve"> лист директора комунальної установи </w:t>
      </w:r>
      <w:r w:rsidR="00A2225C">
        <w:rPr>
          <w:color w:val="000000" w:themeColor="text1"/>
          <w:sz w:val="24"/>
          <w:szCs w:val="24"/>
          <w:lang w:val="uk-UA" w:eastAsia="uk-UA"/>
        </w:rPr>
        <w:t>"Муніципальна варта" від 27.07.2023 №</w:t>
      </w:r>
      <w:r w:rsidR="003445C1">
        <w:rPr>
          <w:color w:val="000000" w:themeColor="text1"/>
          <w:sz w:val="24"/>
          <w:szCs w:val="24"/>
          <w:lang w:val="uk-UA" w:eastAsia="uk-UA"/>
        </w:rPr>
        <w:t xml:space="preserve"> </w:t>
      </w:r>
      <w:r w:rsidR="00A2225C">
        <w:rPr>
          <w:color w:val="000000" w:themeColor="text1"/>
          <w:sz w:val="24"/>
          <w:szCs w:val="24"/>
          <w:lang w:val="uk-UA" w:eastAsia="uk-UA"/>
        </w:rPr>
        <w:t>Внутр-7267-2023 та</w:t>
      </w:r>
      <w:r w:rsidR="009B208B">
        <w:rPr>
          <w:sz w:val="24"/>
          <w:szCs w:val="24"/>
          <w:lang w:val="uk-UA" w:eastAsia="uk-UA"/>
        </w:rPr>
        <w:t xml:space="preserve"> звернення командира військової частини А4210 </w:t>
      </w:r>
      <w:r w:rsidR="0085026C" w:rsidRPr="0085026C">
        <w:rPr>
          <w:sz w:val="24"/>
          <w:szCs w:val="24"/>
          <w:lang w:val="uk-UA" w:eastAsia="uk-UA"/>
        </w:rPr>
        <w:t xml:space="preserve">                            </w:t>
      </w:r>
      <w:r w:rsidR="009B208B">
        <w:rPr>
          <w:sz w:val="24"/>
          <w:szCs w:val="24"/>
          <w:lang w:val="uk-UA" w:eastAsia="uk-UA"/>
        </w:rPr>
        <w:t>від 26.06.2023 №</w:t>
      </w:r>
      <w:r w:rsidR="0085026C" w:rsidRPr="0085026C">
        <w:rPr>
          <w:sz w:val="24"/>
          <w:szCs w:val="24"/>
          <w:lang w:val="uk-UA" w:eastAsia="uk-UA"/>
        </w:rPr>
        <w:t xml:space="preserve"> </w:t>
      </w:r>
      <w:r w:rsidR="009B208B">
        <w:rPr>
          <w:sz w:val="24"/>
          <w:szCs w:val="24"/>
          <w:lang w:val="uk-UA" w:eastAsia="uk-UA"/>
        </w:rPr>
        <w:t>945 (№</w:t>
      </w:r>
      <w:r w:rsidR="0085026C" w:rsidRPr="0085026C">
        <w:rPr>
          <w:sz w:val="24"/>
          <w:szCs w:val="24"/>
          <w:lang w:val="uk-UA" w:eastAsia="uk-UA"/>
        </w:rPr>
        <w:t xml:space="preserve"> </w:t>
      </w:r>
      <w:r w:rsidR="009B208B">
        <w:rPr>
          <w:sz w:val="24"/>
          <w:szCs w:val="24"/>
          <w:lang w:val="uk-UA" w:eastAsia="uk-UA"/>
        </w:rPr>
        <w:t>ВХ-2559-23 від 27.06.2023)</w:t>
      </w:r>
      <w:r>
        <w:rPr>
          <w:sz w:val="24"/>
          <w:szCs w:val="24"/>
          <w:lang w:val="uk-UA" w:eastAsia="uk-UA"/>
        </w:rPr>
        <w:t xml:space="preserve">,  відповідно до Законів України </w:t>
      </w:r>
      <w:r>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Pr>
          <w:color w:val="000000" w:themeColor="text1"/>
          <w:sz w:val="24"/>
          <w:szCs w:val="24"/>
          <w:lang w:val="uk-UA"/>
        </w:rPr>
        <w:t>статей 85, 91, пункту 22</w:t>
      </w:r>
      <w:r>
        <w:rPr>
          <w:color w:val="000000" w:themeColor="text1"/>
          <w:sz w:val="24"/>
          <w:szCs w:val="24"/>
          <w:vertAlign w:val="superscript"/>
          <w:lang w:val="uk-UA"/>
        </w:rPr>
        <w:t>5</w:t>
      </w:r>
      <w:r>
        <w:rPr>
          <w:color w:val="000000" w:themeColor="text1"/>
          <w:sz w:val="24"/>
          <w:szCs w:val="24"/>
          <w:lang w:val="uk-UA"/>
        </w:rPr>
        <w:t xml:space="preserve"> розділу VI Бюджетного кодексу України, </w:t>
      </w:r>
      <w:r>
        <w:rPr>
          <w:sz w:val="24"/>
          <w:szCs w:val="24"/>
          <w:lang w:val="uk-UA"/>
        </w:rPr>
        <w:t>враховуючи рекомендації постійної комісії з фінансово-економічних питань, бюджету, інвестицій та комунальної власності</w:t>
      </w:r>
      <w:r>
        <w:rPr>
          <w:color w:val="000000"/>
          <w:sz w:val="24"/>
          <w:szCs w:val="24"/>
          <w:lang w:val="uk-UA"/>
        </w:rPr>
        <w:t>,</w:t>
      </w:r>
      <w:r>
        <w:rPr>
          <w:iCs/>
          <w:color w:val="000000" w:themeColor="text1"/>
          <w:sz w:val="24"/>
          <w:szCs w:val="24"/>
          <w:shd w:val="clear" w:color="auto" w:fill="FFFFFF"/>
          <w:lang w:val="uk-UA"/>
        </w:rPr>
        <w:t xml:space="preserve"> </w:t>
      </w:r>
      <w:r>
        <w:rPr>
          <w:color w:val="000000" w:themeColor="text1"/>
          <w:sz w:val="24"/>
          <w:szCs w:val="24"/>
          <w:lang w:val="uk-UA"/>
        </w:rPr>
        <w:t>к</w:t>
      </w:r>
      <w:r>
        <w:rPr>
          <w:color w:val="000000"/>
          <w:sz w:val="24"/>
          <w:szCs w:val="24"/>
          <w:lang w:val="uk-UA"/>
        </w:rPr>
        <w:t>еруючись пунктом 22 частини першої статті</w:t>
      </w:r>
      <w:r>
        <w:rPr>
          <w:color w:val="000000"/>
          <w:sz w:val="24"/>
          <w:szCs w:val="24"/>
        </w:rPr>
        <w:t> </w:t>
      </w:r>
      <w:r>
        <w:rPr>
          <w:color w:val="000000"/>
          <w:sz w:val="24"/>
          <w:szCs w:val="24"/>
          <w:lang w:val="uk-UA"/>
        </w:rPr>
        <w:t xml:space="preserve">26 </w:t>
      </w:r>
      <w:r>
        <w:rPr>
          <w:color w:val="000000" w:themeColor="text1"/>
          <w:sz w:val="24"/>
          <w:szCs w:val="24"/>
          <w:lang w:val="uk-UA"/>
        </w:rPr>
        <w:t>Закону України "Про місцеве самоврядування в Україні",</w:t>
      </w:r>
    </w:p>
    <w:p w14:paraId="55425DFC" w14:textId="77777777" w:rsidR="00A3385E" w:rsidRDefault="00A3385E">
      <w:pPr>
        <w:ind w:firstLine="567"/>
        <w:jc w:val="both"/>
        <w:rPr>
          <w:sz w:val="24"/>
          <w:szCs w:val="24"/>
          <w:lang w:val="uk-UA"/>
        </w:rPr>
      </w:pPr>
    </w:p>
    <w:p w14:paraId="6E1C651C" w14:textId="77777777" w:rsidR="00A3385E" w:rsidRDefault="006625F9">
      <w:pPr>
        <w:ind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rPr>
          <w:sz w:val="24"/>
          <w:szCs w:val="24"/>
          <w:highlight w:val="yellow"/>
          <w:lang w:val="uk-UA"/>
        </w:rPr>
      </w:pPr>
    </w:p>
    <w:p w14:paraId="41E7FF8A" w14:textId="77777777" w:rsidR="00A3385E" w:rsidRDefault="006625F9" w:rsidP="006625F9">
      <w:pPr>
        <w:ind w:firstLine="567"/>
        <w:jc w:val="both"/>
        <w:rPr>
          <w:color w:val="000000"/>
          <w:sz w:val="24"/>
          <w:szCs w:val="24"/>
          <w:lang w:val="uk-UA"/>
        </w:rPr>
      </w:pPr>
      <w:r>
        <w:rPr>
          <w:sz w:val="24"/>
          <w:szCs w:val="24"/>
          <w:lang w:val="uk-UA" w:eastAsia="ru-RU"/>
        </w:rPr>
        <w:t xml:space="preserve">1. Внести зміни та доповнення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 та доповненнями)</w:t>
      </w:r>
      <w:r>
        <w:rPr>
          <w:sz w:val="24"/>
          <w:szCs w:val="24"/>
          <w:lang w:val="uk-UA" w:eastAsia="ru-RU"/>
        </w:rPr>
        <w:t xml:space="preserve"> (далі – Програма), </w:t>
      </w:r>
      <w:r>
        <w:rPr>
          <w:color w:val="000000"/>
          <w:sz w:val="24"/>
          <w:szCs w:val="24"/>
          <w:lang w:val="uk-UA"/>
        </w:rPr>
        <w:t>а саме:</w:t>
      </w:r>
    </w:p>
    <w:p w14:paraId="7C431FF4" w14:textId="607D7932" w:rsidR="00A3385E" w:rsidRDefault="006625F9" w:rsidP="006625F9">
      <w:pPr>
        <w:pStyle w:val="ac"/>
        <w:ind w:left="0" w:firstLine="567"/>
        <w:jc w:val="both"/>
        <w:rPr>
          <w:color w:val="000000"/>
          <w:sz w:val="24"/>
          <w:szCs w:val="24"/>
          <w:lang w:val="uk-UA"/>
        </w:rPr>
      </w:pPr>
      <w:r>
        <w:rPr>
          <w:color w:val="000000"/>
          <w:sz w:val="24"/>
          <w:szCs w:val="24"/>
          <w:lang w:val="uk-UA"/>
        </w:rPr>
        <w:t>1.1. Викласти Паспорт Програми в новій редакції згідно з додатком 1 до даного рішення</w:t>
      </w:r>
      <w:r w:rsidR="0085026C" w:rsidRPr="0085026C">
        <w:rPr>
          <w:color w:val="000000"/>
          <w:sz w:val="24"/>
          <w:szCs w:val="24"/>
        </w:rPr>
        <w:t xml:space="preserve"> (</w:t>
      </w:r>
      <w:r w:rsidR="0085026C">
        <w:rPr>
          <w:color w:val="000000"/>
          <w:sz w:val="24"/>
          <w:szCs w:val="24"/>
          <w:lang w:val="uk-UA"/>
        </w:rPr>
        <w:t>додається</w:t>
      </w:r>
      <w:r w:rsidR="0085026C" w:rsidRPr="0085026C">
        <w:rPr>
          <w:color w:val="000000"/>
          <w:sz w:val="24"/>
          <w:szCs w:val="24"/>
        </w:rPr>
        <w:t>)</w:t>
      </w:r>
      <w:r>
        <w:rPr>
          <w:color w:val="000000"/>
          <w:sz w:val="24"/>
          <w:szCs w:val="24"/>
          <w:lang w:val="uk-UA"/>
        </w:rPr>
        <w:t>.</w:t>
      </w:r>
    </w:p>
    <w:p w14:paraId="17A35187" w14:textId="3E157B41" w:rsidR="00A3385E" w:rsidRDefault="006625F9" w:rsidP="0085026C">
      <w:pPr>
        <w:pStyle w:val="ac"/>
        <w:ind w:left="0" w:firstLine="567"/>
        <w:jc w:val="both"/>
        <w:rPr>
          <w:sz w:val="24"/>
          <w:szCs w:val="24"/>
          <w:lang w:val="uk-UA"/>
        </w:rPr>
      </w:pPr>
      <w:r>
        <w:rPr>
          <w:sz w:val="24"/>
          <w:szCs w:val="24"/>
          <w:lang w:val="uk-UA"/>
        </w:rPr>
        <w:t>1.2. Викласти додатки 1, 2 до Програми  в новій  редакції згідно з додатками 2, 3  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pPr>
        <w:tabs>
          <w:tab w:val="left" w:pos="709"/>
          <w:tab w:val="left" w:pos="851"/>
          <w:tab w:val="left" w:pos="1274"/>
        </w:tabs>
        <w:ind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6CFF51A1" w14:textId="77777777" w:rsidR="00A3385E" w:rsidRDefault="00A3385E">
      <w:pPr>
        <w:ind w:firstLine="567"/>
        <w:rPr>
          <w:sz w:val="24"/>
          <w:szCs w:val="24"/>
          <w:lang w:val="uk-UA"/>
        </w:rPr>
      </w:pPr>
    </w:p>
    <w:p w14:paraId="3FE4CBCE" w14:textId="7F795187" w:rsidR="008B6A2C" w:rsidRDefault="006625F9" w:rsidP="0079483D">
      <w:pPr>
        <w:ind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1A3375">
      <w:pgSz w:w="12240" w:h="15840"/>
      <w:pgMar w:top="426" w:right="851" w:bottom="851"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2A27"/>
    <w:rsid w:val="00020254"/>
    <w:rsid w:val="00021140"/>
    <w:rsid w:val="00041078"/>
    <w:rsid w:val="00057247"/>
    <w:rsid w:val="00061062"/>
    <w:rsid w:val="000634CB"/>
    <w:rsid w:val="0007436E"/>
    <w:rsid w:val="000903CE"/>
    <w:rsid w:val="000B3564"/>
    <w:rsid w:val="000C3085"/>
    <w:rsid w:val="000C6AE0"/>
    <w:rsid w:val="000C77CB"/>
    <w:rsid w:val="000D6BCA"/>
    <w:rsid w:val="000E6257"/>
    <w:rsid w:val="000F1DB1"/>
    <w:rsid w:val="000F7A07"/>
    <w:rsid w:val="00101B85"/>
    <w:rsid w:val="001036B7"/>
    <w:rsid w:val="001061C4"/>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C3802"/>
    <w:rsid w:val="001D5142"/>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4EA8"/>
    <w:rsid w:val="002A4A9C"/>
    <w:rsid w:val="002B08B8"/>
    <w:rsid w:val="002B51CE"/>
    <w:rsid w:val="002B5F46"/>
    <w:rsid w:val="002B752B"/>
    <w:rsid w:val="002C4F97"/>
    <w:rsid w:val="002E2523"/>
    <w:rsid w:val="002E7334"/>
    <w:rsid w:val="00333089"/>
    <w:rsid w:val="003445C1"/>
    <w:rsid w:val="00362A4A"/>
    <w:rsid w:val="003630AE"/>
    <w:rsid w:val="00373D65"/>
    <w:rsid w:val="00391019"/>
    <w:rsid w:val="003A68C3"/>
    <w:rsid w:val="003B24F0"/>
    <w:rsid w:val="003B50EB"/>
    <w:rsid w:val="003C1E4A"/>
    <w:rsid w:val="003C4DDB"/>
    <w:rsid w:val="003D65F4"/>
    <w:rsid w:val="003E2F44"/>
    <w:rsid w:val="003E4DC0"/>
    <w:rsid w:val="003E5602"/>
    <w:rsid w:val="003F211F"/>
    <w:rsid w:val="004068C6"/>
    <w:rsid w:val="00432B06"/>
    <w:rsid w:val="00440524"/>
    <w:rsid w:val="00456637"/>
    <w:rsid w:val="00463945"/>
    <w:rsid w:val="004665CF"/>
    <w:rsid w:val="0047280D"/>
    <w:rsid w:val="0048429A"/>
    <w:rsid w:val="00495E57"/>
    <w:rsid w:val="004A1ABF"/>
    <w:rsid w:val="004C66C8"/>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4301"/>
    <w:rsid w:val="005B4A12"/>
    <w:rsid w:val="005C6F44"/>
    <w:rsid w:val="005D2246"/>
    <w:rsid w:val="005E54A0"/>
    <w:rsid w:val="00600E67"/>
    <w:rsid w:val="00602210"/>
    <w:rsid w:val="0060543B"/>
    <w:rsid w:val="00611572"/>
    <w:rsid w:val="0061256B"/>
    <w:rsid w:val="006173B2"/>
    <w:rsid w:val="00625335"/>
    <w:rsid w:val="0064040B"/>
    <w:rsid w:val="00654D8B"/>
    <w:rsid w:val="00656842"/>
    <w:rsid w:val="006625F9"/>
    <w:rsid w:val="006941A6"/>
    <w:rsid w:val="006A1A91"/>
    <w:rsid w:val="006B18AE"/>
    <w:rsid w:val="006B4C29"/>
    <w:rsid w:val="006C3E6F"/>
    <w:rsid w:val="006D151E"/>
    <w:rsid w:val="006D349B"/>
    <w:rsid w:val="006D77AC"/>
    <w:rsid w:val="006D7A66"/>
    <w:rsid w:val="00721579"/>
    <w:rsid w:val="00771A84"/>
    <w:rsid w:val="00784554"/>
    <w:rsid w:val="0079483D"/>
    <w:rsid w:val="007A0BBB"/>
    <w:rsid w:val="007B3860"/>
    <w:rsid w:val="007B5EE6"/>
    <w:rsid w:val="007D38F5"/>
    <w:rsid w:val="007F0A00"/>
    <w:rsid w:val="00834CC8"/>
    <w:rsid w:val="0085026C"/>
    <w:rsid w:val="0085189C"/>
    <w:rsid w:val="00860590"/>
    <w:rsid w:val="0086618C"/>
    <w:rsid w:val="00877BFC"/>
    <w:rsid w:val="00885D1A"/>
    <w:rsid w:val="008A3EAC"/>
    <w:rsid w:val="008B6A2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225C"/>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EDB"/>
    <w:rsid w:val="00B17B7F"/>
    <w:rsid w:val="00B227A8"/>
    <w:rsid w:val="00B274C6"/>
    <w:rsid w:val="00B53A32"/>
    <w:rsid w:val="00B67800"/>
    <w:rsid w:val="00B84399"/>
    <w:rsid w:val="00BC42AA"/>
    <w:rsid w:val="00BC7C04"/>
    <w:rsid w:val="00BD1970"/>
    <w:rsid w:val="00BE133F"/>
    <w:rsid w:val="00C069DA"/>
    <w:rsid w:val="00C134CC"/>
    <w:rsid w:val="00C23492"/>
    <w:rsid w:val="00C33730"/>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5CE4"/>
    <w:rsid w:val="00D17A92"/>
    <w:rsid w:val="00D23E0E"/>
    <w:rsid w:val="00D2694C"/>
    <w:rsid w:val="00D423E7"/>
    <w:rsid w:val="00D63A54"/>
    <w:rsid w:val="00D6413C"/>
    <w:rsid w:val="00D668FE"/>
    <w:rsid w:val="00D66C25"/>
    <w:rsid w:val="00D9123C"/>
    <w:rsid w:val="00DA4868"/>
    <w:rsid w:val="00DC33B4"/>
    <w:rsid w:val="00DE5CBB"/>
    <w:rsid w:val="00DF23D5"/>
    <w:rsid w:val="00E00A57"/>
    <w:rsid w:val="00E127EA"/>
    <w:rsid w:val="00E31BB1"/>
    <w:rsid w:val="00E33283"/>
    <w:rsid w:val="00E46BDA"/>
    <w:rsid w:val="00E513F1"/>
    <w:rsid w:val="00E52D58"/>
    <w:rsid w:val="00E533D1"/>
    <w:rsid w:val="00E54436"/>
    <w:rsid w:val="00E55B02"/>
    <w:rsid w:val="00E65562"/>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397</Words>
  <Characters>2266</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cp:lastModifiedBy>
  <cp:revision>74</cp:revision>
  <cp:lastPrinted>2023-07-26T07:05:00Z</cp:lastPrinted>
  <dcterms:created xsi:type="dcterms:W3CDTF">2023-01-24T12:48:00Z</dcterms:created>
  <dcterms:modified xsi:type="dcterms:W3CDTF">2023-07-28T06:11:00Z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