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C9" w:rsidRDefault="00101CC9" w:rsidP="00101CC9">
      <w:pPr>
        <w:spacing w:after="0"/>
        <w:jc w:val="center"/>
        <w:rPr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C9" w:rsidRDefault="00101CC9" w:rsidP="00101CC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 w:eastAsia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:rsidR="00101CC9" w:rsidRDefault="00101CC9" w:rsidP="00101CC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101CC9" w:rsidRDefault="00101CC9" w:rsidP="00101CC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:rsidR="00101CC9" w:rsidRDefault="00101CC9" w:rsidP="00101CC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Одеського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району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Одеської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області</w:t>
      </w:r>
      <w:proofErr w:type="spellEnd"/>
    </w:p>
    <w:p w:rsidR="00101CC9" w:rsidRDefault="00101CC9" w:rsidP="00101CC9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101CC9" w:rsidRPr="00101CC9" w:rsidRDefault="00101CC9" w:rsidP="00101CC9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101CC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A699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101CC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D2DF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101CC9">
        <w:rPr>
          <w:rFonts w:ascii="Times New Roman" w:hAnsi="Times New Roman"/>
          <w:b/>
          <w:sz w:val="36"/>
          <w:szCs w:val="36"/>
        </w:rPr>
        <w:t xml:space="preserve">       25.09.2023                                                               258</w:t>
      </w:r>
    </w:p>
    <w:p w:rsidR="00791912" w:rsidRPr="004A7A97" w:rsidRDefault="00791912" w:rsidP="00101C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</w:tblGrid>
      <w:tr w:rsidR="00791912" w:rsidRPr="004A7A97" w:rsidTr="00374A2C">
        <w:tc>
          <w:tcPr>
            <w:tcW w:w="5778" w:type="dxa"/>
          </w:tcPr>
          <w:p w:rsidR="00791912" w:rsidRPr="004A7A97" w:rsidRDefault="00791912" w:rsidP="00374A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A7A97">
              <w:rPr>
                <w:rFonts w:ascii="Times New Roman" w:hAnsi="Times New Roman"/>
                <w:sz w:val="24"/>
                <w:szCs w:val="20"/>
                <w:lang w:val="uk-UA" w:eastAsia="ru-RU"/>
              </w:rPr>
              <w:t xml:space="preserve">Про затвердження </w:t>
            </w:r>
            <w:r w:rsidRPr="004A7A9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Порядку та умов надання соціальної послуги у вигляді безкоштовного харчування </w:t>
            </w:r>
            <w:r w:rsidRPr="004A7A97">
              <w:rPr>
                <w:rFonts w:ascii="Times New Roman" w:hAnsi="Times New Roman"/>
                <w:sz w:val="24"/>
                <w:szCs w:val="24"/>
                <w:lang w:val="uk-UA"/>
              </w:rPr>
              <w:t>комунальною установою “Територіальний центр соціального обслуговування (надання соціальних послуг) Чорноморської міської ради Одеського району Одеської області”</w:t>
            </w:r>
          </w:p>
        </w:tc>
      </w:tr>
    </w:tbl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330C65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З метою соціальної підтримки окремих категорій громадян,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у період воєнного стану, введеного </w:t>
      </w:r>
      <w:r w:rsidRPr="004A7A97">
        <w:rPr>
          <w:rFonts w:ascii="Times New Roman" w:eastAsia="MS Mincho" w:hAnsi="Times New Roman"/>
          <w:color w:val="000000"/>
          <w:sz w:val="24"/>
          <w:szCs w:val="24"/>
          <w:lang w:val="uk-UA" w:eastAsia="ru-RU"/>
        </w:rPr>
        <w:t xml:space="preserve">Указом Президента України від 24 лютого 2022 року № 64/2022 "Про введення воєнного стану в Україні" та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продовженого строку дії воєнного стану в Україні відповідно до Указів Президента від 14 березня 2022 року № 133/</w:t>
      </w:r>
      <w:r w:rsidRPr="004A7A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2022,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18 квітня 2022</w:t>
      </w:r>
      <w:r w:rsidR="0086440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року</w:t>
      </w:r>
      <w:r w:rsidR="0086440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№ </w:t>
      </w:r>
      <w:r w:rsidR="0086440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259/2022,</w:t>
      </w:r>
      <w:r w:rsidR="0086440F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 </w:t>
      </w:r>
      <w:r w:rsidRPr="004A7A9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17 травня 2022 року № 341/2022</w:t>
      </w: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12 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серпня 2022 року №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573/2022, 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7 листопада 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2022 року</w:t>
      </w:r>
      <w:r w:rsidR="0086440F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№ 757/2022, 6 лютого 2023 року № 58/2023,</w:t>
      </w:r>
      <w:r w:rsidRPr="004A7A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від 1 травня 2023 року №254/2023, та від 26 липня 2023 року №</w:t>
      </w:r>
      <w:r w:rsidRPr="004A7A97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451/2023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, з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>урахуванням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вимог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>Закону України “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соціальні 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>послуги</w:t>
      </w:r>
      <w:r w:rsidRPr="004A7A97">
        <w:rPr>
          <w:rFonts w:ascii="Times New Roman" w:hAnsi="Times New Roman"/>
          <w:sz w:val="24"/>
          <w:szCs w:val="24"/>
          <w:lang w:val="uk-UA"/>
        </w:rPr>
        <w:t>”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440F">
        <w:rPr>
          <w:rFonts w:ascii="Times New Roman" w:hAnsi="Times New Roman"/>
          <w:sz w:val="24"/>
          <w:szCs w:val="24"/>
          <w:lang w:val="uk-UA" w:eastAsia="ru-RU"/>
        </w:rPr>
        <w:t xml:space="preserve">від  17 січня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2019 № 2671-VIII, постанови Кабінету Міністрів України від 29.12.2009 №1417 “Деякі питання діяльності </w:t>
      </w:r>
      <w:r w:rsidRPr="004A7A97">
        <w:rPr>
          <w:rFonts w:ascii="Times New Roman" w:hAnsi="Times New Roman"/>
          <w:sz w:val="24"/>
          <w:szCs w:val="24"/>
          <w:lang w:val="uk-UA"/>
        </w:rPr>
        <w:t>Територіальних центрів соціального обслуговування (надання соціальних послуг)” (зі змінами), рішення Чорноморської міської ради Одеського ра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йону Одеської області від 24 грудня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2020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№ 16-VІII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“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Про Міську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цільову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програму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соціального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захисту та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надання соціальних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послуг населенню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Чорноморської міської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територіальної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громади на 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2021-2025 роки” (зі змінами), керуючись </w:t>
      </w:r>
      <w:proofErr w:type="spellStart"/>
      <w:r w:rsidRPr="004A7A97">
        <w:rPr>
          <w:rFonts w:ascii="Times New Roman" w:hAnsi="Times New Roman"/>
          <w:sz w:val="24"/>
          <w:szCs w:val="24"/>
          <w:lang w:val="uk-UA"/>
        </w:rPr>
        <w:t>ст.ст</w:t>
      </w:r>
      <w:proofErr w:type="spellEnd"/>
      <w:r w:rsidRPr="004A7A97">
        <w:rPr>
          <w:rFonts w:ascii="Times New Roman" w:hAnsi="Times New Roman"/>
          <w:sz w:val="24"/>
          <w:szCs w:val="24"/>
          <w:lang w:val="uk-UA"/>
        </w:rPr>
        <w:t>. 34, 52, 64  Закону України “Про місцеве самоврядування в Україні”,</w:t>
      </w:r>
    </w:p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1912" w:rsidRPr="004A7A97" w:rsidRDefault="00791912" w:rsidP="00AF1C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</w:t>
      </w:r>
    </w:p>
    <w:p w:rsidR="00791912" w:rsidRPr="004A7A97" w:rsidRDefault="00791912" w:rsidP="00AF1C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791912" w:rsidRPr="004A7A97" w:rsidRDefault="00791912" w:rsidP="00AF1C4B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791912" w:rsidRPr="004A7A97" w:rsidRDefault="00791912" w:rsidP="00330C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>1. Затвердити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   Порядок   та   умови    надання    соціальної    </w:t>
      </w:r>
      <w:r w:rsidRPr="004A7A97">
        <w:rPr>
          <w:rFonts w:ascii="Times New Roman" w:hAnsi="Times New Roman"/>
          <w:sz w:val="24"/>
          <w:szCs w:val="24"/>
          <w:lang w:val="uk-UA"/>
        </w:rPr>
        <w:t>послуги   у   вигляді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безкоштовного харчування комунальною установою “Територіальний центр соціального обслуговування (надання соціальних послуг) Чорноморської міської ради Одеського району Одеської області” ( додається).</w:t>
      </w:r>
    </w:p>
    <w:p w:rsidR="00791912" w:rsidRPr="004A7A97" w:rsidRDefault="00791912" w:rsidP="00330C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91912" w:rsidRPr="004A7A97" w:rsidRDefault="00791912" w:rsidP="00AF1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2. Фінансовому управлінню Чорноморської міської ради Одеського району Одеської області (Ольга Яковенко) забезпечити фінансування управління соціальної політики</w:t>
      </w:r>
      <w:r w:rsidRPr="004A7A97">
        <w:rPr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sz w:val="24"/>
          <w:szCs w:val="24"/>
          <w:lang w:val="uk-UA"/>
        </w:rPr>
        <w:t>Чорноморської міської ради Одеського району Одеської області за рахунок коштів бюджету Чорноморської міської територіальної громади, передбачених на соціальний захист населення.</w:t>
      </w:r>
    </w:p>
    <w:p w:rsidR="00791912" w:rsidRPr="004A7A97" w:rsidRDefault="00791912" w:rsidP="00AF1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1912" w:rsidRPr="004A7A97" w:rsidRDefault="00791912" w:rsidP="003E3C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lastRenderedPageBreak/>
        <w:t>3. Рішення виконавчого комітету Чорноморської міської ради Одеського рай</w:t>
      </w:r>
      <w:r w:rsidR="0086440F">
        <w:rPr>
          <w:rFonts w:ascii="Times New Roman" w:hAnsi="Times New Roman"/>
          <w:sz w:val="24"/>
          <w:szCs w:val="24"/>
          <w:lang w:val="uk-UA"/>
        </w:rPr>
        <w:t xml:space="preserve">ону Одеської області  від 27 лютого 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2020 № 27 “Про порядок та умови надання натуральної допомоги у вигляді безкоштовного харчування малозабезпеченим непрацездатним громадянам, які </w:t>
      </w:r>
    </w:p>
    <w:p w:rsidR="00CD17B1" w:rsidRDefault="00791912" w:rsidP="003E3C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</w:t>
      </w:r>
    </w:p>
    <w:p w:rsidR="00791912" w:rsidRPr="004A7A97" w:rsidRDefault="00791912" w:rsidP="00CD17B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2</w:t>
      </w:r>
    </w:p>
    <w:p w:rsidR="00791912" w:rsidRPr="004A7A97" w:rsidRDefault="00791912" w:rsidP="003E3C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1912" w:rsidRPr="004A7A97" w:rsidRDefault="00791912" w:rsidP="003E3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знаходяться на обслуговуванні  у  комунальній установі “Територіальний центр соціального обслуговування (надання соціальних послуг) Чорноморської міської ради  Одеської області” визнати таким, що втратило чинність.</w:t>
      </w:r>
    </w:p>
    <w:p w:rsidR="00791912" w:rsidRPr="004A7A97" w:rsidRDefault="00791912" w:rsidP="00AF1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1912" w:rsidRPr="004A7A97" w:rsidRDefault="00791912" w:rsidP="00AF1C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bCs/>
          <w:sz w:val="24"/>
          <w:szCs w:val="24"/>
          <w:lang w:val="uk-UA"/>
        </w:rPr>
        <w:t>4.   Цей Порядок діє з моменту введення воєнного стану в Україні.</w:t>
      </w:r>
    </w:p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</w:p>
    <w:p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ab/>
        <w:t>5.  Контроль за виконанням цього рішення покласти на заступника міського голови</w:t>
      </w:r>
      <w:r w:rsidRPr="004A7A97">
        <w:rPr>
          <w:rFonts w:ascii="Times New Roman" w:hAnsi="Times New Roman"/>
          <w:color w:val="000000"/>
          <w:lang w:val="uk-UA"/>
        </w:rPr>
        <w:t xml:space="preserve"> </w:t>
      </w:r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 xml:space="preserve">Романа </w:t>
      </w:r>
      <w:proofErr w:type="spellStart"/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>Тєліпова</w:t>
      </w:r>
      <w:proofErr w:type="spellEnd"/>
      <w:r w:rsidRPr="004A7A9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791912" w:rsidRPr="004A7A97" w:rsidRDefault="00791912" w:rsidP="00DF649A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</w:p>
    <w:p w:rsidR="00791912" w:rsidRPr="004A7A97" w:rsidRDefault="00791912" w:rsidP="00330C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>Міський голова                                                                               Василь ГУЛЯЄВ</w:t>
      </w:r>
    </w:p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AF1C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90E1F">
      <w:pPr>
        <w:spacing w:after="0"/>
        <w:rPr>
          <w:lang w:val="uk-UA"/>
        </w:rPr>
      </w:pPr>
    </w:p>
    <w:p w:rsidR="00791912" w:rsidRPr="004A7A97" w:rsidRDefault="00791912" w:rsidP="008B710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lang w:val="uk-UA"/>
        </w:rPr>
        <w:lastRenderedPageBreak/>
        <w:t xml:space="preserve">                </w:t>
      </w:r>
    </w:p>
    <w:p w:rsidR="00791912" w:rsidRPr="004A7A97" w:rsidRDefault="00791912" w:rsidP="00D852DA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 w:rsidRPr="004A7A97">
        <w:rPr>
          <w:lang w:val="uk-UA"/>
        </w:rPr>
        <w:t>ПОГОДЖЕНО:</w:t>
      </w:r>
    </w:p>
    <w:p w:rsidR="00791912" w:rsidRPr="004A7A97" w:rsidRDefault="00791912" w:rsidP="00D852DA">
      <w:pPr>
        <w:pStyle w:val="Standard"/>
        <w:ind w:right="60"/>
        <w:jc w:val="both"/>
        <w:rPr>
          <w:b/>
          <w:bCs/>
          <w:lang w:val="uk-UA"/>
        </w:rPr>
      </w:pPr>
    </w:p>
    <w:p w:rsidR="00791912" w:rsidRPr="004A7A97" w:rsidRDefault="00791912" w:rsidP="00D852DA">
      <w:pPr>
        <w:pStyle w:val="Standard"/>
        <w:ind w:right="60"/>
        <w:jc w:val="both"/>
        <w:rPr>
          <w:b/>
          <w:bCs/>
          <w:lang w:val="uk-UA"/>
        </w:rPr>
      </w:pPr>
    </w:p>
    <w:p w:rsidR="00791912" w:rsidRPr="004A7A97" w:rsidRDefault="00791912" w:rsidP="00D852DA">
      <w:pPr>
        <w:pStyle w:val="Standard"/>
        <w:ind w:right="60"/>
        <w:jc w:val="both"/>
        <w:rPr>
          <w:lang w:val="uk-UA"/>
        </w:rPr>
      </w:pPr>
      <w:r w:rsidRPr="004A7A97">
        <w:rPr>
          <w:lang w:val="uk-UA"/>
        </w:rPr>
        <w:t>Заступник міського голови</w:t>
      </w:r>
      <w:r w:rsidRPr="004A7A97">
        <w:rPr>
          <w:lang w:val="uk-UA"/>
        </w:rPr>
        <w:tab/>
        <w:t xml:space="preserve">                                                </w:t>
      </w:r>
      <w:r w:rsidRPr="004A7A97">
        <w:rPr>
          <w:lang w:val="uk-UA"/>
        </w:rPr>
        <w:tab/>
        <w:t>Роман ТЄЛІПОВ</w:t>
      </w:r>
    </w:p>
    <w:p w:rsidR="00791912" w:rsidRPr="004A7A97" w:rsidRDefault="00791912" w:rsidP="00D852DA">
      <w:pPr>
        <w:pStyle w:val="Standard"/>
        <w:ind w:right="60"/>
        <w:jc w:val="both"/>
        <w:rPr>
          <w:lang w:val="uk-UA"/>
        </w:rPr>
      </w:pPr>
    </w:p>
    <w:p w:rsidR="00791912" w:rsidRPr="004A7A97" w:rsidRDefault="00791912" w:rsidP="00D852DA">
      <w:pPr>
        <w:pStyle w:val="Standard"/>
        <w:ind w:right="60"/>
        <w:jc w:val="both"/>
        <w:rPr>
          <w:lang w:val="uk-UA"/>
        </w:rPr>
      </w:pP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</w:t>
      </w:r>
    </w:p>
    <w:p w:rsidR="00791912" w:rsidRPr="004A7A97" w:rsidRDefault="00791912" w:rsidP="00D852DA">
      <w:pPr>
        <w:pStyle w:val="Standard"/>
        <w:rPr>
          <w:lang w:val="uk-UA"/>
        </w:rPr>
      </w:pPr>
      <w:r w:rsidRPr="004A7A97">
        <w:rPr>
          <w:lang w:val="uk-UA"/>
        </w:rPr>
        <w:t>Заступниця міського голови</w:t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           Наталя ЯВОЛОВА</w:t>
      </w:r>
    </w:p>
    <w:p w:rsidR="00791912" w:rsidRPr="004A7A97" w:rsidRDefault="00791912" w:rsidP="00D852DA">
      <w:pPr>
        <w:pStyle w:val="Standard"/>
        <w:rPr>
          <w:lang w:val="uk-UA"/>
        </w:rPr>
      </w:pPr>
    </w:p>
    <w:p w:rsidR="00791912" w:rsidRPr="004A7A97" w:rsidRDefault="00791912" w:rsidP="00D852DA">
      <w:pPr>
        <w:pStyle w:val="Standard"/>
        <w:rPr>
          <w:lang w:val="uk-UA"/>
        </w:rPr>
      </w:pPr>
    </w:p>
    <w:p w:rsidR="00791912" w:rsidRPr="004A7A97" w:rsidRDefault="00791912" w:rsidP="00D852DA">
      <w:pPr>
        <w:pStyle w:val="Standard"/>
        <w:rPr>
          <w:lang w:val="uk-UA"/>
        </w:rPr>
      </w:pPr>
      <w:r w:rsidRPr="004A7A97">
        <w:rPr>
          <w:lang w:val="uk-UA"/>
        </w:rPr>
        <w:t>Керуюча справами</w:t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  </w:t>
      </w:r>
      <w:r w:rsidRPr="004A7A97">
        <w:rPr>
          <w:lang w:val="uk-UA"/>
        </w:rPr>
        <w:tab/>
        <w:t>Наталя КУШНІРЕНКО</w:t>
      </w:r>
    </w:p>
    <w:p w:rsidR="00791912" w:rsidRPr="004A7A97" w:rsidRDefault="00791912" w:rsidP="00D852DA">
      <w:pPr>
        <w:pStyle w:val="Standard"/>
        <w:rPr>
          <w:lang w:val="uk-UA"/>
        </w:rPr>
      </w:pPr>
    </w:p>
    <w:p w:rsidR="00791912" w:rsidRPr="004A7A97" w:rsidRDefault="00791912" w:rsidP="00D852DA">
      <w:pPr>
        <w:pStyle w:val="Standard"/>
        <w:rPr>
          <w:lang w:val="uk-UA"/>
        </w:rPr>
      </w:pPr>
    </w:p>
    <w:p w:rsidR="00791912" w:rsidRPr="004A7A97" w:rsidRDefault="00791912" w:rsidP="009F43CF">
      <w:pPr>
        <w:pStyle w:val="Standard"/>
        <w:tabs>
          <w:tab w:val="left" w:pos="6379"/>
        </w:tabs>
        <w:rPr>
          <w:lang w:val="uk-UA"/>
        </w:rPr>
      </w:pPr>
      <w:r w:rsidRPr="004A7A97">
        <w:rPr>
          <w:lang w:val="uk-UA"/>
        </w:rPr>
        <w:t>Начальник фінансового управління                                              Ольга ЯКОВЕНКО</w:t>
      </w:r>
    </w:p>
    <w:p w:rsidR="00791912" w:rsidRPr="004A7A97" w:rsidRDefault="00791912" w:rsidP="00D852DA">
      <w:pPr>
        <w:pStyle w:val="Standard"/>
        <w:ind w:right="60"/>
        <w:rPr>
          <w:lang w:val="uk-UA"/>
        </w:rPr>
      </w:pPr>
    </w:p>
    <w:p w:rsidR="00791912" w:rsidRPr="004A7A97" w:rsidRDefault="00791912" w:rsidP="00D852DA">
      <w:pPr>
        <w:pStyle w:val="Standard"/>
        <w:tabs>
          <w:tab w:val="left" w:pos="7140"/>
        </w:tabs>
        <w:ind w:right="60"/>
        <w:rPr>
          <w:lang w:val="uk-UA"/>
        </w:rPr>
      </w:pPr>
    </w:p>
    <w:p w:rsidR="00791912" w:rsidRPr="004A7A97" w:rsidRDefault="00791912" w:rsidP="00D852DA">
      <w:pPr>
        <w:pStyle w:val="Standard"/>
        <w:ind w:left="-284" w:right="60" w:firstLine="284"/>
        <w:rPr>
          <w:lang w:val="uk-UA"/>
        </w:rPr>
      </w:pPr>
      <w:r w:rsidRPr="004A7A97">
        <w:rPr>
          <w:lang w:val="uk-UA"/>
        </w:rPr>
        <w:t xml:space="preserve">Начальник  управління  державної </w:t>
      </w:r>
    </w:p>
    <w:p w:rsidR="00791912" w:rsidRPr="004A7A97" w:rsidRDefault="00791912" w:rsidP="00D852DA">
      <w:pPr>
        <w:pStyle w:val="Standard"/>
        <w:ind w:left="-284" w:right="60" w:firstLine="284"/>
        <w:rPr>
          <w:lang w:val="uk-UA"/>
        </w:rPr>
      </w:pPr>
      <w:r w:rsidRPr="004A7A97">
        <w:rPr>
          <w:lang w:val="uk-UA"/>
        </w:rPr>
        <w:t xml:space="preserve">Реєстрації прав  та правового забезпечення </w:t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           Дмитро СКРИПНИЧЕНКО</w:t>
      </w:r>
    </w:p>
    <w:p w:rsidR="00791912" w:rsidRPr="004A7A97" w:rsidRDefault="00791912" w:rsidP="00D852DA">
      <w:pPr>
        <w:pStyle w:val="Standard"/>
        <w:tabs>
          <w:tab w:val="left" w:pos="6379"/>
        </w:tabs>
        <w:ind w:right="60"/>
        <w:rPr>
          <w:lang w:val="uk-UA"/>
        </w:rPr>
      </w:pPr>
      <w:r w:rsidRPr="004A7A97">
        <w:rPr>
          <w:lang w:val="uk-UA"/>
        </w:rPr>
        <w:tab/>
        <w:t xml:space="preserve"> </w:t>
      </w:r>
    </w:p>
    <w:p w:rsidR="00791912" w:rsidRPr="004A7A97" w:rsidRDefault="00791912" w:rsidP="00D852DA">
      <w:pPr>
        <w:pStyle w:val="Standard"/>
        <w:ind w:right="-2"/>
        <w:rPr>
          <w:lang w:val="uk-UA"/>
        </w:rPr>
      </w:pPr>
      <w:r w:rsidRPr="004A7A97">
        <w:rPr>
          <w:lang w:val="uk-UA"/>
        </w:rPr>
        <w:tab/>
      </w:r>
      <w:r w:rsidRPr="004A7A97">
        <w:rPr>
          <w:lang w:val="uk-UA"/>
        </w:rPr>
        <w:tab/>
      </w:r>
      <w:r w:rsidRPr="004A7A97">
        <w:rPr>
          <w:lang w:val="uk-UA"/>
        </w:rPr>
        <w:tab/>
        <w:t xml:space="preserve">           </w:t>
      </w:r>
    </w:p>
    <w:p w:rsidR="00791912" w:rsidRPr="004A7A97" w:rsidRDefault="00791912" w:rsidP="00D852DA">
      <w:pPr>
        <w:pStyle w:val="Standard"/>
        <w:ind w:right="60"/>
        <w:rPr>
          <w:lang w:val="uk-UA"/>
        </w:rPr>
      </w:pPr>
      <w:r w:rsidRPr="004A7A97">
        <w:rPr>
          <w:lang w:val="uk-UA"/>
        </w:rPr>
        <w:t>Уповноважений з антикорупційної діяльності                            Микола ЧУХЛІБ</w:t>
      </w:r>
    </w:p>
    <w:p w:rsidR="00791912" w:rsidRPr="004A7A97" w:rsidRDefault="00791912" w:rsidP="00D852DA">
      <w:pPr>
        <w:pStyle w:val="Standard"/>
        <w:ind w:right="60"/>
        <w:rPr>
          <w:lang w:val="uk-UA"/>
        </w:rPr>
      </w:pPr>
    </w:p>
    <w:p w:rsidR="00791912" w:rsidRPr="004A7A97" w:rsidRDefault="00791912" w:rsidP="00D852DA">
      <w:pPr>
        <w:pStyle w:val="Standard"/>
        <w:ind w:right="60"/>
        <w:rPr>
          <w:lang w:val="uk-UA"/>
        </w:rPr>
      </w:pPr>
    </w:p>
    <w:p w:rsidR="00791912" w:rsidRPr="004A7A97" w:rsidRDefault="00791912" w:rsidP="009945E0">
      <w:pPr>
        <w:pStyle w:val="Standard"/>
        <w:tabs>
          <w:tab w:val="left" w:pos="6379"/>
        </w:tabs>
        <w:rPr>
          <w:lang w:val="uk-UA"/>
        </w:rPr>
      </w:pPr>
      <w:r w:rsidRPr="004A7A97">
        <w:rPr>
          <w:lang w:val="uk-UA"/>
        </w:rPr>
        <w:t xml:space="preserve"> Начальниця  загального відділу                                                   Ірина ТЕМНА</w:t>
      </w:r>
    </w:p>
    <w:p w:rsidR="00791912" w:rsidRPr="004A7A97" w:rsidRDefault="00791912" w:rsidP="00D852DA">
      <w:pPr>
        <w:pStyle w:val="Standard"/>
        <w:ind w:right="60"/>
        <w:rPr>
          <w:lang w:val="uk-UA"/>
        </w:rPr>
      </w:pPr>
    </w:p>
    <w:p w:rsidR="00791912" w:rsidRPr="004A7A97" w:rsidRDefault="00791912" w:rsidP="00D852DA">
      <w:pPr>
        <w:pStyle w:val="Standard"/>
        <w:ind w:right="60"/>
        <w:rPr>
          <w:lang w:val="uk-UA"/>
        </w:rPr>
      </w:pPr>
    </w:p>
    <w:p w:rsidR="00791912" w:rsidRPr="004A7A97" w:rsidRDefault="00791912" w:rsidP="00D852DA">
      <w:pPr>
        <w:pStyle w:val="Standard"/>
        <w:ind w:right="60"/>
        <w:rPr>
          <w:lang w:val="uk-UA"/>
        </w:rPr>
      </w:pPr>
    </w:p>
    <w:p w:rsidR="00791912" w:rsidRPr="004A7A97" w:rsidRDefault="00791912" w:rsidP="00952F77">
      <w:pPr>
        <w:pStyle w:val="Standard"/>
        <w:tabs>
          <w:tab w:val="left" w:pos="6379"/>
        </w:tabs>
        <w:ind w:right="60"/>
        <w:rPr>
          <w:lang w:val="uk-UA"/>
        </w:rPr>
      </w:pPr>
      <w:bookmarkStart w:id="0" w:name="_Hlk143701472"/>
      <w:r w:rsidRPr="004A7A97">
        <w:rPr>
          <w:lang w:val="uk-UA"/>
        </w:rPr>
        <w:t>Начальниця  УСП                                                                           Тетяна  ПРИЩЕПА</w:t>
      </w:r>
    </w:p>
    <w:bookmarkEnd w:id="0"/>
    <w:p w:rsidR="00791912" w:rsidRPr="004A7A97" w:rsidRDefault="00791912" w:rsidP="00D852DA">
      <w:pPr>
        <w:pStyle w:val="Standard"/>
        <w:ind w:right="60"/>
        <w:rPr>
          <w:lang w:val="uk-UA"/>
        </w:rPr>
      </w:pPr>
    </w:p>
    <w:p w:rsidR="00791912" w:rsidRPr="004A7A97" w:rsidRDefault="00791912" w:rsidP="00A27ACA">
      <w:pPr>
        <w:pStyle w:val="Standard"/>
        <w:ind w:right="60"/>
        <w:rPr>
          <w:lang w:val="uk-UA"/>
        </w:rPr>
      </w:pPr>
    </w:p>
    <w:p w:rsidR="00791912" w:rsidRPr="004A7A97" w:rsidRDefault="00791912" w:rsidP="00A27ACA">
      <w:pPr>
        <w:pStyle w:val="Standard"/>
        <w:ind w:right="60"/>
        <w:rPr>
          <w:lang w:val="uk-UA"/>
        </w:rPr>
      </w:pPr>
    </w:p>
    <w:p w:rsidR="00791912" w:rsidRPr="004A7A97" w:rsidRDefault="00791912" w:rsidP="00A27ACA">
      <w:pPr>
        <w:pStyle w:val="Standard"/>
        <w:ind w:right="60"/>
        <w:rPr>
          <w:lang w:val="uk-UA"/>
        </w:rPr>
      </w:pPr>
    </w:p>
    <w:p w:rsidR="00791912" w:rsidRPr="004A7A97" w:rsidRDefault="00791912" w:rsidP="00D852DA">
      <w:pPr>
        <w:pStyle w:val="Standard"/>
        <w:ind w:left="567" w:right="60"/>
        <w:rPr>
          <w:lang w:val="uk-UA"/>
        </w:rPr>
      </w:pPr>
    </w:p>
    <w:p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    Розсилки:</w:t>
      </w:r>
    </w:p>
    <w:p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1. Міськвиконком     - 2 </w:t>
      </w:r>
    </w:p>
    <w:p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2. </w:t>
      </w:r>
      <w:proofErr w:type="spellStart"/>
      <w:r w:rsidRPr="004A7A97">
        <w:rPr>
          <w:lang w:val="uk-UA"/>
        </w:rPr>
        <w:t>Фінуправління</w:t>
      </w:r>
      <w:proofErr w:type="spellEnd"/>
      <w:r w:rsidRPr="004A7A97">
        <w:rPr>
          <w:lang w:val="uk-UA"/>
        </w:rPr>
        <w:t xml:space="preserve">      - 1 </w:t>
      </w:r>
    </w:p>
    <w:p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>3. УСП                       - 1</w:t>
      </w:r>
    </w:p>
    <w:p w:rsidR="00791912" w:rsidRPr="004A7A97" w:rsidRDefault="00791912" w:rsidP="00D852DA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4. КУ «ТЦСО»          - 1 </w:t>
      </w:r>
    </w:p>
    <w:p w:rsidR="00791912" w:rsidRPr="004A7A97" w:rsidRDefault="00791912" w:rsidP="00337E4D">
      <w:pPr>
        <w:pStyle w:val="Standard"/>
        <w:ind w:left="567" w:right="60"/>
        <w:rPr>
          <w:lang w:val="uk-UA"/>
        </w:rPr>
      </w:pPr>
      <w:r w:rsidRPr="004A7A97">
        <w:rPr>
          <w:lang w:val="uk-UA"/>
        </w:rPr>
        <w:t xml:space="preserve">                                                                                   </w:t>
      </w:r>
    </w:p>
    <w:p w:rsidR="00791912" w:rsidRPr="004A7A97" w:rsidRDefault="00791912" w:rsidP="00D852DA">
      <w:pPr>
        <w:pStyle w:val="Standard"/>
        <w:ind w:left="567" w:right="60"/>
        <w:rPr>
          <w:rFonts w:cs="Times New Roman"/>
          <w:lang w:val="uk-UA"/>
        </w:rPr>
      </w:pPr>
      <w:r w:rsidRPr="004A7A97">
        <w:rPr>
          <w:rFonts w:cs="Times New Roman"/>
          <w:lang w:val="uk-UA"/>
        </w:rPr>
        <w:t xml:space="preserve">                                                                                   </w:t>
      </w:r>
    </w:p>
    <w:p w:rsidR="00791912" w:rsidRPr="004A7A97" w:rsidRDefault="00791912" w:rsidP="00D852DA">
      <w:pPr>
        <w:ind w:right="283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418"/>
        <w:gridCol w:w="4819"/>
      </w:tblGrid>
      <w:tr w:rsidR="00791912" w:rsidRPr="004A7A97" w:rsidTr="003A2E5A">
        <w:trPr>
          <w:trHeight w:val="850"/>
        </w:trPr>
        <w:tc>
          <w:tcPr>
            <w:tcW w:w="2830" w:type="dxa"/>
          </w:tcPr>
          <w:p w:rsidR="00791912" w:rsidRPr="004A7A97" w:rsidRDefault="00791912" w:rsidP="003A2E5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91912" w:rsidRPr="004A7A97" w:rsidRDefault="00791912" w:rsidP="003A2E5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:rsidR="00791912" w:rsidRPr="004A7A97" w:rsidRDefault="00791912" w:rsidP="003A2E5A">
            <w:pPr>
              <w:autoSpaceDN w:val="0"/>
              <w:jc w:val="both"/>
              <w:textAlignment w:val="baseline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val="uk-UA" w:eastAsia="uk-UA"/>
              </w:rPr>
            </w:pPr>
            <w:r w:rsidRPr="004A7A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4A7A9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791912" w:rsidRPr="004A7A97" w:rsidRDefault="00791912" w:rsidP="003A2E5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uk-UA"/>
              </w:rPr>
            </w:pPr>
          </w:p>
        </w:tc>
      </w:tr>
    </w:tbl>
    <w:p w:rsidR="00791912" w:rsidRPr="004A7A97" w:rsidRDefault="00791912" w:rsidP="00890E1F">
      <w:pPr>
        <w:spacing w:after="0" w:line="240" w:lineRule="auto"/>
        <w:rPr>
          <w:lang w:val="uk-UA"/>
        </w:rPr>
      </w:pPr>
      <w:r w:rsidRPr="004A7A97">
        <w:rPr>
          <w:lang w:val="uk-UA"/>
        </w:rPr>
        <w:t xml:space="preserve">                                                                                                  </w:t>
      </w:r>
    </w:p>
    <w:p w:rsidR="00125656" w:rsidRDefault="00125656" w:rsidP="001874B3">
      <w:pPr>
        <w:spacing w:after="160" w:line="259" w:lineRule="auto"/>
        <w:ind w:right="2408"/>
        <w:jc w:val="right"/>
        <w:rPr>
          <w:lang w:val="uk-UA"/>
        </w:rPr>
      </w:pPr>
    </w:p>
    <w:p w:rsidR="008B7105" w:rsidRDefault="008B7105" w:rsidP="001874B3">
      <w:pPr>
        <w:spacing w:after="160" w:line="259" w:lineRule="auto"/>
        <w:ind w:right="2408"/>
        <w:jc w:val="right"/>
        <w:rPr>
          <w:lang w:val="uk-UA"/>
        </w:rPr>
      </w:pPr>
    </w:p>
    <w:p w:rsidR="00791912" w:rsidRPr="004A7A97" w:rsidRDefault="00791912" w:rsidP="001874B3">
      <w:pPr>
        <w:spacing w:after="160" w:line="259" w:lineRule="auto"/>
        <w:ind w:right="2408"/>
        <w:jc w:val="right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lang w:val="uk-UA"/>
        </w:rPr>
        <w:lastRenderedPageBreak/>
        <w:t>Д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одаток </w:t>
      </w:r>
    </w:p>
    <w:p w:rsidR="00791912" w:rsidRPr="004A7A97" w:rsidRDefault="00791912" w:rsidP="00890E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  <w:t xml:space="preserve">до  рішення виконавчого комітету </w:t>
      </w:r>
    </w:p>
    <w:p w:rsidR="00791912" w:rsidRPr="004A7A97" w:rsidRDefault="00791912" w:rsidP="00890E1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</w:r>
      <w:r w:rsidRPr="004A7A97">
        <w:rPr>
          <w:rFonts w:ascii="Times New Roman" w:hAnsi="Times New Roman"/>
          <w:sz w:val="24"/>
          <w:szCs w:val="24"/>
          <w:lang w:val="uk-UA"/>
        </w:rPr>
        <w:tab/>
        <w:t xml:space="preserve">Чорноморської    міської        ради </w:t>
      </w:r>
    </w:p>
    <w:p w:rsidR="00791912" w:rsidRPr="004A7A97" w:rsidRDefault="008B7105" w:rsidP="00890E1F">
      <w:pPr>
        <w:spacing w:after="0" w:line="240" w:lineRule="auto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</w:r>
      <w:r>
        <w:rPr>
          <w:rFonts w:ascii="Times New Roman" w:hAnsi="Times New Roman"/>
          <w:szCs w:val="24"/>
          <w:lang w:val="uk-UA"/>
        </w:rPr>
        <w:tab/>
        <w:t>від   25.09.2023   №  258</w:t>
      </w:r>
      <w:bookmarkStart w:id="1" w:name="_GoBack"/>
      <w:bookmarkEnd w:id="1"/>
    </w:p>
    <w:p w:rsidR="00791912" w:rsidRPr="004A7A97" w:rsidRDefault="00791912" w:rsidP="00890E1F">
      <w:pPr>
        <w:spacing w:after="0" w:line="240" w:lineRule="auto"/>
        <w:rPr>
          <w:lang w:val="uk-UA"/>
        </w:rPr>
      </w:pPr>
    </w:p>
    <w:p w:rsidR="00791912" w:rsidRPr="004A7A97" w:rsidRDefault="00791912" w:rsidP="00890E1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91912" w:rsidRPr="004A7A97" w:rsidRDefault="00791912" w:rsidP="00890E1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91912" w:rsidRPr="004A7A97" w:rsidRDefault="00791912" w:rsidP="00890E1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A7A97">
        <w:rPr>
          <w:rFonts w:ascii="Times New Roman" w:hAnsi="Times New Roman"/>
          <w:b/>
          <w:sz w:val="24"/>
          <w:szCs w:val="24"/>
          <w:lang w:val="uk-UA"/>
        </w:rPr>
        <w:t xml:space="preserve">Порядок та умови </w:t>
      </w: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 xml:space="preserve">надання соціальної послуги у вигляді безкоштовного харчування комунальною установою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Територіальний центр соціального обслуговування (надання соціальних послуг) Чорноморської міської ради Одеського району </w:t>
      </w:r>
      <w:r>
        <w:rPr>
          <w:rFonts w:ascii="Times New Roman" w:hAnsi="Times New Roman"/>
          <w:sz w:val="24"/>
          <w:szCs w:val="24"/>
          <w:lang w:val="uk-UA"/>
        </w:rPr>
        <w:t>Одеської області»</w:t>
      </w:r>
    </w:p>
    <w:p w:rsidR="00791912" w:rsidRPr="004A7A97" w:rsidRDefault="00791912" w:rsidP="00890E1F">
      <w:pPr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791912" w:rsidRPr="004A7A97" w:rsidRDefault="00791912" w:rsidP="00890E1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1. Загальні положення</w:t>
      </w:r>
    </w:p>
    <w:p w:rsidR="00791912" w:rsidRPr="004A7A97" w:rsidRDefault="00791912" w:rsidP="00890E1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1.1. Порядок та умови (далі - Порядок) спрямовані на реалізацію конституційних гарантій громадян на соціальний захист - забезпечення рівня життя,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підтримку малозабезпечених непрацездатних громадян, які знаходяться на обслуговуванні у  комунальній установі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4A7A97">
        <w:rPr>
          <w:rFonts w:ascii="Times New Roman" w:hAnsi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(далі-Територіальний центр), внутрішньо переміщених осіб,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громадян, що знаходяться в складних життєвих обставинах,  та діють на період воєнного стану в Україні.</w:t>
      </w: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1.2. Порядок передбачає  надання </w:t>
      </w:r>
      <w:r w:rsidRPr="004A7A97">
        <w:rPr>
          <w:rFonts w:ascii="Times New Roman" w:hAnsi="Times New Roman"/>
          <w:sz w:val="24"/>
          <w:szCs w:val="24"/>
          <w:lang w:val="uk-UA"/>
        </w:rPr>
        <w:t>соціальної послуги у вигляді  безкоштовного харчування малозабезпеченим непрацездатним громадянам, які знаходяться на обслуговуванні у комунальній установі “Територіальний центр соціального обслуговування   (надання соціальних послуг) Чорноморської міської ради  Одеського району Одеської області”, внутрішньо переміщеним особам, які перемістились до Чорноморської міської територіальної громади у період воєнного стану,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громадянам, що знаходяться в складних життєвих обставинах, зареєстровані та фактично проживають на території Чорноморської міської територіальної громади. </w:t>
      </w: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1912" w:rsidRPr="004A7A97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       2. Умови  надання   соціальної послуги у вигляді  безкоштовного  харчування</w:t>
      </w:r>
    </w:p>
    <w:p w:rsidR="00791912" w:rsidRPr="004A7A97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bookmarkStart w:id="2" w:name="n37"/>
      <w:bookmarkEnd w:id="2"/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2.1. Безкоштовне харчування надається:</w:t>
      </w: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-  малозабезпеченим непрацездатним громадянам, </w:t>
      </w:r>
      <w:r w:rsidRPr="004A7A97">
        <w:rPr>
          <w:rFonts w:ascii="Times New Roman" w:hAnsi="Times New Roman"/>
          <w:sz w:val="24"/>
          <w:szCs w:val="24"/>
          <w:lang w:val="uk-UA"/>
        </w:rPr>
        <w:t>які знаходяться на обліку у Територіальному центрі,</w:t>
      </w: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середньомісячний сукупний дохід яких не перевищує двох прожиткових мінімумів для непрацездатних осіб, встановлених на початок бюджетного року;</w:t>
      </w: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-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внутрішньо переміщеним особам, які перемістились до Чорноморської міської територіальної громади у період воєнного стану,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введеного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eastAsia="MS Mincho" w:hAnsi="Times New Roman"/>
          <w:color w:val="000000"/>
          <w:sz w:val="24"/>
          <w:szCs w:val="24"/>
          <w:lang w:val="uk-UA" w:eastAsia="ru-RU"/>
        </w:rPr>
        <w:t xml:space="preserve">Указом Президента України від 24.02.2022 № 64/2022 </w:t>
      </w:r>
      <w:r>
        <w:rPr>
          <w:rFonts w:ascii="Times New Roman" w:eastAsia="MS Mincho" w:hAnsi="Times New Roman"/>
          <w:color w:val="000000"/>
          <w:sz w:val="24"/>
          <w:szCs w:val="24"/>
          <w:lang w:val="uk-UA" w:eastAsia="ru-RU"/>
        </w:rPr>
        <w:t>«</w:t>
      </w:r>
      <w:r w:rsidRPr="004A7A97">
        <w:rPr>
          <w:rFonts w:ascii="Times New Roman" w:eastAsia="MS Mincho" w:hAnsi="Times New Roman"/>
          <w:color w:val="000000"/>
          <w:sz w:val="24"/>
          <w:szCs w:val="24"/>
          <w:lang w:val="uk-UA" w:eastAsia="ru-RU"/>
        </w:rPr>
        <w:t>Про введення воєнного стану в Україні</w:t>
      </w:r>
      <w:r>
        <w:rPr>
          <w:rFonts w:ascii="Times New Roman" w:eastAsia="MS Mincho" w:hAnsi="Times New Roman"/>
          <w:color w:val="000000"/>
          <w:sz w:val="24"/>
          <w:szCs w:val="24"/>
          <w:lang w:val="uk-UA" w:eastAsia="ru-RU"/>
        </w:rPr>
        <w:t>»</w:t>
      </w:r>
      <w:r w:rsidRPr="004A7A97">
        <w:rPr>
          <w:rFonts w:ascii="Times New Roman" w:eastAsia="MS Mincho" w:hAnsi="Times New Roman"/>
          <w:color w:val="000000"/>
          <w:sz w:val="24"/>
          <w:szCs w:val="24"/>
          <w:lang w:val="uk-UA" w:eastAsia="ru-RU"/>
        </w:rPr>
        <w:t xml:space="preserve"> та </w:t>
      </w:r>
      <w:r w:rsidRPr="004A7A9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подовженого строку дії воєнного стану в Україні відповідно до Указів Президента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України</w:t>
      </w:r>
      <w:r w:rsidRPr="004A7A97">
        <w:rPr>
          <w:rFonts w:ascii="Times New Roman" w:hAnsi="Times New Roman"/>
          <w:sz w:val="24"/>
          <w:szCs w:val="24"/>
          <w:lang w:val="uk-UA"/>
        </w:rPr>
        <w:t>;</w:t>
      </w:r>
    </w:p>
    <w:p w:rsidR="00791912" w:rsidRPr="004A7A97" w:rsidRDefault="00791912" w:rsidP="0088402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/>
        </w:rPr>
        <w:t>-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громадянам, що знаходяться в складних життєвих обставинах, які зареєстровані та фактично проживають на території Чорноморської міської територіальної громади </w:t>
      </w:r>
      <w:r w:rsidRPr="004A7A97">
        <w:rPr>
          <w:rFonts w:ascii="Times New Roman" w:hAnsi="Times New Roman"/>
          <w:sz w:val="24"/>
          <w:szCs w:val="24"/>
          <w:lang w:val="uk-UA"/>
        </w:rPr>
        <w:t>через чинники: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791912" w:rsidRPr="004A7A97" w:rsidRDefault="00791912" w:rsidP="0088402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  -  похилий вік;</w:t>
      </w:r>
    </w:p>
    <w:p w:rsidR="00791912" w:rsidRPr="004A7A97" w:rsidRDefault="00791912" w:rsidP="0088402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  -  часткова або повна втрата рухової активності, пам’яті;</w:t>
      </w:r>
    </w:p>
    <w:p w:rsidR="00791912" w:rsidRPr="004A7A97" w:rsidRDefault="00791912" w:rsidP="0088402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  -  невиліковні хвороби, хвороби, що потребують тривалого лікування;</w:t>
      </w:r>
    </w:p>
    <w:p w:rsidR="00791912" w:rsidRPr="004A7A97" w:rsidRDefault="00791912" w:rsidP="0088402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  -  психічні та поведінкові розлади, у тому числі внаслідок вживання  </w:t>
      </w:r>
      <w:proofErr w:type="spellStart"/>
      <w:r w:rsidRPr="004A7A97">
        <w:rPr>
          <w:rFonts w:ascii="Times New Roman" w:hAnsi="Times New Roman"/>
          <w:sz w:val="24"/>
          <w:szCs w:val="24"/>
          <w:lang w:val="uk-UA" w:eastAsia="uk-UA"/>
        </w:rPr>
        <w:t>психоактивних</w:t>
      </w:r>
      <w:proofErr w:type="spellEnd"/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речовин;</w:t>
      </w:r>
    </w:p>
    <w:p w:rsidR="00791912" w:rsidRPr="004A7A97" w:rsidRDefault="00791912" w:rsidP="008840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  </w:t>
      </w: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                </w:t>
      </w:r>
    </w:p>
    <w:p w:rsidR="00125656" w:rsidRDefault="00791912" w:rsidP="00884029">
      <w:pPr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</w:t>
      </w:r>
    </w:p>
    <w:p w:rsidR="00791912" w:rsidRPr="004A7A97" w:rsidRDefault="00791912" w:rsidP="00884029">
      <w:pPr>
        <w:spacing w:after="0" w:line="240" w:lineRule="auto"/>
        <w:ind w:left="2832"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lastRenderedPageBreak/>
        <w:t xml:space="preserve">             “Подовження додатку”    </w:t>
      </w:r>
    </w:p>
    <w:p w:rsidR="00791912" w:rsidRPr="004A7A97" w:rsidRDefault="00791912" w:rsidP="007B42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2</w:t>
      </w:r>
    </w:p>
    <w:p w:rsidR="00791912" w:rsidRPr="004A7A97" w:rsidRDefault="00791912" w:rsidP="0088402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</w:t>
      </w:r>
    </w:p>
    <w:p w:rsidR="00791912" w:rsidRPr="004A7A97" w:rsidRDefault="00791912" w:rsidP="003A4F74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   -  інвалідність;</w:t>
      </w:r>
    </w:p>
    <w:p w:rsidR="00791912" w:rsidRPr="004A7A97" w:rsidRDefault="00791912" w:rsidP="0088402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   -  безробіття, якщо на утриманні є неповнолітні діти;</w:t>
      </w:r>
    </w:p>
    <w:p w:rsidR="00791912" w:rsidRPr="004A7A97" w:rsidRDefault="00791912" w:rsidP="00884029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   -  малозабезпеченість особи;</w:t>
      </w:r>
    </w:p>
    <w:p w:rsidR="00791912" w:rsidRPr="004A7A97" w:rsidRDefault="00791912" w:rsidP="008840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   -  належність до  сім’ї, загиблих учасників  АТО (ООС), ЗСУ,  територіальної оборони;</w:t>
      </w:r>
    </w:p>
    <w:p w:rsidR="00791912" w:rsidRPr="004A7A97" w:rsidRDefault="00791912" w:rsidP="008840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       - шкода, завдана пожежею, стихійним лихом, катастрофою, бойовими діями, терористичним актом, збройним конфліктом, тимчасовою окупацією.</w:t>
      </w: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2.2. Для отримання безкоштовного харчування громадяни подають до Територіального центру такі документи: </w:t>
      </w: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- заяву; </w:t>
      </w: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- документ, що посвідчує особу;</w:t>
      </w: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- ідентифікаційний код;</w:t>
      </w: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- довідку про статус </w:t>
      </w:r>
      <w:r w:rsidRPr="004A7A97">
        <w:rPr>
          <w:rFonts w:ascii="Times New Roman" w:hAnsi="Times New Roman"/>
          <w:sz w:val="24"/>
          <w:szCs w:val="24"/>
          <w:lang w:val="uk-UA"/>
        </w:rPr>
        <w:t>внутрішньо переміщеної</w:t>
      </w: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;</w:t>
      </w: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- довідку про доходи заявника та усіх працездатних членів сім’ї;  </w:t>
      </w: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-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письмову згоду на збирання та обробку персональних даних, отримання інформації про матеріальний стан таких осіб у інших організаціях.</w:t>
      </w:r>
    </w:p>
    <w:p w:rsidR="00791912" w:rsidRPr="004A7A97" w:rsidRDefault="00791912" w:rsidP="00890E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2.3. Безкоштовне харчування малозабезпеченим непрацездатним громадянам, </w:t>
      </w:r>
      <w:r w:rsidRPr="004A7A97">
        <w:rPr>
          <w:rFonts w:ascii="Times New Roman" w:hAnsi="Times New Roman"/>
          <w:sz w:val="24"/>
          <w:szCs w:val="24"/>
          <w:lang w:val="uk-UA"/>
        </w:rPr>
        <w:t>які знаходяться на обліку у Територіальному центрі</w:t>
      </w: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,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внутрішньо переміщеним особам та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 xml:space="preserve"> громадянам, що знаходяться у складних життєвих обставинах</w:t>
      </w: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надається </w:t>
      </w:r>
      <w:r w:rsidRPr="004A7A97">
        <w:rPr>
          <w:rFonts w:ascii="Times New Roman" w:hAnsi="Times New Roman"/>
          <w:sz w:val="24"/>
          <w:szCs w:val="24"/>
          <w:lang w:val="uk-UA" w:eastAsia="ru-RU"/>
        </w:rPr>
        <w:t>у робочі дні, на підставі іменних, пронумерованих талонів, які видаються Територіальним центром щотижня на 5 календарних днів,</w:t>
      </w: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про що складаються відповідні відомості.</w:t>
      </w:r>
    </w:p>
    <w:p w:rsidR="00791912" w:rsidRPr="004A7A97" w:rsidRDefault="00791912" w:rsidP="0088402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 w:eastAsia="uk-UA"/>
        </w:rPr>
        <w:t>2.4. Перевага в отриманні</w:t>
      </w:r>
      <w:r w:rsidRPr="004A7A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>соціальної послуги у вигляді безкоштовного харчування</w:t>
      </w:r>
      <w:r w:rsidRPr="004A7A9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A7A97">
        <w:rPr>
          <w:rFonts w:ascii="Times New Roman" w:hAnsi="Times New Roman"/>
          <w:bCs/>
          <w:sz w:val="24"/>
          <w:szCs w:val="24"/>
          <w:lang w:val="uk-UA"/>
        </w:rPr>
        <w:t>надається малозабезпеченим особам, що мають дохід менше 2-х прожиткових мінімумів для  громадян відповідної категорії.</w:t>
      </w: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bookmarkStart w:id="3" w:name="n54"/>
      <w:bookmarkEnd w:id="3"/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2.5.  Підставою для відмови у наданні безкоштовного харчування громадянину є:</w:t>
      </w: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-  відсутність фінансування;</w:t>
      </w:r>
    </w:p>
    <w:p w:rsidR="00791912" w:rsidRPr="004A7A97" w:rsidRDefault="00791912" w:rsidP="00890E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- порушення правил поведінки відвідувача їдальні та скарги з боку інших відвідувачів;</w:t>
      </w: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-  знаходження в стані алкогольного або наркотичного сп’яніння.</w:t>
      </w: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</w:t>
      </w:r>
    </w:p>
    <w:p w:rsidR="00791912" w:rsidRPr="004A7A97" w:rsidRDefault="00791912" w:rsidP="00890E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</w:t>
      </w:r>
    </w:p>
    <w:p w:rsidR="00791912" w:rsidRPr="004A7A97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               3. Організація та порядок надання безкоштовного харчування</w:t>
      </w:r>
    </w:p>
    <w:p w:rsidR="00791912" w:rsidRPr="004A7A97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3.1. Територіальний центр укладає договір із підприємством  громадського харчування про  надання  гарячих обідів громадянам  за списками, які складаються і подаються Територіальним центром.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3.2. Асортимент гарячих обідів визначається згідно меню, узгодженого із підприємством громадського харчування та затвердженого  директором територіального   центру. О</w:t>
      </w:r>
      <w:r w:rsidRPr="004A7A97">
        <w:rPr>
          <w:rFonts w:ascii="Times New Roman" w:hAnsi="Times New Roman"/>
          <w:sz w:val="24"/>
          <w:szCs w:val="24"/>
          <w:lang w:val="uk-UA"/>
        </w:rPr>
        <w:t>рієнтовна  вартість  гарячого обіду   визначається  при складанні розрахунку до  кошторису видатків загального фонду  бюджету на рік, виходячи з  наявного фінансування  Територіального центру.</w:t>
      </w:r>
    </w:p>
    <w:p w:rsidR="00791912" w:rsidRPr="004A7A97" w:rsidRDefault="00791912" w:rsidP="004A7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 3.5. Гарячі обіди надаються у робочі дні щоденно по  іменних, пронумерованих талонах, які  видаються   Територіальним центром  щотижня на 5 календарних днів. </w:t>
      </w:r>
    </w:p>
    <w:p w:rsidR="00791912" w:rsidRPr="004A7A97" w:rsidRDefault="00791912" w:rsidP="004A7A97">
      <w:pPr>
        <w:spacing w:after="0"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val="uk-UA" w:eastAsia="zh-CN" w:bidi="hi-IN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  <w:r w:rsidRPr="004A7A97">
        <w:rPr>
          <w:rFonts w:ascii="Times New Roman" w:hAnsi="Times New Roman"/>
          <w:iCs/>
          <w:kern w:val="1"/>
          <w:sz w:val="24"/>
          <w:szCs w:val="24"/>
          <w:lang w:val="uk-UA" w:eastAsia="zh-CN" w:bidi="hi-IN"/>
        </w:rPr>
        <w:t xml:space="preserve">3.6. </w:t>
      </w: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Контроль за наданням соціальної послуги у вигляді безкоштовного харчування здійснюється </w:t>
      </w:r>
      <w:r w:rsidRPr="004A7A97">
        <w:rPr>
          <w:rFonts w:ascii="Times New Roman" w:hAnsi="Times New Roman"/>
          <w:iCs/>
          <w:kern w:val="1"/>
          <w:sz w:val="24"/>
          <w:szCs w:val="24"/>
          <w:lang w:val="uk-UA" w:eastAsia="zh-CN" w:bidi="hi-IN"/>
        </w:rPr>
        <w:t>відповідальними  працівниками Територіального центру.</w:t>
      </w:r>
    </w:p>
    <w:p w:rsidR="00791912" w:rsidRPr="004A7A97" w:rsidRDefault="00791912" w:rsidP="004A7A97">
      <w:pPr>
        <w:spacing w:after="0" w:line="240" w:lineRule="auto"/>
        <w:jc w:val="both"/>
        <w:rPr>
          <w:rFonts w:ascii="Times New Roman" w:hAnsi="Times New Roman"/>
          <w:iCs/>
          <w:kern w:val="1"/>
          <w:sz w:val="24"/>
          <w:szCs w:val="24"/>
          <w:lang w:val="uk-UA" w:eastAsia="zh-CN" w:bidi="hi-IN"/>
        </w:rPr>
      </w:pPr>
      <w:r w:rsidRPr="004A7A97">
        <w:rPr>
          <w:rFonts w:ascii="Times New Roman" w:hAnsi="Times New Roman"/>
          <w:iCs/>
          <w:kern w:val="1"/>
          <w:sz w:val="24"/>
          <w:szCs w:val="24"/>
          <w:lang w:val="uk-UA" w:eastAsia="zh-CN" w:bidi="hi-IN"/>
        </w:rPr>
        <w:t xml:space="preserve">      3.7. Фінансування витрат, пов’язаних з організацією безкоштовного </w:t>
      </w:r>
      <w:proofErr w:type="spellStart"/>
      <w:r w:rsidRPr="004A7A97">
        <w:rPr>
          <w:rFonts w:ascii="Times New Roman" w:hAnsi="Times New Roman"/>
          <w:iCs/>
          <w:kern w:val="1"/>
          <w:sz w:val="24"/>
          <w:szCs w:val="24"/>
          <w:lang w:val="uk-UA" w:eastAsia="zh-CN" w:bidi="hi-IN"/>
        </w:rPr>
        <w:t>харчування,здійснюється</w:t>
      </w:r>
      <w:proofErr w:type="spellEnd"/>
      <w:r w:rsidRPr="004A7A97">
        <w:rPr>
          <w:rFonts w:ascii="Times New Roman" w:hAnsi="Times New Roman"/>
          <w:iCs/>
          <w:kern w:val="1"/>
          <w:sz w:val="24"/>
          <w:szCs w:val="24"/>
          <w:lang w:val="uk-UA" w:eastAsia="zh-CN" w:bidi="hi-IN"/>
        </w:rPr>
        <w:t xml:space="preserve"> за рахунок коштів бюджету Чорноморської територіальної громади, передбачених на соціальний захист населення. Виділення коштів провадиться</w:t>
      </w:r>
      <w:r>
        <w:rPr>
          <w:rFonts w:ascii="Times New Roman" w:hAnsi="Times New Roman"/>
          <w:iCs/>
          <w:kern w:val="1"/>
          <w:sz w:val="24"/>
          <w:szCs w:val="24"/>
          <w:lang w:val="uk-UA" w:eastAsia="zh-CN" w:bidi="hi-IN"/>
        </w:rPr>
        <w:t xml:space="preserve"> </w:t>
      </w:r>
      <w:r w:rsidRPr="004A7A97">
        <w:rPr>
          <w:rFonts w:ascii="Times New Roman" w:hAnsi="Times New Roman"/>
          <w:iCs/>
          <w:kern w:val="1"/>
          <w:sz w:val="24"/>
          <w:szCs w:val="24"/>
          <w:lang w:val="uk-UA" w:eastAsia="zh-CN" w:bidi="hi-IN"/>
        </w:rPr>
        <w:t>за розпорядженням міського голови.</w:t>
      </w:r>
    </w:p>
    <w:p w:rsidR="00791912" w:rsidRPr="004A7A97" w:rsidRDefault="00791912" w:rsidP="004A7A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1912" w:rsidRPr="004A7A97" w:rsidRDefault="00791912" w:rsidP="00772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lastRenderedPageBreak/>
        <w:t xml:space="preserve">“ Подовження додатку”    </w:t>
      </w:r>
    </w:p>
    <w:p w:rsidR="00791912" w:rsidRPr="004A7A97" w:rsidRDefault="00791912" w:rsidP="007726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</w:t>
      </w: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ab/>
        <w:t xml:space="preserve">                                                        3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 3.8. Громадяни, які не мають обмежень рухомої активності, самостійно відвідують    підприємство громадського харчування. 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 3.9. Громадянам які знаходяться на обліку у Територіальному центрі зі значно зниженою  (1Vгрупа) та повністю втраченою (V група) рухомою активністю та </w:t>
      </w:r>
      <w:proofErr w:type="spellStart"/>
      <w:r w:rsidRPr="004A7A97">
        <w:rPr>
          <w:rFonts w:ascii="Times New Roman" w:hAnsi="Times New Roman"/>
          <w:sz w:val="24"/>
          <w:szCs w:val="24"/>
          <w:lang w:val="uk-UA" w:eastAsia="ru-RU"/>
        </w:rPr>
        <w:t>ліжкохворим</w:t>
      </w:r>
      <w:proofErr w:type="spellEnd"/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обіди можуть доставлятись додому  соціальними робітниками.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 3.10. Про отримання гарячого обіду громадяни розписуються у відомості видачі гарячих обідів, які готує та веде Територіальний центр.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 3.11. Громадяни, яким надаються гарячі обіди, зобов’язані  дотримуватись правил поведінки у громадських місцях та  відвідувати місце громадського харчування у встановленні територіальним центром дні та години.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  3.12. Підставою для припинення надання   гарячих обідів є: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>- порушення правил поведінки  та карантинних  правил відвідування закладу  громадського харчування;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- знаходження в стані алкогольного  та наркотичного сп’яніння; 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>- грубого, принизливого ставлення громадянина до працівників Територіального центру, працівників та відвідувачів закладу громадського харчування;</w:t>
      </w:r>
    </w:p>
    <w:p w:rsidR="00791912" w:rsidRPr="004A7A97" w:rsidRDefault="00791912" w:rsidP="00595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-  наявність симптом застуди та інфекційних, вірусних   захворювань. </w:t>
      </w:r>
    </w:p>
    <w:p w:rsidR="00791912" w:rsidRPr="004A7A97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3.13. Підприємство, яке надає послуги з харчування, звітує до Територіального центру один раз  на місяць та до 1 числа місяця наступного за звітним періодом подає акт виконаних робіт за попередній місяць. До акту додаються використані талони, які зберігаються у Територіальному центрі протягом трьох років.</w:t>
      </w:r>
    </w:p>
    <w:p w:rsidR="00791912" w:rsidRPr="004A7A97" w:rsidRDefault="00791912" w:rsidP="007726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3.14. Контроль за дотриманням санітарних норм приготування обідів здійснює Чорноморське управління Головного управління </w:t>
      </w:r>
      <w:proofErr w:type="spellStart"/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>Держспоживпродслужби</w:t>
      </w:r>
      <w:proofErr w:type="spellEnd"/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в Одеській області.</w:t>
      </w:r>
    </w:p>
    <w:p w:rsidR="00791912" w:rsidRPr="004A7A97" w:rsidRDefault="00791912" w:rsidP="007726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3.15. Контроль за наданням соціальної послуги у вигляді безкоштовного харчування здійснюється Територіальним центром.</w:t>
      </w:r>
    </w:p>
    <w:p w:rsidR="00791912" w:rsidRPr="004A7A97" w:rsidRDefault="00791912" w:rsidP="00890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                                  </w:t>
      </w:r>
    </w:p>
    <w:p w:rsidR="00791912" w:rsidRPr="004A7A97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791912" w:rsidRPr="004A7A97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7A97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</w:t>
      </w:r>
    </w:p>
    <w:p w:rsidR="00791912" w:rsidRPr="004A7A97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791912" w:rsidRPr="004A7A97" w:rsidRDefault="00791912" w:rsidP="00890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791912" w:rsidRPr="004A7A97" w:rsidRDefault="00791912" w:rsidP="00890E1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791912" w:rsidRPr="004A7A97" w:rsidRDefault="00791912" w:rsidP="005622BA">
      <w:pPr>
        <w:pStyle w:val="Standard"/>
        <w:tabs>
          <w:tab w:val="left" w:pos="6379"/>
        </w:tabs>
        <w:ind w:right="60"/>
        <w:rPr>
          <w:lang w:val="uk-UA"/>
        </w:rPr>
      </w:pPr>
      <w:r w:rsidRPr="004A7A97">
        <w:rPr>
          <w:color w:val="000000"/>
          <w:lang w:val="uk-UA" w:eastAsia="ru-RU"/>
        </w:rPr>
        <w:t xml:space="preserve">           </w:t>
      </w:r>
      <w:r w:rsidRPr="004A7A97">
        <w:rPr>
          <w:lang w:val="uk-UA"/>
        </w:rPr>
        <w:t>Начальниця  УСП                                                                        Тетяна  ПРИЩЕПА</w:t>
      </w:r>
    </w:p>
    <w:p w:rsidR="00791912" w:rsidRPr="004A7A97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791912" w:rsidRDefault="00791912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p w:rsidR="00365BA0" w:rsidRDefault="00365BA0" w:rsidP="00365BA0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Пояснювальна записка</w:t>
      </w:r>
    </w:p>
    <w:p w:rsidR="00365BA0" w:rsidRPr="003D5EA3" w:rsidRDefault="00365BA0" w:rsidP="00365BA0">
      <w:pPr>
        <w:spacing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рішення «</w:t>
      </w:r>
      <w:r w:rsidRPr="00587076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Про затвердження </w:t>
      </w:r>
      <w:r w:rsidRPr="00587076">
        <w:rPr>
          <w:rFonts w:ascii="Times New Roman" w:hAnsi="Times New Roman"/>
          <w:bCs/>
          <w:sz w:val="24"/>
          <w:szCs w:val="24"/>
          <w:lang w:val="uk-UA"/>
        </w:rPr>
        <w:t xml:space="preserve">Порядку та умов надання соціальної послуги у вигляді безкоштовного харчування 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комунальною установою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587076">
        <w:rPr>
          <w:rFonts w:ascii="Times New Roman" w:hAnsi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>»»</w:t>
      </w:r>
    </w:p>
    <w:p w:rsidR="00365BA0" w:rsidRPr="003D5EA3" w:rsidRDefault="00365BA0" w:rsidP="00365B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5BA0" w:rsidRDefault="00365BA0" w:rsidP="00365BA0">
      <w:pPr>
        <w:tabs>
          <w:tab w:val="left" w:pos="4253"/>
        </w:tabs>
        <w:spacing w:after="0" w:line="240" w:lineRule="auto"/>
        <w:ind w:firstLine="709"/>
        <w:jc w:val="both"/>
        <w:rPr>
          <w:lang w:val="uk-UA"/>
        </w:rPr>
      </w:pPr>
      <w:r w:rsidRPr="00587076">
        <w:rPr>
          <w:rFonts w:ascii="Times New Roman" w:eastAsia="Times New Roman" w:hAnsi="Times New Roman"/>
          <w:sz w:val="24"/>
          <w:szCs w:val="24"/>
          <w:lang w:val="uk-UA" w:eastAsia="ru-RU"/>
        </w:rPr>
        <w:t>З метою соціальної підтр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имки окремих категорій громадян</w:t>
      </w:r>
      <w:r w:rsidRPr="0058707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у період воєнного стану, </w:t>
      </w:r>
      <w:r w:rsidRPr="00515DDD">
        <w:rPr>
          <w:rFonts w:ascii="Times New Roman" w:hAnsi="Times New Roman"/>
          <w:sz w:val="24"/>
          <w:szCs w:val="24"/>
          <w:lang w:val="uk-UA"/>
        </w:rPr>
        <w:t xml:space="preserve">введеного </w:t>
      </w:r>
      <w:r w:rsidRPr="00515DDD">
        <w:rPr>
          <w:rFonts w:ascii="Times New Roman" w:eastAsia="MS Mincho" w:hAnsi="Times New Roman"/>
          <w:color w:val="000000" w:themeColor="text1"/>
          <w:sz w:val="24"/>
          <w:szCs w:val="24"/>
          <w:lang w:val="uk-UA" w:eastAsia="ru-RU"/>
        </w:rPr>
        <w:t>Указом Президента України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15DDD">
        <w:rPr>
          <w:rFonts w:ascii="Times New Roman" w:eastAsia="MS Mincho" w:hAnsi="Times New Roman"/>
          <w:color w:val="000000" w:themeColor="text1"/>
          <w:sz w:val="24"/>
          <w:szCs w:val="24"/>
          <w:lang w:val="uk-UA" w:eastAsia="ru-RU"/>
        </w:rPr>
        <w:t>від 24 лютого 2022 р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uk-UA" w:eastAsia="ru-RU"/>
        </w:rPr>
        <w:t xml:space="preserve">оку </w:t>
      </w:r>
      <w:r w:rsidRPr="00515DDD">
        <w:rPr>
          <w:rFonts w:ascii="Times New Roman" w:eastAsia="MS Mincho" w:hAnsi="Times New Roman"/>
          <w:color w:val="000000" w:themeColor="text1"/>
          <w:sz w:val="24"/>
          <w:szCs w:val="24"/>
          <w:lang w:val="uk-UA" w:eastAsia="ru-RU"/>
        </w:rPr>
        <w:t>№ 64/2022 "Про введення воєнного стану в Україні"</w:t>
      </w:r>
      <w:r>
        <w:rPr>
          <w:rFonts w:ascii="Times New Roman" w:eastAsia="MS Mincho" w:hAnsi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15DDD">
        <w:rPr>
          <w:rFonts w:ascii="Times New Roman" w:eastAsia="MS Mincho" w:hAnsi="Times New Roman"/>
          <w:color w:val="000000" w:themeColor="text1"/>
          <w:sz w:val="24"/>
          <w:szCs w:val="24"/>
          <w:lang w:val="uk-UA" w:eastAsia="ru-RU"/>
        </w:rPr>
        <w:t xml:space="preserve">та </w:t>
      </w:r>
      <w:r w:rsidRPr="00515D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продовженого строку дії воєнного стану в Україні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відповідно до Указів Президента від 14 березня  </w:t>
      </w:r>
      <w:r w:rsidRPr="00515D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2022 р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оку </w:t>
      </w:r>
      <w:r w:rsidRPr="00515D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№ 133/</w:t>
      </w:r>
      <w:r w:rsidRPr="00743C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2022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743C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18  квітня 2022 року  № 259/2022,</w:t>
      </w:r>
      <w:r w:rsidRPr="00743C03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17 травня 2022 року № 341/2022</w:t>
      </w:r>
      <w:r w:rsidRPr="00A34A7D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Pr="00A34A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12 серпня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A34A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2022 року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A34A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№ 573/2022,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A34A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7 листопада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A34A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2022 року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A34A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№ 757/2022, 6 лютого 2023 року № 58/2023,</w:t>
      </w:r>
      <w:r w:rsidRPr="008976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травня </w:t>
      </w:r>
      <w:r w:rsidRPr="008976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2023 року 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8976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254/2023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26 липня 2023 року </w:t>
      </w:r>
      <w:r w:rsidRPr="000C172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№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0C1720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451/2023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, з </w:t>
      </w:r>
      <w:r w:rsidRPr="00587076">
        <w:rPr>
          <w:rFonts w:ascii="Times New Roman" w:hAnsi="Times New Roman"/>
          <w:sz w:val="24"/>
          <w:szCs w:val="24"/>
          <w:lang w:val="uk-UA" w:eastAsia="ru-RU"/>
        </w:rPr>
        <w:t>урахуванням вимог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076">
        <w:rPr>
          <w:rFonts w:ascii="Times New Roman" w:hAnsi="Times New Roman"/>
          <w:sz w:val="24"/>
          <w:szCs w:val="24"/>
          <w:lang w:val="uk-UA" w:eastAsia="ru-RU"/>
        </w:rPr>
        <w:t>Закону України “Про соціальні послуги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17 січня </w:t>
      </w:r>
      <w:r w:rsidRPr="00587076">
        <w:rPr>
          <w:rFonts w:ascii="Times New Roman" w:hAnsi="Times New Roman"/>
          <w:sz w:val="24"/>
          <w:szCs w:val="24"/>
          <w:lang w:val="uk-UA" w:eastAsia="ru-RU"/>
        </w:rPr>
        <w:t>2019 № 2671-VIII, постанови Кабінету Міністрів України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від 29 грудня </w:t>
      </w:r>
      <w:r w:rsidRPr="00587076">
        <w:rPr>
          <w:rFonts w:ascii="Times New Roman" w:hAnsi="Times New Roman"/>
          <w:sz w:val="24"/>
          <w:szCs w:val="24"/>
          <w:lang w:val="uk-UA" w:eastAsia="ru-RU"/>
        </w:rPr>
        <w:t>2009 №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87076">
        <w:rPr>
          <w:rFonts w:ascii="Times New Roman" w:hAnsi="Times New Roman"/>
          <w:sz w:val="24"/>
          <w:szCs w:val="24"/>
          <w:lang w:val="uk-UA" w:eastAsia="ru-RU"/>
        </w:rPr>
        <w:t xml:space="preserve">1417 “Деякі питання діяльності </w:t>
      </w:r>
      <w:r w:rsidRPr="00587076">
        <w:rPr>
          <w:rFonts w:ascii="Times New Roman" w:hAnsi="Times New Roman"/>
          <w:sz w:val="24"/>
          <w:szCs w:val="24"/>
          <w:lang w:val="uk-UA"/>
        </w:rPr>
        <w:t>Територіальних центрів соціального обслуговування (надання соціальних послуг)” (зі</w:t>
      </w:r>
      <w:r>
        <w:rPr>
          <w:rFonts w:ascii="Times New Roman" w:hAnsi="Times New Roman"/>
          <w:sz w:val="24"/>
          <w:szCs w:val="24"/>
          <w:lang w:val="uk-UA"/>
        </w:rPr>
        <w:t xml:space="preserve"> змінами)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Чорноморської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076">
        <w:rPr>
          <w:rFonts w:ascii="Times New Roman" w:hAnsi="Times New Roman"/>
          <w:sz w:val="24"/>
          <w:szCs w:val="24"/>
          <w:lang w:val="uk-UA"/>
        </w:rPr>
        <w:t>міської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 Одеського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 району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076">
        <w:rPr>
          <w:rFonts w:ascii="Times New Roman" w:hAnsi="Times New Roman"/>
          <w:sz w:val="24"/>
          <w:szCs w:val="24"/>
          <w:lang w:val="uk-UA"/>
        </w:rPr>
        <w:t>Одеської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Pr="00587076">
        <w:rPr>
          <w:rFonts w:ascii="Times New Roman" w:hAnsi="Times New Roman"/>
          <w:sz w:val="24"/>
          <w:szCs w:val="24"/>
          <w:lang w:val="uk-UA"/>
        </w:rPr>
        <w:t>24</w:t>
      </w:r>
      <w:r>
        <w:rPr>
          <w:rFonts w:ascii="Times New Roman" w:hAnsi="Times New Roman"/>
          <w:sz w:val="24"/>
          <w:szCs w:val="24"/>
          <w:lang w:val="uk-UA"/>
        </w:rPr>
        <w:t xml:space="preserve"> грудня</w:t>
      </w:r>
      <w:r w:rsidRPr="00587076">
        <w:rPr>
          <w:rFonts w:ascii="Times New Roman" w:hAnsi="Times New Roman"/>
          <w:sz w:val="24"/>
          <w:szCs w:val="24"/>
          <w:lang w:val="uk-UA"/>
        </w:rPr>
        <w:t>.2020 № 16-VІII “Про Міську цільову програму соціального захисту та надання соціальних послуг населенню Чорноморської міської територіальної громади на 2021-2025 роки</w:t>
      </w:r>
      <w:r w:rsidRPr="00877B58">
        <w:rPr>
          <w:rFonts w:ascii="Times New Roman" w:hAnsi="Times New Roman"/>
          <w:sz w:val="24"/>
          <w:szCs w:val="24"/>
          <w:lang w:val="uk-UA"/>
        </w:rPr>
        <w:t>”</w:t>
      </w:r>
      <w:r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пропонується затвердити </w:t>
      </w:r>
      <w:r w:rsidRPr="00587076">
        <w:rPr>
          <w:rFonts w:ascii="Times New Roman" w:hAnsi="Times New Roman"/>
          <w:bCs/>
          <w:sz w:val="24"/>
          <w:szCs w:val="24"/>
          <w:lang w:val="uk-UA"/>
        </w:rPr>
        <w:t>Поряд</w:t>
      </w:r>
      <w:r>
        <w:rPr>
          <w:rFonts w:ascii="Times New Roman" w:hAnsi="Times New Roman"/>
          <w:bCs/>
          <w:sz w:val="24"/>
          <w:szCs w:val="24"/>
          <w:lang w:val="uk-UA"/>
        </w:rPr>
        <w:t>ок</w:t>
      </w:r>
      <w:r w:rsidRPr="00587076">
        <w:rPr>
          <w:rFonts w:ascii="Times New Roman" w:hAnsi="Times New Roman"/>
          <w:bCs/>
          <w:sz w:val="24"/>
          <w:szCs w:val="24"/>
          <w:lang w:val="uk-UA"/>
        </w:rPr>
        <w:t xml:space="preserve"> та умов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587076">
        <w:rPr>
          <w:rFonts w:ascii="Times New Roman" w:hAnsi="Times New Roman"/>
          <w:bCs/>
          <w:sz w:val="24"/>
          <w:szCs w:val="24"/>
          <w:lang w:val="uk-UA"/>
        </w:rPr>
        <w:t xml:space="preserve"> надання соціальної послуги у вигляді безкоштовного харчування </w:t>
      </w:r>
      <w:r w:rsidRPr="00587076">
        <w:rPr>
          <w:rFonts w:ascii="Times New Roman" w:hAnsi="Times New Roman"/>
          <w:sz w:val="24"/>
          <w:szCs w:val="24"/>
          <w:lang w:val="uk-UA"/>
        </w:rPr>
        <w:t xml:space="preserve">комунальною установою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587076">
        <w:rPr>
          <w:rFonts w:ascii="Times New Roman" w:hAnsi="Times New Roman"/>
          <w:sz w:val="24"/>
          <w:szCs w:val="24"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>» (Порядок додається).</w:t>
      </w:r>
    </w:p>
    <w:p w:rsidR="00365BA0" w:rsidRPr="00BA06ED" w:rsidRDefault="00365BA0" w:rsidP="00365BA0">
      <w:pPr>
        <w:pStyle w:val="ac"/>
        <w:spacing w:line="276" w:lineRule="auto"/>
        <w:ind w:firstLine="708"/>
        <w:jc w:val="both"/>
        <w:rPr>
          <w:lang w:val="uk-UA"/>
        </w:rPr>
      </w:pPr>
    </w:p>
    <w:p w:rsidR="00365BA0" w:rsidRPr="003D5EA3" w:rsidRDefault="00365BA0" w:rsidP="00365B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5BA0" w:rsidRDefault="00365BA0" w:rsidP="00365B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5BA0" w:rsidRDefault="00365BA0" w:rsidP="00365B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5BA0" w:rsidRDefault="00365BA0" w:rsidP="00365B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5BA0" w:rsidRDefault="00365BA0" w:rsidP="00365BA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Начальниця управління                                                         Тетяна ПРИЩЕПА</w:t>
      </w:r>
    </w:p>
    <w:p w:rsidR="00365BA0" w:rsidRPr="004A7A97" w:rsidRDefault="00365BA0" w:rsidP="0089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lang w:val="uk-UA"/>
        </w:rPr>
      </w:pPr>
    </w:p>
    <w:sectPr w:rsidR="00365BA0" w:rsidRPr="004A7A97" w:rsidSect="00CD20AD">
      <w:headerReference w:type="default" r:id="rId8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3D" w:rsidRDefault="0057383D" w:rsidP="00C530B9">
      <w:pPr>
        <w:spacing w:after="0" w:line="240" w:lineRule="auto"/>
      </w:pPr>
      <w:r>
        <w:separator/>
      </w:r>
    </w:p>
  </w:endnote>
  <w:endnote w:type="continuationSeparator" w:id="0">
    <w:p w:rsidR="0057383D" w:rsidRDefault="0057383D" w:rsidP="00C5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3D" w:rsidRDefault="0057383D" w:rsidP="00C530B9">
      <w:pPr>
        <w:spacing w:after="0" w:line="240" w:lineRule="auto"/>
      </w:pPr>
      <w:r>
        <w:separator/>
      </w:r>
    </w:p>
  </w:footnote>
  <w:footnote w:type="continuationSeparator" w:id="0">
    <w:p w:rsidR="0057383D" w:rsidRDefault="0057383D" w:rsidP="00C5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12" w:rsidRPr="00C530B9" w:rsidRDefault="00791912" w:rsidP="00C530B9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7E60"/>
    <w:multiLevelType w:val="multilevel"/>
    <w:tmpl w:val="0DAA7BF0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 w15:restartNumberingAfterBreak="0">
    <w:nsid w:val="422A0B2B"/>
    <w:multiLevelType w:val="hybridMultilevel"/>
    <w:tmpl w:val="7C240F4A"/>
    <w:lvl w:ilvl="0" w:tplc="6DA4928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F"/>
    <w:rsid w:val="0000716A"/>
    <w:rsid w:val="00011DB2"/>
    <w:rsid w:val="000435DF"/>
    <w:rsid w:val="00084E4A"/>
    <w:rsid w:val="00091C24"/>
    <w:rsid w:val="00095281"/>
    <w:rsid w:val="00096A66"/>
    <w:rsid w:val="000B5F3E"/>
    <w:rsid w:val="000C1720"/>
    <w:rsid w:val="000D7378"/>
    <w:rsid w:val="000F7DFA"/>
    <w:rsid w:val="00101CC9"/>
    <w:rsid w:val="00125656"/>
    <w:rsid w:val="00126C24"/>
    <w:rsid w:val="0013647F"/>
    <w:rsid w:val="00183CED"/>
    <w:rsid w:val="001874B3"/>
    <w:rsid w:val="001B04ED"/>
    <w:rsid w:val="001B190B"/>
    <w:rsid w:val="001B24AD"/>
    <w:rsid w:val="001D61A0"/>
    <w:rsid w:val="001E7522"/>
    <w:rsid w:val="0020268C"/>
    <w:rsid w:val="00282A53"/>
    <w:rsid w:val="002C7E5A"/>
    <w:rsid w:val="002D079E"/>
    <w:rsid w:val="002E1D61"/>
    <w:rsid w:val="00304DEC"/>
    <w:rsid w:val="00330C65"/>
    <w:rsid w:val="00334065"/>
    <w:rsid w:val="00337E4D"/>
    <w:rsid w:val="003542CC"/>
    <w:rsid w:val="00365BA0"/>
    <w:rsid w:val="00374A2C"/>
    <w:rsid w:val="00387A77"/>
    <w:rsid w:val="003A2E5A"/>
    <w:rsid w:val="003A4F74"/>
    <w:rsid w:val="003C06FF"/>
    <w:rsid w:val="003E3CE9"/>
    <w:rsid w:val="003E4C3A"/>
    <w:rsid w:val="003E590A"/>
    <w:rsid w:val="004329F8"/>
    <w:rsid w:val="004A7A97"/>
    <w:rsid w:val="00515DDD"/>
    <w:rsid w:val="005359AD"/>
    <w:rsid w:val="00535CC4"/>
    <w:rsid w:val="005429AD"/>
    <w:rsid w:val="005622BA"/>
    <w:rsid w:val="0057383D"/>
    <w:rsid w:val="00587076"/>
    <w:rsid w:val="0059517A"/>
    <w:rsid w:val="00644B98"/>
    <w:rsid w:val="00646592"/>
    <w:rsid w:val="00656428"/>
    <w:rsid w:val="006D7107"/>
    <w:rsid w:val="006F01CD"/>
    <w:rsid w:val="00743C03"/>
    <w:rsid w:val="0075231F"/>
    <w:rsid w:val="00760590"/>
    <w:rsid w:val="00761C1C"/>
    <w:rsid w:val="007726A9"/>
    <w:rsid w:val="00791912"/>
    <w:rsid w:val="007936A4"/>
    <w:rsid w:val="007B42CC"/>
    <w:rsid w:val="00805350"/>
    <w:rsid w:val="0086440F"/>
    <w:rsid w:val="00884029"/>
    <w:rsid w:val="00890E1F"/>
    <w:rsid w:val="0089217C"/>
    <w:rsid w:val="00895AC4"/>
    <w:rsid w:val="008976E9"/>
    <w:rsid w:val="008B7105"/>
    <w:rsid w:val="008D295D"/>
    <w:rsid w:val="008F3F12"/>
    <w:rsid w:val="00903908"/>
    <w:rsid w:val="00917BCB"/>
    <w:rsid w:val="00952F77"/>
    <w:rsid w:val="0096478F"/>
    <w:rsid w:val="0098387E"/>
    <w:rsid w:val="00992C8D"/>
    <w:rsid w:val="009945E0"/>
    <w:rsid w:val="009B053D"/>
    <w:rsid w:val="009F43CF"/>
    <w:rsid w:val="00A27ACA"/>
    <w:rsid w:val="00A337C9"/>
    <w:rsid w:val="00A34A7D"/>
    <w:rsid w:val="00AE7ABE"/>
    <w:rsid w:val="00AF1C4B"/>
    <w:rsid w:val="00B23726"/>
    <w:rsid w:val="00B46696"/>
    <w:rsid w:val="00B82399"/>
    <w:rsid w:val="00BD0238"/>
    <w:rsid w:val="00BD6301"/>
    <w:rsid w:val="00BD7FD1"/>
    <w:rsid w:val="00C21802"/>
    <w:rsid w:val="00C530B9"/>
    <w:rsid w:val="00CB7D59"/>
    <w:rsid w:val="00CD17B1"/>
    <w:rsid w:val="00CD20AD"/>
    <w:rsid w:val="00CF26C1"/>
    <w:rsid w:val="00D33684"/>
    <w:rsid w:val="00D55059"/>
    <w:rsid w:val="00D735F6"/>
    <w:rsid w:val="00D852DA"/>
    <w:rsid w:val="00DA0444"/>
    <w:rsid w:val="00DA1AB4"/>
    <w:rsid w:val="00DB6D92"/>
    <w:rsid w:val="00DD21A9"/>
    <w:rsid w:val="00DF649A"/>
    <w:rsid w:val="00DF70E4"/>
    <w:rsid w:val="00E33CB9"/>
    <w:rsid w:val="00E443FE"/>
    <w:rsid w:val="00E47938"/>
    <w:rsid w:val="00E5557C"/>
    <w:rsid w:val="00E76FE6"/>
    <w:rsid w:val="00E8141B"/>
    <w:rsid w:val="00EC35CD"/>
    <w:rsid w:val="00ED2235"/>
    <w:rsid w:val="00F02795"/>
    <w:rsid w:val="00F0631F"/>
    <w:rsid w:val="00F13B75"/>
    <w:rsid w:val="00F56A5E"/>
    <w:rsid w:val="00F831BF"/>
    <w:rsid w:val="00F86F4F"/>
    <w:rsid w:val="00F9548D"/>
    <w:rsid w:val="00F969F1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0A573"/>
  <w15:docId w15:val="{B6A61BBE-F4A2-450D-A9BF-7952EF3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31BF"/>
    <w:rPr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F831BF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iPriority w:val="99"/>
    <w:semiHidden/>
    <w:rsid w:val="00C5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530B9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semiHidden/>
    <w:rsid w:val="00C5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530B9"/>
    <w:rPr>
      <w:rFonts w:ascii="Calibri" w:hAnsi="Calibri" w:cs="Times New Roman"/>
    </w:rPr>
  </w:style>
  <w:style w:type="paragraph" w:styleId="a8">
    <w:name w:val="List Paragraph"/>
    <w:basedOn w:val="a"/>
    <w:uiPriority w:val="99"/>
    <w:qFormat/>
    <w:rsid w:val="00D852DA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F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F43CF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CD20AD"/>
    <w:rPr>
      <w:lang w:eastAsia="en-US"/>
    </w:rPr>
  </w:style>
  <w:style w:type="paragraph" w:styleId="ac">
    <w:name w:val="Body Text"/>
    <w:basedOn w:val="a"/>
    <w:link w:val="ad"/>
    <w:rsid w:val="00365BA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65BA0"/>
    <w:rPr>
      <w:rFonts w:ascii="Times New Roman" w:eastAsia="Andale Sans UI" w:hAnsi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Порядку та умов надання соціальної послуги у вигляді безкоштовного харчування комунальною установою “Територіальний центр соціального обслуговування (надання соціальних послуг) Чорноморської міської ради Одеського району Одеської області</vt:lpstr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та умов надання соціальної послуги у вигляді безкоштовного харчування комунальною установою “Територіальний центр соціального обслуговування (надання соціальних послуг) Чорноморської міської ради Одеського району Одеської області</dc:title>
  <dc:subject/>
  <dc:creator>Irina</dc:creator>
  <cp:keywords/>
  <dc:description/>
  <cp:lastModifiedBy>Irina</cp:lastModifiedBy>
  <cp:revision>11</cp:revision>
  <cp:lastPrinted>2023-08-29T12:56:00Z</cp:lastPrinted>
  <dcterms:created xsi:type="dcterms:W3CDTF">2023-08-29T06:50:00Z</dcterms:created>
  <dcterms:modified xsi:type="dcterms:W3CDTF">2023-09-25T12:03:00Z</dcterms:modified>
</cp:coreProperties>
</file>